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 — Executive Summary</w:t>
      </w:r>
    </w:p>
    <w:bookmarkStart w:id="22" w:name="X96d2d0268c144aa9d35297bb02ad715e90edda3"/>
    <w:p>
      <w:pPr>
        <w:pStyle w:val="Heading1"/>
      </w:pPr>
      <w:r>
        <w:t xml:space="preserve">00 — Executive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ne-sentence-pitch"/>
    <w:p>
      <w:pPr>
        <w:pStyle w:val="Heading2"/>
      </w:pPr>
      <w:r>
        <w:t xml:space="preserve">One-sentence pitch</w:t>
      </w:r>
    </w:p>
    <w:p>
      <w:pPr>
        <w:pStyle w:val="FirstParagraph"/>
      </w:pPr>
      <w:r>
        <w:t xml:space="preserve">HelixVPN is a</w:t>
      </w:r>
      <w:r>
        <w:t xml:space="preserve"> </w:t>
      </w:r>
      <w:r>
        <w:rPr>
          <w:b/>
          <w:bCs/>
        </w:rPr>
        <w:t xml:space="preserve">self-hostable overlay network with a privacy-VPN front end</w:t>
      </w:r>
      <w:r>
        <w:t xml:space="preserve">: Cloudflare Tunnel + WARP, rebuilt as Tailscale-style coordination, with Mullvad's obfuscation stack, fully self-hostable, on one shared codebase.</w:t>
      </w:r>
    </w:p>
    <w:bookmarkEnd w:id="9"/>
    <w:bookmarkStart w:id="10" w:name="why-it-exists"/>
    <w:p>
      <w:pPr>
        <w:pStyle w:val="Heading2"/>
      </w:pPr>
      <w:r>
        <w:t xml:space="preserve">Why it exists</w:t>
      </w:r>
    </w:p>
    <w:p>
      <w:pPr>
        <w:pStyle w:val="FirstParagraph"/>
      </w:pPr>
      <w:r>
        <w:t xml:space="preserve">Remote users need full, policy-scoped access to</w:t>
      </w:r>
      <w:r>
        <w:t xml:space="preserve"> </w:t>
      </w:r>
      <w:r>
        <w:rPr>
          <w:b/>
          <w:bCs/>
        </w:rPr>
        <w:t xml:space="preserve">one or many</w:t>
      </w:r>
      <w:r>
        <w:t xml:space="preserve"> </w:t>
      </w:r>
      <w:r>
        <w:t xml:space="preserve">internal/home/lab networks</w:t>
      </w:r>
      <w:r>
        <w:t xml:space="preserve"> </w:t>
      </w:r>
      <w:r>
        <w:rPr>
          <w:b/>
          <w:bCs/>
        </w:rPr>
        <w:t xml:space="preserve">without any inbound port-forward</w:t>
      </w:r>
      <w:r>
        <w:t xml:space="preserve">.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 public gateway; the gateway relays and routes.</w:t>
      </w:r>
    </w:p>
    <w:bookmarkEnd w:id="10"/>
    <w:bookmarkStart w:id="11" w:name="lead-differentiators"/>
    <w:p>
      <w:pPr>
        <w:pStyle w:val="Heading2"/>
      </w:pPr>
      <w:r>
        <w:t xml:space="preserve">Lead differentiators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Self-hosted + Mullvad-grade obfuscation</w:t>
      </w:r>
      <w:r>
        <w:t xml:space="preserve"> </w:t>
      </w:r>
      <w:r>
        <w:t xml:space="preserve">(MASQUE/QUIC, Shadowsocks, UDP-over-TCP, LWO, DAITA).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user → N joined private networks</w:t>
      </w:r>
      <w:r>
        <w:t xml:space="preserve"> </w:t>
      </w:r>
      <w:r>
        <w:t xml:space="preserve">with bidirectional gateway and ACL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8-platform reach</w:t>
      </w:r>
      <w:r>
        <w:t xml:space="preserve"> </w:t>
      </w:r>
      <w:r>
        <w:t xml:space="preserve">including Aurora OS and HarmonyOS NEXT on one codebase.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shared Rust + Flutter codebase</w:t>
      </w:r>
      <w:r>
        <w:t xml:space="preserve"> </w:t>
      </w:r>
      <w:r>
        <w:t xml:space="preserve">— client, connector, and edge reuse the same 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real-time control plane</w:t>
      </w:r>
      <w:r>
        <w:t xml:space="preserve"> </w:t>
      </w:r>
      <w:r>
        <w:t xml:space="preserve">— sub-second convergence, push-not-poll.</w:t>
      </w:r>
    </w:p>
    <w:bookmarkEnd w:id="11"/>
    <w:bookmarkStart w:id="12" w:name="the-three-roles"/>
    <w:p>
      <w:pPr>
        <w:pStyle w:val="Heading2"/>
      </w:pPr>
      <w:r>
        <w:t xml:space="preserve">The three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Reuses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Inside a private network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advertise/route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Public VPS</w:t>
            </w:r>
          </w:p>
        </w:tc>
        <w:tc>
          <w:tcPr/>
          <w:p>
            <w:pPr>
              <w:pStyle w:val="Compact"/>
            </w:pPr>
            <w:r>
              <w:t xml:space="preserve">Accepts dials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edge +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  <w:r>
              <w:t xml:space="preserve"> </w:t>
            </w:r>
            <w:r>
              <w:t xml:space="preserve">control 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End-user device</w:t>
            </w:r>
          </w:p>
        </w:tc>
        <w:tc>
          <w:tcPr/>
          <w:p>
            <w:pPr>
              <w:pStyle w:val="Compact"/>
            </w:pPr>
            <w:r>
              <w:t xml:space="preserve">Outbound-only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</w:tbl>
    <w:bookmarkEnd w:id="12"/>
    <w:bookmarkStart w:id="13" w:name="the-three-app-classes"/>
    <w:p>
      <w:pPr>
        <w:pStyle w:val="Heading2"/>
      </w:pPr>
      <w:r>
        <w:t xml:space="preserve">The three app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Access</w:t>
            </w:r>
          </w:p>
        </w:tc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iOS, Android, Aurora, HarmonyOS, Windows, Linux, macOS, Web (limited)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Connector</w:t>
            </w:r>
          </w:p>
        </w:tc>
        <w:tc>
          <w:tcPr/>
          <w:p>
            <w:pPr>
              <w:pStyle w:val="Compact"/>
            </w:pPr>
            <w:r>
              <w:t xml:space="preserve">Network operator</w:t>
            </w:r>
          </w:p>
        </w:tc>
        <w:tc>
          <w:tcPr/>
          <w:p>
            <w:pPr>
              <w:pStyle w:val="Compact"/>
            </w:pPr>
            <w:r>
              <w:t xml:space="preserve">Linux/Windows/macOS daemon (+ optional UI); Android/embedded appliance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Web + Desktop Flutter (API client only, no tunnel core)</w:t>
            </w:r>
          </w:p>
        </w:tc>
      </w:tr>
    </w:tbl>
    <w:bookmarkEnd w:id="13"/>
    <w:bookmarkStart w:id="14" w:name="non-negotiable-principles"/>
    <w:p>
      <w:pPr>
        <w:pStyle w:val="Heading2"/>
      </w:pPr>
      <w:r>
        <w:t xml:space="preserve">Non-negotiable principles</w:t>
      </w:r>
    </w:p>
    <w:p>
      <w:pPr>
        <w:pStyle w:val="Compact"/>
        <w:numPr>
          <w:ilvl w:val="0"/>
          <w:numId w:val="1002"/>
        </w:numPr>
      </w:pPr>
      <w:r>
        <w:t xml:space="preserve">Control plane and data plane are strictly separated —</w:t>
      </w:r>
      <w:r>
        <w:t xml:space="preserve"> </w:t>
      </w:r>
      <w:r>
        <w:rPr>
          <w:b/>
          <w:bCs/>
        </w:rPr>
        <w:t xml:space="preserve">fail-static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</w:t>
      </w:r>
      <w:r>
        <w:t xml:space="preserve"> </w:t>
      </w:r>
      <w:r>
        <w:t xml:space="preserve">is the cryptographic core; transports are pluggable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Outbound-only</w:t>
      </w:r>
      <w:r>
        <w:t xml:space="preserve"> </w:t>
      </w:r>
      <w:r>
        <w:t xml:space="preserve">from edges — no inbound holes.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Push, don't poll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streaming deltas.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core per concern, reused everywhere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Self-hostable by one person, scalable to many gateways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No-logging by construction</w:t>
      </w:r>
      <w:r>
        <w:t xml:space="preserve"> </w:t>
      </w:r>
      <w:r>
        <w:t xml:space="preserve">— CI schema-lint fails on durable flow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Schema-first, zero drift</w:t>
      </w:r>
      <w:r>
        <w:t xml:space="preserve"> </w:t>
      </w:r>
      <w:r>
        <w:t xml:space="preserve">— protobuf + OpenAPI, generated clients.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Decoupled, reusable components</w:t>
      </w:r>
      <w:r>
        <w:t xml:space="preserve"> </w:t>
      </w:r>
      <w:r>
        <w:t xml:space="preserve">per constitution §11.4.28/§11.4.74.</w:t>
      </w:r>
    </w:p>
    <w:bookmarkEnd w:id="14"/>
    <w:bookmarkStart w:id="15" w:name="phase-roadmap"/>
    <w:p>
      <w:pPr>
        <w:pStyle w:val="Heading2"/>
      </w:pPr>
      <w:r>
        <w:t xml:space="preserve">Phase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Hard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— Spike</w:t>
            </w:r>
            <w:r>
              <w:t xml:space="preserve"> </w:t>
            </w:r>
            <w:r>
              <w:t xml:space="preserve">(~3–4 weeks)</w:t>
            </w:r>
          </w:p>
        </w:tc>
        <w:tc>
          <w:tcPr/>
          <w:p>
            <w:pPr>
              <w:pStyle w:val="Compact"/>
            </w:pPr>
            <w:r>
              <w:t xml:space="preserve">Prove the hard parts on production interfaces</w:t>
            </w:r>
          </w:p>
        </w:tc>
        <w:tc>
          <w:tcPr/>
          <w:p>
            <w:pPr>
              <w:pStyle w:val="Compact"/>
            </w:pPr>
            <w:r>
              <w:t xml:space="preserve">G1–G6 (throughput, MASQUE, iOS memory, Go-vs-Rust edge, FFI, reconcile)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MVP</w:t>
            </w:r>
          </w:p>
        </w:tc>
        <w:tc>
          <w:tcPr/>
          <w:p>
            <w:pPr>
              <w:pStyle w:val="Compact"/>
            </w:pPr>
            <w:r>
              <w:t xml:space="preserve">Self-hostable product</w:t>
            </w:r>
          </w:p>
        </w:tc>
        <w:tc>
          <w:tcPr/>
          <w:p>
            <w:pPr>
              <w:pStyle w:val="Compact"/>
            </w:pPr>
            <w:r>
              <w:t xml:space="preserve">8-criteria Definition-of-Done (self-host, enroll, reach/deny, MASQUE, policy &lt;1s, revoke &lt;1s, kill-switch, no logs)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Parity + Reach</w:t>
            </w:r>
          </w:p>
        </w:tc>
        <w:tc>
          <w:tcPr/>
          <w:p>
            <w:pPr>
              <w:pStyle w:val="Compact"/>
            </w:pPr>
            <w:r>
              <w:t xml:space="preserve">Full Mullvad parity + HA/multi-region</w:t>
            </w:r>
          </w:p>
        </w:tc>
        <w:tc>
          <w:tcPr/>
          <w:p>
            <w:pPr>
              <w:pStyle w:val="Compact"/>
            </w:pPr>
            <w:r>
              <w:t xml:space="preserve">P2-AC1–AC8 + P2-SLO1–SLO5 (P2P, DAITA, multi-hop, PQ, desktop, GitOps, regional failover &lt;3s)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Extended Reach</w:t>
            </w:r>
          </w:p>
        </w:tc>
        <w:tc>
          <w:tcPr/>
          <w:p>
            <w:pPr>
              <w:pStyle w:val="Compact"/>
            </w:pPr>
            <w:r>
              <w:t xml:space="preserve">HarmonyOS, Aurora, WASM proxy, billing, audit, reproducible builds</w:t>
            </w:r>
          </w:p>
        </w:tc>
        <w:tc>
          <w:tcPr/>
          <w:p>
            <w:pPr>
              <w:pStyle w:val="Compact"/>
            </w:pPr>
            <w:r>
              <w:t xml:space="preserve">G20–G26</w:t>
            </w:r>
          </w:p>
        </w:tc>
      </w:tr>
    </w:tbl>
    <w:bookmarkEnd w:id="15"/>
    <w:bookmarkStart w:id="17" w:name="open-decisions-d1d8"/>
    <w:p>
      <w:pPr>
        <w:pStyle w:val="Heading2"/>
      </w:pPr>
      <w:r>
        <w:t xml:space="preserve">Open decisions (D1–D8)</w:t>
      </w:r>
    </w:p>
    <w:p>
      <w:pPr>
        <w:pStyle w:val="FirstParagraph"/>
      </w:pPr>
      <w:r>
        <w:t xml:space="preserve">See</w:t>
      </w:r>
      <w:r>
        <w:t xml:space="preserve"> </w:t>
      </w:r>
      <w:hyperlink r:id="rId16">
        <w:r>
          <w:rPr>
            <w:rStyle w:val="Hyperlink"/>
          </w:rPr>
          <w:t xml:space="preserve">01 — Product Scope</w:t>
        </w:r>
      </w:hyperlink>
      <w:r>
        <w:t xml:space="preserve"> </w:t>
      </w:r>
      <w:r>
        <w:t xml:space="preserve">§7 for the full decision register with options + recommendations. Key decisions: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D1</w:t>
      </w:r>
      <w:r>
        <w:t xml:space="preserve"> </w:t>
      </w:r>
      <w:r>
        <w:t xml:space="preserve">— Primary obfuscating transport: MASQUE/QUIC (recommended).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D2</w:t>
      </w:r>
      <w:r>
        <w:t xml:space="preserve"> </w:t>
      </w:r>
      <w:r>
        <w:t xml:space="preserve">— Shared client-core language: Rust (make-or-break G3).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D3</w:t>
      </w:r>
      <w:r>
        <w:t xml:space="preserve"> </w:t>
      </w:r>
      <w:r>
        <w:t xml:space="preserve">— Event bus: Redis Streams MVP → NATS JetStream Phase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D4</w:t>
      </w:r>
      <w:r>
        <w:t xml:space="preserve"> </w:t>
      </w:r>
      <w:r>
        <w:t xml:space="preserve">— Subnet collision: IPv6 ULA /48 + Tailscale 4via6.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D5</w:t>
      </w:r>
      <w:r>
        <w:t xml:space="preserve"> </w:t>
      </w:r>
      <w:r>
        <w:t xml:space="preserve">— Gateway edge language: Rust if G4 benchmark holds.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D6</w:t>
      </w:r>
      <w:r>
        <w:t xml:space="preserve"> </w:t>
      </w:r>
      <w:r>
        <w:t xml:space="preserve">— Transport topology: best-fit-per-leg as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D7</w:t>
      </w:r>
      <w:r>
        <w:t xml:space="preserve"> </w:t>
      </w:r>
      <w:r>
        <w:t xml:space="preserve">— MVP ambition: lean tunnel-first.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D8</w:t>
      </w:r>
      <w:r>
        <w:t xml:space="preserve"> </w:t>
      </w:r>
      <w:r>
        <w:t xml:space="preserve">— Licensing / positioning: decide before public release.</w:t>
      </w:r>
    </w:p>
    <w:bookmarkEnd w:id="17"/>
    <w:bookmarkStart w:id="21" w:name="where-to-read-next"/>
    <w:p>
      <w:pPr>
        <w:pStyle w:val="Heading2"/>
      </w:pPr>
      <w:r>
        <w:t xml:space="preserve">Where to read next</w:t>
      </w:r>
    </w:p>
    <w:p>
      <w:pPr>
        <w:pStyle w:val="Compact"/>
        <w:numPr>
          <w:ilvl w:val="0"/>
          <w:numId w:val="1004"/>
        </w:numPr>
      </w:pPr>
      <w:r>
        <w:t xml:space="preserve">Product definition and scope →</w:t>
      </w:r>
      <w:r>
        <w:t xml:space="preserve"> </w:t>
      </w:r>
      <w:hyperlink r:id="rId16">
        <w:r>
          <w:rPr>
            <w:rStyle w:val="Hyperlink"/>
          </w:rPr>
          <w:t xml:space="preserve">01 — Product Scope</w:t>
        </w:r>
      </w:hyperlink>
    </w:p>
    <w:p>
      <w:pPr>
        <w:pStyle w:val="Compact"/>
        <w:numPr>
          <w:ilvl w:val="0"/>
          <w:numId w:val="1004"/>
        </w:numPr>
      </w:pPr>
      <w:r>
        <w:t xml:space="preserve">C4 architecture and components →</w:t>
      </w:r>
      <w:r>
        <w:t xml:space="preserve"> </w:t>
      </w:r>
      <w:hyperlink r:id="rId18">
        <w:r>
          <w:rPr>
            <w:rStyle w:val="Hyperlink"/>
          </w:rPr>
          <w:t xml:space="preserve">02 — System Architecture</w:t>
        </w:r>
      </w:hyperlink>
    </w:p>
    <w:p>
      <w:pPr>
        <w:pStyle w:val="Compact"/>
        <w:numPr>
          <w:ilvl w:val="0"/>
          <w:numId w:val="1004"/>
        </w:numPr>
      </w:pPr>
      <w:r>
        <w:t xml:space="preserve">Detailed roadmap and WBS →</w:t>
      </w:r>
      <w:r>
        <w:t xml:space="preserve"> </w:t>
      </w:r>
      <w:hyperlink r:id="rId19">
        <w:r>
          <w:rPr>
            <w:rStyle w:val="Hyperlink"/>
          </w:rPr>
          <w:t xml:space="preserve">11 — Guides &amp; FAQs</w:t>
        </w:r>
      </w:hyperlink>
    </w:p>
    <w:p>
      <w:pPr>
        <w:pStyle w:val="Compact"/>
        <w:numPr>
          <w:ilvl w:val="0"/>
          <w:numId w:val="1004"/>
        </w:numPr>
      </w:pPr>
      <w:r>
        <w:t xml:space="preserve">Gap analysis →</w:t>
      </w:r>
      <w:r>
        <w:t xml:space="preserve"> </w:t>
      </w:r>
      <w:hyperlink r:id="rId20">
        <w:r>
          <w:rPr>
            <w:rStyle w:val="VerbatimChar"/>
          </w:rPr>
          <w:t xml:space="preserve">docs/reviews/mvp-final/findings/phase1-docs-gap-analysis.md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docs/research/mvp/final/SPECIFICATION.md</w:t>
      </w:r>
      <w:r>
        <w:rPr>
          <w:i/>
          <w:iCs/>
        </w:rPr>
        <w:t xml:space="preserve"> </w:t>
      </w:r>
      <w:r>
        <w:rPr>
          <w:i/>
          <w:iCs/>
        </w:rPr>
        <w:t xml:space="preserve">§1–§9,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MASTER_INDEX.md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00-product-scope-and-principles.md</w:t>
      </w:r>
      <w:r>
        <w:rPr>
          <w:i/>
          <w:iCs/>
        </w:rPr>
        <w:t xml:space="preserve"> </w:t>
      </w:r>
      <w:r>
        <w:rPr>
          <w:i/>
          <w:iCs/>
        </w:rPr>
        <w:t xml:space="preserve">§1–§11.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../../../../reviews/mvp-final/findings/phase1-docs-gap-analysis.md" TargetMode="External" /><Relationship Type="http://schemas.openxmlformats.org/officeDocument/2006/relationships/hyperlink" Id="rId16" Target="../01-product-scope/README.md" TargetMode="External" /><Relationship Type="http://schemas.openxmlformats.org/officeDocument/2006/relationships/hyperlink" Id="rId18" Target="../02-system-architecture/README.md" TargetMode="External" /><Relationship Type="http://schemas.openxmlformats.org/officeDocument/2006/relationships/hyperlink" Id="rId19" Target="../11-guides-faq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../../../reviews/mvp-final/findings/phase1-docs-gap-analysis.md" TargetMode="External" /><Relationship Type="http://schemas.openxmlformats.org/officeDocument/2006/relationships/hyperlink" Id="rId16" Target="../01-product-scope/README.md" TargetMode="External" /><Relationship Type="http://schemas.openxmlformats.org/officeDocument/2006/relationships/hyperlink" Id="rId18" Target="../02-system-architecture/README.md" TargetMode="External" /><Relationship Type="http://schemas.openxmlformats.org/officeDocument/2006/relationships/hyperlink" Id="rId19" Target="../11-guides-faq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— Executive Summary</dc:title>
  <dc:creator/>
  <cp:keywords/>
  <dcterms:created xsi:type="dcterms:W3CDTF">2026-07-06T09:46:12Z</dcterms:created>
  <dcterms:modified xsi:type="dcterms:W3CDTF">2026-07-06T09:46:12Z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