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10 — Design System</w:t>
      </w:r>
    </w:p>
    <w:bookmarkStart w:id="27" w:name="X51b57ec9aae3ce48f74959fb243f082e4f411f6"/>
    <w:p>
      <w:pPr>
        <w:pStyle w:val="Heading1"/>
      </w:pPr>
      <w:r>
        <w:t xml:space="preserve">10 — Design System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2026-07-05T14:20:00Z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consolidated from</w:t>
      </w:r>
      <w:r>
        <w:t xml:space="preserve"> </w:t>
      </w:r>
      <w:r>
        <w:rPr>
          <w:rStyle w:val="VerbatimChar"/>
        </w:rPr>
        <w:t xml:space="preserve">docs/design/README.md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v10-design/*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28271128f2cb80b986bc9367facd835b2666a4d"/>
    <w:p>
      <w:pPr>
        <w:pStyle w:val="Heading2"/>
      </w:pPr>
      <w:r>
        <w:t xml:space="preserve">1. Position</w:t>
      </w:r>
    </w:p>
    <w:p>
      <w:pPr>
        <w:pStyle w:val="FirstParagraph"/>
      </w:pPr>
      <w:r>
        <w:t xml:space="preserve">This section defines the</w:t>
      </w:r>
      <w:r>
        <w:t xml:space="preserve"> </w:t>
      </w:r>
      <w:r>
        <w:rPr>
          <w:b/>
          <w:bCs/>
        </w:rPr>
        <w:t xml:space="preserve">single source of design truth</w:t>
      </w:r>
      <w:r>
        <w:t xml:space="preserve"> </w:t>
      </w:r>
      <w:r>
        <w:t xml:space="preserve">for every HelixVPN user-facing surface: the Client (8 platforms), the Console (admin web), and the Connector (appliance UI).</w:t>
      </w:r>
    </w:p>
    <w:p>
      <w:pPr>
        <w:pStyle w:val="BodyText"/>
      </w:pPr>
      <w:r>
        <w:t xml:space="preserve">It is a</w:t>
      </w:r>
      <w:r>
        <w:t xml:space="preserve"> </w:t>
      </w:r>
      <w:r>
        <w:rPr>
          <w:b/>
          <w:bCs/>
        </w:rPr>
        <w:t xml:space="preserve">spec-only</w:t>
      </w:r>
      <w:r>
        <w:t xml:space="preserve"> </w:t>
      </w:r>
      <w:r>
        <w:t xml:space="preserve">consolidation. The authoritative design files live under</w:t>
      </w:r>
      <w:r>
        <w:t xml:space="preserve"> </w:t>
      </w:r>
      <w:r>
        <w:rPr>
          <w:rStyle w:val="VerbatimChar"/>
        </w:rPr>
        <w:t xml:space="preserve">docs/design/</w:t>
      </w:r>
      <w:r>
        <w:t xml:space="preserve"> </w:t>
      </w:r>
      <w:r>
        <w:t xml:space="preserve">and the Volume-10 nano-detail docs; this README provides the navigable entry point and the architectural invariants.</w:t>
      </w:r>
    </w:p>
    <w:p>
      <w:r>
        <w:pict>
          <v:rect style="width:0;height:1.5pt" o:hralign="center" o:hrstd="t" o:hr="t"/>
        </w:pict>
      </w:r>
    </w:p>
    <w:bookmarkEnd w:id="9"/>
    <w:bookmarkStart w:id="10" w:name="X97a4763fb31010b5f6885d43790438038c45ba2"/>
    <w:p>
      <w:pPr>
        <w:pStyle w:val="Heading2"/>
      </w:pPr>
      <w:r>
        <w:t xml:space="preserve">2. Decoupled, reusable</w:t>
      </w:r>
      <w:r>
        <w:t xml:space="preserve"> </w:t>
      </w:r>
      <w:r>
        <w:rPr>
          <w:rStyle w:val="VerbatimChar"/>
        </w:rPr>
        <w:t xml:space="preserve">helix_design</w:t>
      </w:r>
    </w:p>
    <w:p>
      <w:pPr>
        <w:pStyle w:val="FirstParagraph"/>
      </w:pPr>
      <w:r>
        <w:t xml:space="preserve">The design system is a</w:t>
      </w:r>
      <w:r>
        <w:t xml:space="preserve"> </w:t>
      </w:r>
      <w:r>
        <w:rPr>
          <w:b/>
          <w:bCs/>
        </w:rPr>
        <w:t xml:space="preserve">standalone own-org submodule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vasic-digital/helix_design</w:t>
      </w:r>
      <w:r>
        <w:t xml:space="preserve">, consumed as a flat submodule from the HelixVPN root. It is project-not-aware: HelixVPN brand values are injected as a swappable preset, never hardcoded inside the submodule.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Project-not-aware</w:t>
            </w:r>
          </w:p>
        </w:tc>
        <w:tc>
          <w:tcPr/>
          <w:p>
            <w:pPr>
              <w:pStyle w:val="Compact"/>
            </w:pPr>
            <w:r>
              <w:t xml:space="preserve">Reusable across unrelated projects per §11.4.74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 layout</w:t>
            </w:r>
          </w:p>
        </w:tc>
        <w:tc>
          <w:tcPr/>
          <w:p>
            <w:pPr>
              <w:pStyle w:val="Compact"/>
            </w:pPr>
            <w:r>
              <w:t xml:space="preserve">No nested own-org submodule chains per §11.4.28(C)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Equal codebase</w:t>
            </w:r>
          </w:p>
        </w:tc>
        <w:tc>
          <w:tcPr/>
          <w:p>
            <w:pPr>
              <w:pStyle w:val="Compact"/>
            </w:pPr>
            <w:r>
              <w:t xml:space="preserve">Same test/doc/push discipline as the parent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Catalogue-first</w:t>
            </w:r>
          </w:p>
        </w:tc>
        <w:tc>
          <w:tcPr/>
          <w:p>
            <w:pPr>
              <w:pStyle w:val="Compact"/>
            </w:pPr>
            <w:r>
              <w:t xml:space="preserve">Missing patterns are extended upstream, never forked in-project</w:t>
            </w:r>
          </w:p>
        </w:tc>
      </w:tr>
    </w:tbl>
    <w:p>
      <w:pPr>
        <w:pStyle w:val="BodyText"/>
      </w:pPr>
      <w:r>
        <w:t xml:space="preserve">The Flutter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t xml:space="preserve">workspace re-exports the generated Dart package; native shims consume the polyglot forms directly.</w:t>
      </w:r>
    </w:p>
    <w:p>
      <w:r>
        <w:pict>
          <v:rect style="width:0;height:1.5pt" o:hralign="center" o:hrstd="t" o:hr="t"/>
        </w:pict>
      </w:r>
    </w:p>
    <w:bookmarkEnd w:id="10"/>
    <w:bookmarkStart w:id="11" w:name="X2c24e897d18696df2c58bc18085330b20d83500"/>
    <w:p>
      <w:pPr>
        <w:pStyle w:val="Heading2"/>
      </w:pPr>
      <w:r>
        <w:t xml:space="preserve">3. Token tiers</w:t>
      </w:r>
    </w:p>
    <w:p>
      <w:pPr>
        <w:pStyle w:val="FirstParagraph"/>
      </w:pPr>
      <w:r>
        <w:t xml:space="preserve">There is exactly one authored token source — JSON files in</w:t>
      </w:r>
      <w:r>
        <w:t xml:space="preserve"> </w:t>
      </w:r>
      <w:r>
        <w:rPr>
          <w:rStyle w:val="VerbatimChar"/>
        </w:rPr>
        <w:t xml:space="preserve">helix_design/tokens/**</w:t>
      </w:r>
      <w:r>
        <w:t xml:space="preserve">. Every consumable form is generated from 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Primitive</w:t>
            </w:r>
          </w:p>
        </w:tc>
        <w:tc>
          <w:tcPr/>
          <w:p>
            <w:pPr>
              <w:pStyle w:val="Compact"/>
            </w:pPr>
            <w:r>
              <w:t xml:space="preserve">Raw, theme-agnostic 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color.primitive.helix.500 = #3D5AF1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Intent, light + dark fork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color.semantic.state.connected.fill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Widget slot, references semantic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comp.connectButton.bg.connected</w:t>
            </w:r>
          </w:p>
        </w:tc>
      </w:tr>
    </w:tbl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01"/>
        </w:numPr>
      </w:pPr>
      <w:r>
        <w:t xml:space="preserve">Primitive tokens are literals; semantic tokens reference primitives; component tokens reference semantic tokens only.</w:t>
      </w:r>
    </w:p>
    <w:p>
      <w:pPr>
        <w:pStyle w:val="Compact"/>
        <w:numPr>
          <w:ilvl w:val="0"/>
          <w:numId w:val="1001"/>
        </w:numPr>
      </w:pPr>
      <w:r>
        <w:t xml:space="preserve">Every semantic color/elevation token defines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dark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01"/>
        </w:numPr>
      </w:pPr>
      <w:r>
        <w:t xml:space="preserve">Hand-editing a generated form (CSS, Dart, etc.) is a drift defect.</w:t>
      </w:r>
    </w:p>
    <w:p>
      <w:r>
        <w:pict>
          <v:rect style="width:0;height:1.5pt" o:hralign="center" o:hrstd="t" o:hr="t"/>
        </w:pict>
      </w:r>
    </w:p>
    <w:bookmarkEnd w:id="11"/>
    <w:bookmarkStart w:id="12" w:name="Xaf26aed8c3fb94eaa0c4fb957031e34cd45a3e1"/>
    <w:p>
      <w:pPr>
        <w:pStyle w:val="Heading2"/>
      </w:pPr>
      <w:r>
        <w:t xml:space="preserve">4. Export forms</w:t>
      </w:r>
    </w:p>
    <w:p>
      <w:pPr>
        <w:pStyle w:val="FirstParagraph"/>
      </w:pPr>
      <w:r>
        <w:t xml:space="preserve">The canonical JSON source is emitted into every target form so no platform re-types a color by hand.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dist/css/helix.css</w:t>
            </w:r>
          </w:p>
        </w:tc>
        <w:tc>
          <w:tcPr/>
          <w:p>
            <w:pPr>
              <w:pStyle w:val="Compact"/>
            </w:pPr>
            <w:r>
              <w:t xml:space="preserve">Console web, OpenDesign round-trip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dist/dart/helix_tokens.dart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ThemeExtension</w:t>
            </w:r>
          </w:p>
        </w:tc>
        <w:tc>
          <w:tcPr/>
          <w:p>
            <w:pPr>
              <w:pStyle w:val="Compact"/>
            </w:pPr>
            <w:r>
              <w:t xml:space="preserve">Flutter</w:t>
            </w:r>
            <w:r>
              <w:t xml:space="preserve"> </w:t>
            </w:r>
            <w:r>
              <w:rPr>
                <w:rStyle w:val="VerbatimChar"/>
              </w:rPr>
              <w:t xml:space="preserve">helix-ui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SwiftUI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dist/swift/HelixTokens.swift</w:t>
            </w:r>
          </w:p>
        </w:tc>
        <w:tc>
          <w:tcPr/>
          <w:p>
            <w:pPr>
              <w:pStyle w:val="Compact"/>
            </w:pPr>
            <w:r>
              <w:t xml:space="preserve">iOS/macOS NE config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Jetpack Compose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dist/compose/HelixTokens.kt</w:t>
            </w:r>
          </w:p>
        </w:tc>
        <w:tc>
          <w:tcPr/>
          <w:p>
            <w:pPr>
              <w:pStyle w:val="Compact"/>
            </w:pPr>
            <w:r>
              <w:t xml:space="preserve">Android quick-settings /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ArkTS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dist/arkts/helix_tokens.ets</w:t>
            </w:r>
          </w:p>
        </w:tc>
        <w:tc>
          <w:tcPr/>
          <w:p>
            <w:pPr>
              <w:pStyle w:val="Compact"/>
            </w:pPr>
            <w:r>
              <w:t xml:space="preserve">HarmonyOS native surfaces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/ Qt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dist/cqt/helix_tokens.h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.qml</w:t>
            </w:r>
          </w:p>
        </w:tc>
        <w:tc>
          <w:tcPr/>
          <w:p>
            <w:pPr>
              <w:pStyle w:val="Compact"/>
            </w:pPr>
            <w:r>
              <w:t xml:space="preserve">Aurora OS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dist/**</w:t>
      </w:r>
      <w:r>
        <w:t xml:space="preserve"> </w:t>
      </w:r>
      <w:r>
        <w:t xml:space="preserve">is a build-derivative; the source (</w:t>
      </w:r>
      <w:r>
        <w:rPr>
          <w:rStyle w:val="VerbatimChar"/>
        </w:rPr>
        <w:t xml:space="preserve">tokens/**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presets/**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export/**</w:t>
      </w:r>
      <w:r>
        <w:t xml:space="preserve">) is tracked.</w:t>
      </w:r>
    </w:p>
    <w:p>
      <w:r>
        <w:pict>
          <v:rect style="width:0;height:1.5pt" o:hralign="center" o:hrstd="t" o:hr="t"/>
        </w:pict>
      </w:r>
    </w:p>
    <w:bookmarkEnd w:id="12"/>
    <w:bookmarkStart w:id="17" w:name="Xce3aad4c4319f655b49e8e23ee3e935e317f39c"/>
    <w:p>
      <w:pPr>
        <w:pStyle w:val="Heading2"/>
      </w:pPr>
      <w:r>
        <w:t xml:space="preserve">5. Component &amp; screen index</w:t>
      </w:r>
    </w:p>
    <w:p>
      <w:pPr>
        <w:pStyle w:val="FirstParagraph"/>
      </w:pPr>
      <w:r>
        <w:t xml:space="preserve">The component library and screen wireframes are catalogued under</w:t>
      </w:r>
      <w:r>
        <w:t xml:space="preserve"> </w:t>
      </w:r>
      <w:r>
        <w:rPr>
          <w:rStyle w:val="VerbatimChar"/>
        </w:rPr>
        <w:t xml:space="preserve">docs/design/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specs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VerbatimChar"/>
                </w:rPr>
                <w:t xml:space="preserve">docs/design/components/README.md</w:t>
              </w:r>
            </w:hyperlink>
            <w:r>
              <w:t xml:space="preserve"> </w:t>
            </w:r>
            <w:r>
              <w:t xml:space="preserve">— desktop, mobile, Aurora,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wireframes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VerbatimChar"/>
                </w:rPr>
                <w:t xml:space="preserve">docs/design/screens/README.md</w:t>
              </w:r>
            </w:hyperlink>
            <w:r>
              <w:t xml:space="preserve"> </w:t>
            </w:r>
            <w:r>
              <w:t xml:space="preserve">— every screen across all platforms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 patterns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VerbatimChar"/>
                </w:rPr>
                <w:t xml:space="preserve">docs/design/interaction/README.md</w:t>
              </w:r>
            </w:hyperlink>
            <w:r>
              <w:t xml:space="preserve"> </w:t>
            </w:r>
            <w:r>
              <w:t xml:space="preserve">— animation, gestures, accessibility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Assets &amp; icons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VerbatimChar"/>
                </w:rPr>
                <w:t xml:space="preserve">docs/design/exports/</w:t>
              </w:r>
            </w:hyperlink>
            <w:r>
              <w:t xml:space="preserve"> </w:t>
            </w:r>
            <w:r>
              <w:t xml:space="preserve">— PNG/PDF component and screen exports</w:t>
            </w:r>
          </w:p>
        </w:tc>
      </w:tr>
    </w:tbl>
    <w:p>
      <w:pPr>
        <w:pStyle w:val="BodyText"/>
      </w:pPr>
      <w:r>
        <w:t xml:space="preserve">Signature components include: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ExitPicker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ShieldIndicator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AdaptiveScaffold</w:t>
      </w:r>
      <w:r>
        <w:t xml:space="preserve">, and the connection-state palette mapped to the 7-variant FFI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9" w:name="X4a276d44bca55a92f99d4b230690644b84608dc"/>
    <w:p>
      <w:pPr>
        <w:pStyle w:val="Heading2"/>
      </w:pPr>
      <w:r>
        <w:t xml:space="preserve">6. OpenDesign integration</w:t>
      </w:r>
    </w:p>
    <w:p>
      <w:pPr>
        <w:pStyle w:val="FirstParagraph"/>
      </w:pPr>
      <w:r>
        <w:t xml:space="preserve">OpenDesign (</w:t>
      </w:r>
      <w:r>
        <w:rPr>
          <w:rStyle w:val="VerbatimChar"/>
        </w:rPr>
        <w:t xml:space="preserve">submodules/open-design</w:t>
      </w:r>
      <w:r>
        <w:t xml:space="preserve">) is the mandatory design-and-refinement system per §11.4.162.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authors an OpenDesign-native design system under</w:t>
      </w:r>
      <w:r>
        <w:t xml:space="preserve"> </w:t>
      </w:r>
      <w:r>
        <w:rPr>
          <w:rStyle w:val="VerbatimChar"/>
        </w:rPr>
        <w:t xml:space="preserve">helix_design/opendesign/helix/</w:t>
      </w:r>
      <w:r>
        <w:t xml:space="preserve"> </w:t>
      </w:r>
      <w:r>
        <w:t xml:space="preserve">(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components.html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OpenDesign owns</w:t>
      </w:r>
      <w:r>
        <w:t xml:space="preserve"> </w:t>
      </w:r>
      <w:r>
        <w:rPr>
          <w:b/>
          <w:bCs/>
        </w:rPr>
        <w:t xml:space="preserve">authoring, refinement, and the CSS/markdown design-system form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helix_design</w:t>
      </w:r>
      <w:r>
        <w:t xml:space="preserve"> </w:t>
      </w:r>
      <w:r>
        <w:t xml:space="preserve">owns the</w:t>
      </w:r>
      <w:r>
        <w:t xml:space="preserve"> </w:t>
      </w:r>
      <w:r>
        <w:rPr>
          <w:b/>
          <w:bCs/>
        </w:rPr>
        <w:t xml:space="preserve">canonical JSON source and the polyglot distribution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If OpenDesign lacks a needed pattern, the fix is a PR upstream to</w:t>
      </w:r>
      <w:r>
        <w:t xml:space="preserve"> </w:t>
      </w:r>
      <w:r>
        <w:rPr>
          <w:rStyle w:val="VerbatimChar"/>
        </w:rPr>
        <w:t xml:space="preserve">nexu-io/open-design</w:t>
      </w:r>
      <w:r>
        <w:t xml:space="preserve">, recorded with a</w:t>
      </w:r>
      <w:r>
        <w:t xml:space="preserve"> </w:t>
      </w:r>
      <w:r>
        <w:rPr>
          <w:rStyle w:val="VerbatimChar"/>
        </w:rPr>
        <w:t xml:space="preserve">Catalogue-Check: extend nexu-io/open-design@&lt;sha&gt;</w:t>
      </w:r>
      <w:r>
        <w:t xml:space="preserve"> </w:t>
      </w:r>
      <w:r>
        <w:t xml:space="preserve">line.</w:t>
      </w:r>
    </w:p>
    <w:p>
      <w:pPr>
        <w:pStyle w:val="FirstParagraph"/>
      </w:pPr>
      <w:r>
        <w:t xml:space="preserve">Current status:</w:t>
      </w:r>
    </w:p>
    <w:p>
      <w:pPr>
        <w:pStyle w:val="Compact"/>
        <w:numPr>
          <w:ilvl w:val="0"/>
          <w:numId w:val="1003"/>
        </w:numPr>
      </w:pPr>
      <w:r>
        <w:t xml:space="preserve">✅ OpenDesign submodule built and daemon starts.</w:t>
      </w:r>
    </w:p>
    <w:p>
      <w:pPr>
        <w:pStyle w:val="Compact"/>
        <w:numPr>
          <w:ilvl w:val="0"/>
          <w:numId w:val="1003"/>
        </w:numPr>
      </w:pPr>
      <w:r>
        <w:t xml:space="preserve">✅ HelixVPN design system imports successfully.</w:t>
      </w:r>
    </w:p>
    <w:p>
      <w:pPr>
        <w:pStyle w:val="Compact"/>
        <w:numPr>
          <w:ilvl w:val="0"/>
          <w:numId w:val="1003"/>
        </w:numPr>
      </w:pPr>
      <w:r>
        <w:t xml:space="preserve">⚠️ Token contract validation reports</w:t>
      </w:r>
      <w:r>
        <w:t xml:space="preserve"> </w:t>
      </w:r>
      <w:r>
        <w:rPr>
          <w:rStyle w:val="VerbatimChar"/>
        </w:rPr>
        <w:t xml:space="preserve">needs-rebuild</w:t>
      </w:r>
      <w:r>
        <w:t xml:space="preserve"> </w:t>
      </w:r>
      <w:r>
        <w:t xml:space="preserve">(low source-backed A1 coverage).</w:t>
      </w:r>
    </w:p>
    <w:p>
      <w:pPr>
        <w:pStyle w:val="Compact"/>
        <w:numPr>
          <w:ilvl w:val="0"/>
          <w:numId w:val="1003"/>
        </w:numPr>
      </w:pPr>
      <w:r>
        <w:t xml:space="preserve">❌ No built-in Figma/Sketch/Adobe/XD/Penpot exporters; only Figma import is available.</w:t>
      </w:r>
    </w:p>
    <w:p>
      <w:pPr>
        <w:pStyle w:val="FirstParagraph"/>
      </w:pPr>
      <w:r>
        <w:t xml:space="preserve">For full validation results, see</w:t>
      </w:r>
      <w:r>
        <w:t xml:space="preserve"> </w:t>
      </w:r>
      <w:hyperlink r:id="rId18">
        <w:r>
          <w:rPr>
            <w:rStyle w:val="VerbatimChar"/>
          </w:rPr>
          <w:t xml:space="preserve">docs/reviews/mvp-final/findings/phase2-opendesign-report.md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3b60485e50538ab10a6fe5fe4bcb6cfa490f21b"/>
    <w:p>
      <w:pPr>
        <w:pStyle w:val="Heading2"/>
      </w:pPr>
      <w:r>
        <w:t xml:space="preserve">7. Quality gates owned here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Asserts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DS-DRIFT</w:t>
            </w:r>
          </w:p>
        </w:tc>
        <w:tc>
          <w:tcPr/>
          <w:p>
            <w:pPr>
              <w:pStyle w:val="Compact"/>
            </w:pPr>
            <w:r>
              <w:t xml:space="preserve">Generated forms are byte-identical to a fresh</w:t>
            </w:r>
            <w:r>
              <w:t xml:space="preserve"> </w:t>
            </w:r>
            <w:r>
              <w:rPr>
                <w:rStyle w:val="VerbatimChar"/>
              </w:rPr>
              <w:t xml:space="preserve">pnpm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DS-LIGHT-DARK-COMPLETE</w:t>
            </w:r>
          </w:p>
        </w:tc>
        <w:tc>
          <w:tcPr/>
          <w:p>
            <w:pPr>
              <w:pStyle w:val="Compact"/>
            </w:pPr>
            <w:r>
              <w:t xml:space="preserve">Every semantic color/elevation token defines both themes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DS-CONTRAST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on-X / X</w:t>
            </w:r>
            <w:r>
              <w:t xml:space="preserve"> </w:t>
            </w:r>
            <w:r>
              <w:t xml:space="preserve">pair clears WCAG AA in light and dark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DS-NO-OVERLAP</w:t>
            </w:r>
          </w:p>
        </w:tc>
        <w:tc>
          <w:tcPr/>
          <w:p>
            <w:pPr>
              <w:pStyle w:val="Compact"/>
            </w:pPr>
            <w:r>
              <w:t xml:space="preserve">Golden screenshots show no overlapping elements /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DS-VISUAL-REGRESSION</w:t>
            </w:r>
          </w:p>
        </w:tc>
        <w:tc>
          <w:tcPr/>
          <w:p>
            <w:pPr>
              <w:pStyle w:val="Compact"/>
            </w:pPr>
            <w:r>
              <w:t xml:space="preserve">Per-component golden screenshots match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DS-DECOUPLING</w:t>
            </w:r>
          </w:p>
        </w:tc>
        <w:tc>
          <w:tcPr/>
          <w:p>
            <w:pPr>
              <w:pStyle w:val="Compact"/>
            </w:pPr>
            <w:r>
              <w:t xml:space="preserve">A non-HelixVPN preset builds green with zero HelixVPN refs in machinery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DS-EXPORT-FORM-VALID</w:t>
            </w:r>
          </w:p>
        </w:tc>
        <w:tc>
          <w:tcPr/>
          <w:p>
            <w:pPr>
              <w:pStyle w:val="Compact"/>
            </w:pPr>
            <w:r>
              <w:t xml:space="preserve">Each emitted form parses in its target toolchain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tokens/**</w:t>
            </w:r>
            <w:r>
              <w:t xml:space="preserve"> </w:t>
            </w:r>
            <w:r>
              <w:t xml:space="preserve">validate against JSON schema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X9a0cd872aeea42ccc5de6d222bb92ecb3d8d37e"/>
    <w:p>
      <w:pPr>
        <w:pStyle w:val="Heading2"/>
      </w:pPr>
      <w:r>
        <w:t xml:space="preserve">8. Cross-references</w:t>
      </w:r>
    </w:p>
    <w:p>
      <w:pPr>
        <w:pStyle w:val="Compact"/>
        <w:numPr>
          <w:ilvl w:val="0"/>
          <w:numId w:val="1004"/>
        </w:numPr>
      </w:pPr>
      <w:r>
        <w:t xml:space="preserve">Design-system master index →</w:t>
      </w:r>
      <w:r>
        <w:t xml:space="preserve"> </w:t>
      </w:r>
      <w:hyperlink r:id="rId21">
        <w:r>
          <w:rPr>
            <w:rStyle w:val="VerbatimChar"/>
          </w:rPr>
          <w:t xml:space="preserve">docs/design/README.md</w:t>
        </w:r>
      </w:hyperlink>
    </w:p>
    <w:p>
      <w:pPr>
        <w:pStyle w:val="Compact"/>
        <w:numPr>
          <w:ilvl w:val="0"/>
          <w:numId w:val="1004"/>
        </w:numPr>
      </w:pPr>
      <w:r>
        <w:t xml:space="preserve">Submodule overview →</w:t>
      </w:r>
      <w:r>
        <w:t xml:space="preserve"> </w:t>
      </w:r>
      <w:hyperlink r:id="rId22">
        <w:r>
          <w:rPr>
            <w:rStyle w:val="VerbatimChar"/>
          </w:rPr>
          <w:t xml:space="preserve">../../v10-design/00-overview-and-submodule.md</w:t>
        </w:r>
      </w:hyperlink>
    </w:p>
    <w:p>
      <w:pPr>
        <w:pStyle w:val="Compact"/>
        <w:numPr>
          <w:ilvl w:val="0"/>
          <w:numId w:val="1004"/>
        </w:numPr>
      </w:pPr>
      <w:r>
        <w:t xml:space="preserve">OpenDesign foundation →</w:t>
      </w:r>
      <w:r>
        <w:t xml:space="preserve"> </w:t>
      </w:r>
      <w:hyperlink r:id="rId23">
        <w:r>
          <w:rPr>
            <w:rStyle w:val="VerbatimChar"/>
          </w:rPr>
          <w:t xml:space="preserve">../../v10-design/opendesign-foundation.md</w:t>
        </w:r>
      </w:hyperlink>
    </w:p>
    <w:p>
      <w:pPr>
        <w:pStyle w:val="Compact"/>
        <w:numPr>
          <w:ilvl w:val="0"/>
          <w:numId w:val="1004"/>
        </w:numPr>
      </w:pPr>
      <w:r>
        <w:t xml:space="preserve">Design tokens →</w:t>
      </w:r>
      <w:r>
        <w:t xml:space="preserve"> </w:t>
      </w:r>
      <w:hyperlink r:id="rId24">
        <w:r>
          <w:rPr>
            <w:rStyle w:val="VerbatimChar"/>
          </w:rPr>
          <w:t xml:space="preserve">../../v10-design/design-tokens.md</w:t>
        </w:r>
      </w:hyperlink>
    </w:p>
    <w:p>
      <w:pPr>
        <w:pStyle w:val="Compact"/>
        <w:numPr>
          <w:ilvl w:val="0"/>
          <w:numId w:val="1004"/>
        </w:numPr>
      </w:pPr>
      <w:r>
        <w:t xml:space="preserve">Client core &amp; UI →</w:t>
      </w:r>
      <w:r>
        <w:t xml:space="preserve"> </w:t>
      </w:r>
      <w:hyperlink r:id="rId25">
        <w:r>
          <w:rPr>
            <w:rStyle w:val="Hyperlink"/>
          </w:rPr>
          <w:t xml:space="preserve">05 — Client Core &amp; UI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docs/design/README.md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v10-design/*.md</w:t>
      </w:r>
      <w:r>
        <w:rPr>
          <w:i/>
          <w:iCs/>
        </w:rP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../../../../../design/README.md" TargetMode="External" /><Relationship Type="http://schemas.openxmlformats.org/officeDocument/2006/relationships/hyperlink" Id="rId13" Target="../../../../../design/components/README.md" TargetMode="External" /><Relationship Type="http://schemas.openxmlformats.org/officeDocument/2006/relationships/hyperlink" Id="rId16" Target="../../../../../design/exports/" TargetMode="External" /><Relationship Type="http://schemas.openxmlformats.org/officeDocument/2006/relationships/hyperlink" Id="rId15" Target="../../../../../design/interaction/README.md" TargetMode="External" /><Relationship Type="http://schemas.openxmlformats.org/officeDocument/2006/relationships/hyperlink" Id="rId14" Target="../../../../../design/screens/README.md" TargetMode="External" /><Relationship Type="http://schemas.openxmlformats.org/officeDocument/2006/relationships/hyperlink" Id="rId18" Target="../../../../../reviews/mvp-final/findings/phase2-opendesign-report.md" TargetMode="External" /><Relationship Type="http://schemas.openxmlformats.org/officeDocument/2006/relationships/hyperlink" Id="rId22" Target="../../v10-design/00-overview-and-submodule.md" TargetMode="External" /><Relationship Type="http://schemas.openxmlformats.org/officeDocument/2006/relationships/hyperlink" Id="rId24" Target="../../v10-design/design-tokens.md" TargetMode="External" /><Relationship Type="http://schemas.openxmlformats.org/officeDocument/2006/relationships/hyperlink" Id="rId23" Target="../../v10-design/opendesign-foundation.md" TargetMode="External" /><Relationship Type="http://schemas.openxmlformats.org/officeDocument/2006/relationships/hyperlink" Id="rId25" Target="../05-client-core-ui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../../../../design/README.md" TargetMode="External" /><Relationship Type="http://schemas.openxmlformats.org/officeDocument/2006/relationships/hyperlink" Id="rId13" Target="../../../../../design/components/README.md" TargetMode="External" /><Relationship Type="http://schemas.openxmlformats.org/officeDocument/2006/relationships/hyperlink" Id="rId16" Target="../../../../../design/exports/" TargetMode="External" /><Relationship Type="http://schemas.openxmlformats.org/officeDocument/2006/relationships/hyperlink" Id="rId15" Target="../../../../../design/interaction/README.md" TargetMode="External" /><Relationship Type="http://schemas.openxmlformats.org/officeDocument/2006/relationships/hyperlink" Id="rId14" Target="../../../../../design/screens/README.md" TargetMode="External" /><Relationship Type="http://schemas.openxmlformats.org/officeDocument/2006/relationships/hyperlink" Id="rId18" Target="../../../../../reviews/mvp-final/findings/phase2-opendesign-report.md" TargetMode="External" /><Relationship Type="http://schemas.openxmlformats.org/officeDocument/2006/relationships/hyperlink" Id="rId22" Target="../../v10-design/00-overview-and-submodule.md" TargetMode="External" /><Relationship Type="http://schemas.openxmlformats.org/officeDocument/2006/relationships/hyperlink" Id="rId24" Target="../../v10-design/design-tokens.md" TargetMode="External" /><Relationship Type="http://schemas.openxmlformats.org/officeDocument/2006/relationships/hyperlink" Id="rId23" Target="../../v10-design/opendesign-foundation.md" TargetMode="External" /><Relationship Type="http://schemas.openxmlformats.org/officeDocument/2006/relationships/hyperlink" Id="rId25" Target="../05-client-core-ui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— Design System</dc:title>
  <dc:creator/>
  <cp:keywords/>
  <dcterms:created xsi:type="dcterms:W3CDTF">2026-07-05T19:16:58Z</dcterms:created>
  <dcterms:modified xsi:type="dcterms:W3CDTF">2026-07-05T19:16:58Z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