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11 — Guides &amp; FAQs</w:t>
      </w:r>
    </w:p>
    <w:bookmarkStart w:id="43" w:name="X425035c41746c55e68ef3ed9b4fec5bc349f814"/>
    <w:p>
      <w:pPr>
        <w:pStyle w:val="Heading1"/>
      </w:pPr>
      <w:r>
        <w:t xml:space="preserve">11 — Guides &amp; FAQs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 the four phase WBS docs,</w:t>
      </w:r>
      <w:r>
        <w:t xml:space="preserve"> </w:t>
      </w:r>
      <w:r>
        <w:rPr>
          <w:rStyle w:val="VerbatimChar"/>
        </w:rPr>
        <w:t xml:space="preserve">v07-execution/*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28271128f2cb80b986bc9367facd835b2666a4d"/>
    <w:p>
      <w:pPr>
        <w:pStyle w:val="Heading2"/>
      </w:pPr>
      <w:r>
        <w:t xml:space="preserve">1. Position</w:t>
      </w:r>
    </w:p>
    <w:p>
      <w:pPr>
        <w:pStyle w:val="FirstParagraph"/>
      </w:pPr>
      <w:r>
        <w:t xml:space="preserve">This section is the</w:t>
      </w:r>
      <w:r>
        <w:t xml:space="preserve"> </w:t>
      </w:r>
      <w:r>
        <w:rPr>
          <w:b/>
          <w:bCs/>
        </w:rPr>
        <w:t xml:space="preserve">practical companion</w:t>
      </w:r>
      <w:r>
        <w:t xml:space="preserve"> </w:t>
      </w:r>
      <w:r>
        <w:t xml:space="preserve">to the rest of the consolidated implementation source of truth. It gives a high-level roadmap of the four-phase programme, onboarding checklists for engineers and operators, operational runbooks, and answers to frequently asked questions.</w:t>
      </w:r>
    </w:p>
    <w:p>
      <w:pPr>
        <w:pStyle w:val="BodyText"/>
      </w:pPr>
      <w:r>
        <w:t xml:space="preserve">For authoritative detail, follow the cross-references back to the phase WBS docs and the Volume-6/7 nano-detail docs.</w:t>
      </w:r>
    </w:p>
    <w:p>
      <w:r>
        <w:pict>
          <v:rect style="width:0;height:1.5pt" o:hralign="center" o:hrstd="t" o:hr="t"/>
        </w:pict>
      </w:r>
    </w:p>
    <w:bookmarkEnd w:id="9"/>
    <w:bookmarkStart w:id="11" w:name="X3cd54d8d9c0f805c6b9254d6c6071ced6d58b94"/>
    <w:p>
      <w:pPr>
        <w:pStyle w:val="Heading2"/>
      </w:pPr>
      <w:r>
        <w:t xml:space="preserve">2. Four-phase roadmap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Exit gate / definition of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Spike</w:t>
            </w:r>
          </w:p>
        </w:tc>
        <w:tc>
          <w:tcPr/>
          <w:p>
            <w:pPr>
              <w:pStyle w:val="Compact"/>
            </w:pPr>
            <w:r>
              <w:t xml:space="preserve">Settle make-or-break risks on production interfaces</w:t>
            </w:r>
          </w:p>
        </w:tc>
        <w:tc>
          <w:tcPr/>
          <w:p>
            <w:pPr>
              <w:pStyle w:val="Compact"/>
            </w:pPr>
            <w:r>
              <w:t xml:space="preserve">G1–G6 gates pass; surviving interfaces feed 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MVP</w:t>
            </w:r>
          </w:p>
        </w:tc>
        <w:tc>
          <w:tcPr/>
          <w:p>
            <w:pPr>
              <w:pStyle w:val="Compact"/>
            </w:pPr>
            <w:r>
              <w:t xml:space="preserve">Self-hostable overlay network with privacy-VPN front end</w:t>
            </w:r>
          </w:p>
        </w:tc>
        <w:tc>
          <w:tcPr/>
          <w:p>
            <w:pPr>
              <w:pStyle w:val="Compact"/>
            </w:pPr>
            <w:r>
              <w:t xml:space="preserve">8 acceptance criteria + 4 SLOs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Parity + Reach</w:t>
            </w:r>
          </w:p>
        </w:tc>
        <w:tc>
          <w:tcPr/>
          <w:p>
            <w:pPr>
              <w:pStyle w:val="Compact"/>
            </w:pPr>
            <w:r>
              <w:t xml:space="preserve">Mullvad-parity transport set, P2P/NAT, PQ, DAITA, HA</w:t>
            </w:r>
          </w:p>
        </w:tc>
        <w:tc>
          <w:tcPr/>
          <w:p>
            <w:pPr>
              <w:pStyle w:val="Compact"/>
            </w:pPr>
            <w:r>
              <w:t xml:space="preserve">P2-AC1..8 + P2-SLO1..5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Extended Reach</w:t>
            </w:r>
          </w:p>
        </w:tc>
        <w:tc>
          <w:tcPr/>
          <w:p>
            <w:pPr>
              <w:pStyle w:val="Compact"/>
            </w:pPr>
            <w:r>
              <w:t xml:space="preserve">HarmonyOS, Aurora, WASM proxy, billing, audit, reproducible builds</w:t>
            </w:r>
          </w:p>
        </w:tc>
        <w:tc>
          <w:tcPr/>
          <w:p>
            <w:pPr>
              <w:pStyle w:val="Compact"/>
            </w:pPr>
            <w:r>
              <w:t xml:space="preserve">G20–G26 gates + release tag</w:t>
            </w:r>
          </w:p>
        </w:tc>
      </w:tr>
    </w:tbl>
    <w:p>
      <w:pPr>
        <w:pStyle w:val="BodyText"/>
      </w:pPr>
      <w:r>
        <w:t xml:space="preserve">Critical path summary (risk-ordered, sizing-only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0:</w:t>
      </w:r>
      <w:r>
        <w:t xml:space="preserve"> </w:t>
      </w:r>
      <w:r>
        <w:t xml:space="preserve">longest chain</w:t>
      </w:r>
      <w:r>
        <w:t xml:space="preserve"> </w:t>
      </w:r>
      <w:r>
        <w:rPr>
          <w:rStyle w:val="VerbatimChar"/>
        </w:rPr>
        <w:t xml:space="preserve">Transport trait → plain-UDP → orchestrator → G1 → MASQUE → G2 → edge-language benchmark G4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1:</w:t>
      </w:r>
      <w:r>
        <w:t xml:space="preserve"> </w:t>
      </w:r>
      <w:r>
        <w:rPr>
          <w:rStyle w:val="VerbatimChar"/>
        </w:rPr>
        <w:t xml:space="preserve">monorepo → FORCE-RLS → PKI device-cert → coordinator+WatchNetworkMap → transport/kill-switch → edge → QA/DoD cert → MVP tag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2:</w:t>
      </w:r>
      <w:r>
        <w:t xml:space="preserve"> </w:t>
      </w:r>
      <w:r>
        <w:rPr>
          <w:rStyle w:val="VerbatimChar"/>
        </w:rPr>
        <w:t xml:space="preserve">HA/multi-region → STUN discovery → hole-punch → relay → multi-hop → P2 QA/DoD → parity tag</w:t>
      </w:r>
      <w:r>
        <w:t xml:space="preserve"> </w:t>
      </w:r>
      <w:r>
        <w:t xml:space="preserve">(PQ and DAITA run in parallel).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3:</w:t>
      </w:r>
      <w:r>
        <w:t xml:space="preserve"> </w:t>
      </w:r>
      <w:r>
        <w:rPr>
          <w:rStyle w:val="VerbatimChar"/>
        </w:rPr>
        <w:t xml:space="preserve">fork runners → native shims → third-party audit → l10n/release → reach tag</w:t>
      </w:r>
      <w:r>
        <w:t xml:space="preserve">, with E26 reproducible builds running in parallel.</w:t>
      </w:r>
    </w:p>
    <w:p>
      <w:pPr>
        <w:pStyle w:val="FirstParagraph"/>
      </w:pPr>
      <w:r>
        <w:t xml:space="preserve">For the full dependency DAG, see</w:t>
      </w:r>
      <w:r>
        <w:t xml:space="preserve"> </w:t>
      </w:r>
      <w:hyperlink r:id="rId10">
        <w:r>
          <w:rPr>
            <w:rStyle w:val="VerbatimChar"/>
          </w:rPr>
          <w:t xml:space="preserve">../../v07-execution/dependency-graph.md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7" w:name="X9a0c172b965e1dd393cf33cd42d334524afe7a2"/>
    <w:p>
      <w:pPr>
        <w:pStyle w:val="Heading2"/>
      </w:pPr>
      <w:r>
        <w:t xml:space="preserve">3. Onboarding checklists</w:t>
      </w:r>
    </w:p>
    <w:bookmarkStart w:id="14" w:name="X38911efb3ca644ccb0290e0c7084f25fb679f1e"/>
    <w:p>
      <w:pPr>
        <w:pStyle w:val="Heading3"/>
      </w:pPr>
      <w:r>
        <w:t xml:space="preserve">3.1 New engineer — first day</w:t>
      </w:r>
    </w:p>
    <w:p>
      <w:pPr>
        <w:pStyle w:val="Compact"/>
        <w:numPr>
          <w:ilvl w:val="0"/>
          <w:numId w:val="1002"/>
        </w:numPr>
      </w:pPr>
      <w:r>
        <w:t xml:space="preserve">Read</w:t>
      </w:r>
      <w:r>
        <w:t xml:space="preserve"> </w:t>
      </w:r>
      <w:hyperlink r:id="rId12">
        <w:r>
          <w:rPr>
            <w:rStyle w:val="Hyperlink"/>
          </w:rPr>
          <w:t xml:space="preserve">00 — Executive Summary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02 — System Architecture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Confirm the toolchain:</w:t>
      </w:r>
    </w:p>
    <w:p>
      <w:pPr>
        <w:pStyle w:val="Compact"/>
        <w:numPr>
          <w:ilvl w:val="1"/>
          <w:numId w:val="1003"/>
        </w:numPr>
      </w:pPr>
      <w:r>
        <w:t xml:space="preserve">Go 1.25+, Rust 1.85+, Node/pnpm for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, Flutter 3.29+.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buf</w:t>
      </w:r>
      <w:r>
        <w:t xml:space="preserve">,</w:t>
      </w:r>
      <w:r>
        <w:t xml:space="preserve"> </w:t>
      </w:r>
      <w:r>
        <w:rPr>
          <w:rStyle w:val="VerbatimChar"/>
        </w:rPr>
        <w:t xml:space="preserve">sqlc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(rootless),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verify-gen</w:t>
      </w:r>
      <w:r>
        <w:t xml:space="preserve"> </w:t>
      </w:r>
      <w:r>
        <w:t xml:space="preserve">to confirm schema-first codegen is clean.</w:t>
      </w:r>
    </w:p>
    <w:p>
      <w:pPr>
        <w:pStyle w:val="Compact"/>
        <w:numPr>
          <w:ilvl w:val="0"/>
          <w:numId w:val="1002"/>
        </w:numPr>
      </w:pPr>
      <w:r>
        <w:t xml:space="preserve">Read the phase WBS doc for the area you will work in (</w:t>
      </w: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09-phase3-reach-wbs.md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Open one nano-detail doc in your area (e.g.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and find your first item via</w:t>
      </w:r>
      <w:r>
        <w:t xml:space="preserve"> </w:t>
      </w:r>
      <w:r>
        <w:rPr>
          <w:rStyle w:val="VerbatimChar"/>
        </w:rPr>
        <w:t xml:space="preserve">cmd/workable-items</w:t>
      </w:r>
      <w:r>
        <w:t xml:space="preserve"> </w:t>
      </w:r>
      <w:r>
        <w:t xml:space="preserve">(work-item</w:t>
      </w:r>
      <w:r>
        <w:t xml:space="preserve"> </w:t>
      </w:r>
      <w:r>
        <w:rPr>
          <w:rStyle w:val="VerbatimChar"/>
        </w:rPr>
        <w:t xml:space="preserve">HVPN-P1-150</w:t>
      </w:r>
      <w:r>
        <w:t xml:space="preserve">).</w:t>
      </w:r>
    </w:p>
    <w:bookmarkEnd w:id="14"/>
    <w:bookmarkStart w:id="16" w:name="Xb6e5dc1e637e55492f4a954dd79038653ba96f7"/>
    <w:p>
      <w:pPr>
        <w:pStyle w:val="Heading3"/>
      </w:pPr>
      <w:r>
        <w:t xml:space="preserve">3.2 New operator — first gateway</w:t>
      </w:r>
    </w:p>
    <w:p>
      <w:pPr>
        <w:pStyle w:val="Compact"/>
        <w:numPr>
          <w:ilvl w:val="0"/>
          <w:numId w:val="1004"/>
        </w:numPr>
      </w:pPr>
      <w:r>
        <w:t xml:space="preserve">Install rootless Podman and confirm</w:t>
      </w:r>
      <w:r>
        <w:t xml:space="preserve"> </w:t>
      </w:r>
      <w:r>
        <w:rPr>
          <w:rStyle w:val="VerbatimChar"/>
        </w:rPr>
        <w:t xml:space="preserve">net.ipv4.ip_unprivileged_port_start=443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helixvpnctl init --domain gw.example.com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Review the generated quadlet units under</w:t>
      </w:r>
      <w:r>
        <w:t xml:space="preserve"> </w:t>
      </w:r>
      <w:r>
        <w:rPr>
          <w:rStyle w:val="VerbatimChar"/>
        </w:rPr>
        <w:t xml:space="preserve">~/.config/containers/systemd/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Start the stack:</w:t>
      </w:r>
      <w:r>
        <w:t xml:space="preserve"> </w:t>
      </w:r>
      <w:r>
        <w:rPr>
          <w:rStyle w:val="VerbatimChar"/>
        </w:rPr>
        <w:t xml:space="preserve">systemctl --user start helixvpn-pod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Create an enrollment token:</w:t>
      </w:r>
      <w:r>
        <w:t xml:space="preserve"> </w:t>
      </w:r>
      <w:r>
        <w:rPr>
          <w:rStyle w:val="VerbatimChar"/>
        </w:rPr>
        <w:t xml:space="preserve">helixvpnctl enroll-token --tenant example --ttl 1h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Enroll a Connector and a Client, then verify reach to an authorized LAN host.</w:t>
      </w:r>
    </w:p>
    <w:p>
      <w:pPr>
        <w:pStyle w:val="Compact"/>
        <w:numPr>
          <w:ilvl w:val="0"/>
          <w:numId w:val="1004"/>
        </w:numPr>
      </w:pPr>
      <w:r>
        <w:t xml:space="preserve">Read the DR runbook in</w:t>
      </w:r>
      <w:r>
        <w:t xml:space="preserve"> </w:t>
      </w:r>
      <w:hyperlink r:id="rId15">
        <w:r>
          <w:rPr>
            <w:rStyle w:val="VerbatimChar"/>
          </w:rPr>
          <w:t xml:space="preserve">../../v06-deploy/disaster-recovery.md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92be1eb90133df80a2cc2cc1474543a8ead3f1b"/>
    <w:p>
      <w:pPr>
        <w:pStyle w:val="Heading2"/>
      </w:pPr>
      <w:r>
        <w:t xml:space="preserve">4. Operational runbooks</w:t>
      </w:r>
    </w:p>
    <w:bookmarkStart w:id="18" w:name="Xe12f4e7223060f34721e1b4ec06e240e726e770"/>
    <w:p>
      <w:pPr>
        <w:pStyle w:val="Heading3"/>
      </w:pPr>
      <w:r>
        <w:t xml:space="preserve">4.1 Disaster recovery</w:t>
      </w:r>
    </w:p>
    <w:p>
      <w:pPr>
        <w:pStyle w:val="FirstParagraph"/>
      </w:pPr>
      <w:r>
        <w:t xml:space="preserve">HelixVPN has exactly one durable source of truth: Postgres. Everything else is ephemeral or regenerable.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Backed up?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+ WAL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Only durable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root / PKI secrets</w:t>
            </w:r>
          </w:p>
        </w:tc>
        <w:tc>
          <w:tcPr/>
          <w:p>
            <w:pPr>
              <w:pStyle w:val="Compact"/>
            </w:pPr>
            <w:r>
              <w:t xml:space="preserve">Yes, KMS-encrypted, offline</w:t>
            </w:r>
          </w:p>
        </w:tc>
        <w:tc>
          <w:tcPr/>
          <w:p>
            <w:pPr>
              <w:pStyle w:val="Compact"/>
            </w:pPr>
            <w:r>
              <w:t xml:space="preserve">Catastrophic if lost or leaked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/ NATS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Ephemeral; backing them up would create a connection log (C3 violation)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manifests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Regenerated via</w:t>
            </w:r>
            <w:r>
              <w:t xml:space="preserve"> </w:t>
            </w:r>
            <w:r>
              <w:rPr>
                <w:rStyle w:val="VerbatimChar"/>
              </w:rPr>
              <w:t xml:space="preserve">helixvpnctl deploy</w:t>
            </w:r>
          </w:p>
        </w:tc>
      </w:tr>
    </w:tbl>
    <w:p>
      <w:pPr>
        <w:pStyle w:val="BodyText"/>
      </w:pPr>
      <w:r>
        <w:t xml:space="preserve">Targets (§11.4.6 — not guarantees until drills measure them):</w:t>
      </w:r>
    </w:p>
    <w:p>
      <w:pPr>
        <w:pStyle w:val="Compact"/>
        <w:numPr>
          <w:ilvl w:val="0"/>
          <w:numId w:val="1005"/>
        </w:numPr>
      </w:pPr>
      <w:r>
        <w:t xml:space="preserve">Postgres restore RTO &lt; 15 min; RPO ≈ WAL archive interval.</w:t>
      </w:r>
    </w:p>
    <w:p>
      <w:pPr>
        <w:pStyle w:val="Compact"/>
        <w:numPr>
          <w:ilvl w:val="0"/>
          <w:numId w:val="1005"/>
        </w:numPr>
      </w:pPr>
      <w:r>
        <w:t xml:space="preserve">Whole-region failover RTO &lt; 15 min; RPO = 0 with synchronous standby.</w:t>
      </w:r>
    </w:p>
    <w:p>
      <w:pPr>
        <w:pStyle w:val="FirstParagraph"/>
      </w:pPr>
      <w:r>
        <w:t xml:space="preserve">Steps for a single-store recovery:</w:t>
      </w:r>
    </w:p>
    <w:p>
      <w:pPr>
        <w:pStyle w:val="Compact"/>
        <w:numPr>
          <w:ilvl w:val="0"/>
          <w:numId w:val="1006"/>
        </w:numPr>
      </w:pPr>
      <w:r>
        <w:t xml:space="preserve">Snapshot the current (even corrupt) store before overwriting.</w:t>
      </w:r>
    </w:p>
    <w:p>
      <w:pPr>
        <w:pStyle w:val="Compact"/>
        <w:numPr>
          <w:ilvl w:val="0"/>
          <w:numId w:val="1006"/>
        </w:numPr>
      </w:pPr>
      <w:r>
        <w:t xml:space="preserve">Record the target recovery point and expected post-restore state.</w:t>
      </w:r>
    </w:p>
    <w:p>
      <w:pPr>
        <w:pStyle w:val="Compact"/>
        <w:numPr>
          <w:ilvl w:val="0"/>
          <w:numId w:val="1006"/>
        </w:numPr>
      </w:pPr>
      <w:r>
        <w:t xml:space="preserve">Restore to a</w:t>
      </w:r>
      <w:r>
        <w:t xml:space="preserve"> </w:t>
      </w:r>
      <w:r>
        <w:rPr>
          <w:b/>
          <w:bCs/>
        </w:rPr>
        <w:t xml:space="preserve">fresh</w:t>
      </w:r>
      <w:r>
        <w:t xml:space="preserve"> </w:t>
      </w:r>
      <w:r>
        <w:t xml:space="preserve">volume/cluster; never overwrite the live primary in place.</w:t>
      </w:r>
    </w:p>
    <w:p>
      <w:pPr>
        <w:pStyle w:val="Compact"/>
        <w:numPr>
          <w:ilvl w:val="0"/>
          <w:numId w:val="1006"/>
        </w:numPr>
      </w:pPr>
      <w:r>
        <w:t xml:space="preserve">Run the verification gate: schema version, RLS intact,</w:t>
      </w:r>
      <w:r>
        <w:t xml:space="preserve"> </w:t>
      </w:r>
      <w:r>
        <w:rPr>
          <w:rStyle w:val="VerbatimChar"/>
        </w:rPr>
        <w:t xml:space="preserve">schemalint</w:t>
      </w:r>
      <w:r>
        <w:t xml:space="preserve"> </w:t>
      </w:r>
      <w:r>
        <w:t xml:space="preserve">green, row-count sanity, live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snapshot.</w:t>
      </w:r>
    </w:p>
    <w:p>
      <w:pPr>
        <w:pStyle w:val="Compact"/>
        <w:numPr>
          <w:ilvl w:val="0"/>
          <w:numId w:val="1006"/>
        </w:numPr>
      </w:pPr>
      <w:r>
        <w:t xml:space="preserve">Promote only after all gate checks pass.</w:t>
      </w:r>
    </w:p>
    <w:p>
      <w:pPr>
        <w:pStyle w:val="FirstParagraph"/>
      </w:pPr>
      <w:r>
        <w:t xml:space="preserve">See the full runbook at</w:t>
      </w:r>
      <w:r>
        <w:t xml:space="preserve"> </w:t>
      </w:r>
      <w:hyperlink r:id="rId15">
        <w:r>
          <w:rPr>
            <w:rStyle w:val="VerbatimChar"/>
          </w:rPr>
          <w:t xml:space="preserve">../../v06-deploy/disaster-recovery.md</w:t>
        </w:r>
      </w:hyperlink>
      <w:r>
        <w:t xml:space="preserve">.</w:t>
      </w:r>
    </w:p>
    <w:bookmarkEnd w:id="18"/>
    <w:bookmarkStart w:id="19" w:name="Xd0081d3e6293e036fa7c2f152961c183601ed0c"/>
    <w:p>
      <w:pPr>
        <w:pStyle w:val="Heading3"/>
      </w:pPr>
      <w:r>
        <w:t xml:space="preserve">4.2 Dependency graph</w:t>
      </w:r>
    </w:p>
    <w:p>
      <w:pPr>
        <w:pStyle w:val="FirstParagraph"/>
      </w:pPr>
      <w:r>
        <w:t xml:space="preserve">Every cross-phase dependency is transcribed from the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/</w:t>
      </w:r>
      <w:r>
        <w:rPr>
          <w:rStyle w:val="VerbatimChar"/>
        </w:rPr>
        <w:t xml:space="preserve">deps</w:t>
      </w:r>
      <w:r>
        <w:t xml:space="preserve"> </w:t>
      </w:r>
      <w:r>
        <w:t xml:space="preserve">fields in the four WBS docs; nothing is invented.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loader enforces DAG acyclicity.</w:t>
      </w:r>
    </w:p>
    <w:p>
      <w:pPr>
        <w:pStyle w:val="BodyText"/>
      </w:pPr>
      <w:r>
        <w:t xml:space="preserve">Key rules: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Risk-ordered sequencing:</w:t>
      </w:r>
      <w:r>
        <w:t xml:space="preserve"> </w:t>
      </w:r>
      <w:r>
        <w:t xml:space="preserve">correctness floor (RLS, no-log lint, kill-switch, NAT honesty, PQ downgrade-safety) leads; convenience UI trails.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Disjoint-scope PWUs run in parallel.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Single-resource-owner:</w:t>
      </w:r>
      <w:r>
        <w:t xml:space="preserve"> </w:t>
      </w:r>
      <w:r>
        <w:t xml:space="preserve">shared hardware (e.g. bench host) is never double-booked.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Device-gated Phase-3 work parks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 </w:t>
      </w:r>
      <w:r>
        <w:t xml:space="preserve">while host-only work continues as ≥3 background streams.</w:t>
      </w:r>
    </w:p>
    <w:bookmarkEnd w:id="19"/>
    <w:bookmarkStart w:id="21" w:name="X289316f5eca09dad4a1bc1398587a5e076a2ef4"/>
    <w:p>
      <w:pPr>
        <w:pStyle w:val="Heading3"/>
      </w:pPr>
      <w:r>
        <w:t xml:space="preserve">4.3 Workable-items model</w:t>
      </w:r>
    </w:p>
    <w:p>
      <w:pPr>
        <w:pStyle w:val="FirstParagraph"/>
      </w:pPr>
      <w:r>
        <w:t xml:space="preserve">The WBS is bidirectionally synced to the git-tracked SQLite database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via Docs Chain.</w:t>
      </w:r>
    </w:p>
    <w:p>
      <w:pPr>
        <w:pStyle w:val="Compact"/>
        <w:numPr>
          <w:ilvl w:val="0"/>
          <w:numId w:val="1008"/>
        </w:numPr>
      </w:pPr>
      <w:r>
        <w:t xml:space="preserve">Every leaf carries</w:t>
      </w:r>
      <w:r>
        <w:t xml:space="preserve"> </w:t>
      </w:r>
      <w:r>
        <w:rPr>
          <w:rStyle w:val="VerbatimChar"/>
        </w:rPr>
        <w:t xml:space="preserve">HVPN-Pn-NNN[.k]</w:t>
      </w:r>
      <w:r>
        <w:t xml:space="preserve"> </w:t>
      </w:r>
      <w:r>
        <w:t xml:space="preserve">id, status, type, description, acceptance, effort, tests, deps.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in the per-item test diary is impossible without a captured evidence path (schema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blocks commit if md↔db drift or a dependency cycle exists.</w:t>
      </w:r>
    </w:p>
    <w:p>
      <w:pPr>
        <w:pStyle w:val="FirstParagraph"/>
      </w:pPr>
      <w:r>
        <w:t xml:space="preserve">See</w:t>
      </w:r>
      <w:r>
        <w:t xml:space="preserve"> </w:t>
      </w:r>
      <w:hyperlink r:id="rId20">
        <w:r>
          <w:rPr>
            <w:rStyle w:val="VerbatimChar"/>
          </w:rPr>
          <w:t xml:space="preserve">../../v07-execution/workable-items-model.md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6" w:name="X6f7e504136642a37bf37b07bba27035ed477c9a"/>
    <w:p>
      <w:pPr>
        <w:pStyle w:val="Heading2"/>
      </w:pPr>
      <w:r>
        <w:t xml:space="preserve">5. FAQs</w:t>
      </w:r>
    </w:p>
    <w:bookmarkStart w:id="23" w:name="X2db2e318c572e26e09bca5120bef6b42f34c31f"/>
    <w:p>
      <w:pPr>
        <w:pStyle w:val="Heading3"/>
      </w:pPr>
      <w:r>
        <w:t xml:space="preserve">FAQ-1 — Where is the single source of truth?</w:t>
      </w:r>
    </w:p>
    <w:p>
      <w:pPr>
        <w:pStyle w:val="FirstParagraph"/>
      </w:pPr>
      <w:r>
        <w:t xml:space="preserve">The consolidated implementation docs under</w:t>
      </w:r>
      <w:r>
        <w:t xml:space="preserve"> </w:t>
      </w:r>
      <w:r>
        <w:rPr>
          <w:rStyle w:val="VerbatimChar"/>
        </w:rPr>
        <w:t xml:space="preserve">docs/research/mvp/final/implementation/</w:t>
      </w:r>
      <w:r>
        <w:t xml:space="preserve"> </w:t>
      </w:r>
      <w:r>
        <w:t xml:space="preserve">are the navigable source of truth. If a detail is missing here, read the owning nano-detail doc in the parent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tree.</w:t>
      </w:r>
    </w:p>
    <w:bookmarkEnd w:id="23"/>
    <w:bookmarkStart w:id="24" w:name="faq-2--which-language-owns-which-layer"/>
    <w:p>
      <w:pPr>
        <w:pStyle w:val="Heading3"/>
      </w:pPr>
      <w:r>
        <w:t xml:space="preserve">FAQ-2 — Which language owns which layer?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Mandated operator stack; mature ecosystem (Gin, Connect-RPC, sqlc)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plane / edge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Byte-for-byte reuse with client core; iOS memory ceiling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core</w:t>
            </w:r>
          </w:p>
        </w:tc>
        <w:tc>
          <w:tcPr/>
          <w:p>
            <w:pPr>
              <w:pStyle w:val="Compact"/>
            </w:pPr>
            <w:r>
              <w:t xml:space="preserve">Rust + Flutter</w:t>
            </w:r>
          </w:p>
        </w:tc>
        <w:tc>
          <w:tcPr/>
          <w:p>
            <w:pPr>
              <w:pStyle w:val="Compact"/>
            </w:pPr>
            <w:r>
              <w:t xml:space="preserve">Shared core across 8 platforms; Flutter reaches iOS/Android/HarmonyOS/Aurora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tokens</w:t>
            </w:r>
          </w:p>
        </w:tc>
        <w:tc>
          <w:tcPr/>
          <w:p>
            <w:pPr>
              <w:pStyle w:val="Compact"/>
            </w:pPr>
            <w:r>
              <w:t xml:space="preserve">JSON → polyglot</w:t>
            </w:r>
          </w:p>
        </w:tc>
        <w:tc>
          <w:tcPr/>
          <w:p>
            <w:pPr>
              <w:pStyle w:val="Compact"/>
            </w:pPr>
            <w:r>
              <w:t xml:space="preserve">One source → CSS/Dart/Swift/Compose/ArkTS/C-Qt</w:t>
            </w:r>
          </w:p>
        </w:tc>
      </w:tr>
    </w:tbl>
    <w:bookmarkEnd w:id="24"/>
    <w:bookmarkStart w:id="25" w:name="Xd6fb576ae2101c3bd49bad0889ecbb60668a1b3"/>
    <w:p>
      <w:pPr>
        <w:pStyle w:val="Heading3"/>
      </w:pPr>
      <w:r>
        <w:t xml:space="preserve">FAQ-3 — Why not sing-box or Hysteria2 as the primary transport?</w:t>
      </w:r>
    </w:p>
    <w:p>
      <w:pPr>
        <w:pStyle w:val="FirstParagraph"/>
      </w:pPr>
      <w:r>
        <w:t xml:space="preserve">Hysteria2/Salamander and Shadowsocks are reflected in the Phase-2 transport set, but the primary obfuscation is</w:t>
      </w:r>
      <w:r>
        <w:t xml:space="preserve"> </w:t>
      </w:r>
      <w:r>
        <w:rPr>
          <w:b/>
          <w:bCs/>
        </w:rPr>
        <w:t xml:space="preserve">MASQUE/QUIC = WireGuard-over-HTTP/3</w:t>
      </w:r>
      <w:r>
        <w:t xml:space="preserve"> </w:t>
      </w:r>
      <w:r>
        <w:t xml:space="preserve">(RFC 9298), matching Mullvad's production mechanism. The custom Rust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crate shares code between client and edge and fits the iOS memory budget better than a Go framework would.</w:t>
      </w:r>
    </w:p>
    <w:bookmarkEnd w:id="25"/>
    <w:bookmarkStart w:id="26" w:name="X3f548f430b8436677b92411349035befff7331a"/>
    <w:p>
      <w:pPr>
        <w:pStyle w:val="Heading3"/>
      </w:pPr>
      <w:r>
        <w:t xml:space="preserve">FAQ-4 — What happens if the iOS Network Extension memory gate fails?</w:t>
      </w:r>
    </w:p>
    <w:p>
      <w:pPr>
        <w:pStyle w:val="FirstParagraph"/>
      </w:pPr>
      <w:r>
        <w:t xml:space="preserve">G3 is make-or-break. If the Rust core cannot fit in the iOS NE budget, the iOS shim is re-planned against the fallback ladder in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 </w:t>
      </w:r>
      <w:r>
        <w:t xml:space="preserve">§5 — surfaced as an operator decision, never silently hidden.</w:t>
      </w:r>
    </w:p>
    <w:bookmarkEnd w:id="26"/>
    <w:bookmarkStart w:id="27" w:name="faq-5--how-is-no-logging-enforced"/>
    <w:p>
      <w:pPr>
        <w:pStyle w:val="Heading3"/>
      </w:pPr>
      <w:r>
        <w:t xml:space="preserve">FAQ-5 — How is "no logging" enforced?</w:t>
      </w:r>
    </w:p>
    <w:p>
      <w:pPr>
        <w:pStyle w:val="Compact"/>
        <w:numPr>
          <w:ilvl w:val="0"/>
          <w:numId w:val="1009"/>
        </w:numPr>
      </w:pPr>
      <w:r>
        <w:t xml:space="preserve">Schema lint (</w:t>
      </w:r>
      <w:r>
        <w:rPr>
          <w:rStyle w:val="VerbatimChar"/>
        </w:rPr>
        <w:t xml:space="preserve">schemalint</w:t>
      </w:r>
      <w:r>
        <w:t xml:space="preserve">) forbids connection/traffic tables.</w:t>
      </w:r>
    </w:p>
    <w:p>
      <w:pPr>
        <w:pStyle w:val="Compact"/>
        <w:numPr>
          <w:ilvl w:val="0"/>
          <w:numId w:val="1009"/>
        </w:numPr>
      </w:pPr>
      <w:r>
        <w:t xml:space="preserve">Redis presence keys have TTLs and are never persisted.</w:t>
      </w:r>
    </w:p>
    <w:p>
      <w:pPr>
        <w:pStyle w:val="Compact"/>
        <w:numPr>
          <w:ilvl w:val="0"/>
          <w:numId w:val="1009"/>
        </w:numPr>
      </w:pPr>
      <w:r>
        <w:t xml:space="preserve">Telemetry is counts/gauges only; 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 </w:t>
      </w:r>
      <w:r>
        <w:t xml:space="preserve">labels.</w:t>
      </w:r>
    </w:p>
    <w:p>
      <w:pPr>
        <w:pStyle w:val="Compact"/>
        <w:numPr>
          <w:ilvl w:val="0"/>
          <w:numId w:val="1009"/>
        </w:numPr>
      </w:pPr>
      <w:r>
        <w:t xml:space="preserve">DR explicitly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back up Redis/NATS because restoring them would create a connection log.</w:t>
      </w:r>
    </w:p>
    <w:bookmarkEnd w:id="27"/>
    <w:bookmarkStart w:id="28" w:name="faq-6--how-do-i-add-a-new-transport"/>
    <w:p>
      <w:pPr>
        <w:pStyle w:val="Heading3"/>
      </w:pPr>
      <w:r>
        <w:t xml:space="preserve">FAQ-6 — How do I add a new transport?</w:t>
      </w:r>
    </w:p>
    <w:p>
      <w:pPr>
        <w:pStyle w:val="Compact"/>
        <w:numPr>
          <w:ilvl w:val="0"/>
          <w:numId w:val="1010"/>
        </w:numPr>
      </w:pPr>
      <w:r>
        <w:t xml:space="preserve">Implement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in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a carrier variant and MTU accounting.</w:t>
      </w:r>
    </w:p>
    <w:p>
      <w:pPr>
        <w:pStyle w:val="Compact"/>
        <w:numPr>
          <w:ilvl w:val="0"/>
          <w:numId w:val="1010"/>
        </w:numPr>
      </w:pPr>
      <w:r>
        <w:t xml:space="preserve">Wire it into the client/edge orchestrator and the transport ladder.</w:t>
      </w:r>
    </w:p>
    <w:p>
      <w:pPr>
        <w:pStyle w:val="Compact"/>
        <w:numPr>
          <w:ilvl w:val="0"/>
          <w:numId w:val="1010"/>
        </w:numPr>
      </w:pPr>
      <w:r>
        <w:t xml:space="preserve">Add test types: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E2E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CHAL</w:t>
      </w:r>
      <w:r>
        <w:t xml:space="preserve"> </w:t>
      </w:r>
      <w:r>
        <w:t xml:space="preserve">if a Challenge exists).</w:t>
      </w:r>
    </w:p>
    <w:p>
      <w:pPr>
        <w:pStyle w:val="Compact"/>
        <w:numPr>
          <w:ilvl w:val="0"/>
          <w:numId w:val="101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if it is a parity transport, or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 </w:t>
      </w:r>
      <w:r>
        <w:t xml:space="preserve">if it is MVP-critical.</w:t>
      </w:r>
    </w:p>
    <w:bookmarkEnd w:id="28"/>
    <w:bookmarkStart w:id="29" w:name="Xb8727de628eb9e804649ed5f8b3d5acf0ad1b19"/>
    <w:p>
      <w:pPr>
        <w:pStyle w:val="Heading3"/>
      </w:pPr>
      <w:r>
        <w:t xml:space="preserve">FAQ-7 — Why are there no date commitments in the WBS?</w:t>
      </w:r>
    </w:p>
    <w:p>
      <w:pPr>
        <w:pStyle w:val="FirstParagraph"/>
      </w:pPr>
      <w:r>
        <w:t xml:space="preserve">Every duration is a sizing-only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. Constitution §11.4.6 and the phase WBS docs state explicitly that effort figures are "indicative person-day totals …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commitment". Calendar dates require operator planning and are not authored in the spec.</w:t>
      </w:r>
    </w:p>
    <w:bookmarkEnd w:id="29"/>
    <w:bookmarkStart w:id="31" w:name="faq-8--what-is-the-rbac-role-matrix"/>
    <w:p>
      <w:pPr>
        <w:pStyle w:val="Heading3"/>
      </w:pPr>
      <w:r>
        <w:t xml:space="preserve">FAQ-8 — What is the RBAC role matrix?</w:t>
      </w:r>
    </w:p>
    <w:p>
      <w:pPr>
        <w:pStyle w:val="FirstParagraph"/>
      </w:pPr>
      <w:r>
        <w:t xml:space="preserve">Roles are defined in the product scope and enforced by the identity/API services. FR-610 gives RBAC a dedicated requirement: a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/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principal cannot invoke actions restricted to a higher role. See</w:t>
      </w:r>
      <w:r>
        <w:t xml:space="preserve"> </w:t>
      </w:r>
      <w:hyperlink r:id="rId30">
        <w:r>
          <w:rPr>
            <w:rStyle w:val="Hyperlink"/>
          </w:rPr>
          <w:t xml:space="preserve">01 — Product Scope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v03-control-plane/svc-identity.md</w:t>
      </w:r>
      <w:r>
        <w:t xml:space="preserve">.</w:t>
      </w:r>
    </w:p>
    <w:bookmarkEnd w:id="31"/>
    <w:bookmarkStart w:id="34" w:name="X1d3b788fd1909671f22452fd14f81f18e9af34e"/>
    <w:p>
      <w:pPr>
        <w:pStyle w:val="Heading3"/>
      </w:pPr>
      <w:r>
        <w:t xml:space="preserve">FAQ-9 — How do local connector ACLs interact with central policy?</w:t>
      </w:r>
    </w:p>
    <w:p>
      <w:pPr>
        <w:pStyle w:val="FirstParagraph"/>
      </w:pPr>
      <w:r>
        <w:t xml:space="preserve">Consolidation decision (pending coordinator confirmation):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Local-deny overrides central-allow</w:t>
      </w:r>
      <w:r>
        <w:t xml:space="preserve"> </w:t>
      </w:r>
      <w:r>
        <w:t xml:space="preserve">— a connector can tighten its own network's policy.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Central-deny overrides local-allow</w:t>
      </w:r>
      <w:r>
        <w:t xml:space="preserve"> </w:t>
      </w:r>
      <w:r>
        <w:t xml:space="preserve">— tenant-wide default-deny/fail-closed wins.</w:t>
      </w:r>
    </w:p>
    <w:p>
      <w:pPr>
        <w:pStyle w:val="Compact"/>
        <w:numPr>
          <w:ilvl w:val="0"/>
          <w:numId w:val="1011"/>
        </w:numPr>
      </w:pPr>
      <w:r>
        <w:t xml:space="preserve">The connector advertises its local-deny list to the coordinator so the edge enforces it consistently.</w:t>
      </w:r>
    </w:p>
    <w:p>
      <w:pPr>
        <w:pStyle w:val="FirstParagraph"/>
      </w:pP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03 — Data Plane</w:t>
        </w:r>
      </w:hyperlink>
      <w:r>
        <w:t xml:space="preserve"> </w:t>
      </w:r>
      <w:r>
        <w:t xml:space="preserve">§9 and</w:t>
      </w:r>
      <w:r>
        <w:t xml:space="preserve"> </w:t>
      </w:r>
      <w:hyperlink r:id="rId33">
        <w:r>
          <w:rPr>
            <w:rStyle w:val="Hyperlink"/>
          </w:rPr>
          <w:t xml:space="preserve">04 — Control Plane</w:t>
        </w:r>
      </w:hyperlink>
      <w:r>
        <w:t xml:space="preserve"> </w:t>
      </w:r>
      <w:r>
        <w:t xml:space="preserve">§6.</w:t>
      </w:r>
    </w:p>
    <w:bookmarkEnd w:id="34"/>
    <w:bookmarkStart w:id="35" w:name="X05b97b27e1ca089fad2f198b6ed9b13b3f61b97"/>
    <w:p>
      <w:pPr>
        <w:pStyle w:val="Heading3"/>
      </w:pPr>
      <w:r>
        <w:t xml:space="preserve">FAQ-10 — Where do I report a documentation inconsistency?</w:t>
      </w:r>
    </w:p>
    <w:p>
      <w:pPr>
        <w:pStyle w:val="FirstParagraph"/>
      </w:pPr>
      <w:r>
        <w:t xml:space="preserve">Open a finding in</w:t>
      </w:r>
      <w:r>
        <w:t xml:space="preserve"> </w:t>
      </w:r>
      <w:r>
        <w:rPr>
          <w:rStyle w:val="VerbatimChar"/>
        </w:rPr>
        <w:t xml:space="preserve">docs/reviews/mvp-final/findings/</w:t>
      </w:r>
      <w:r>
        <w:t xml:space="preserve"> </w:t>
      </w:r>
      <w:r>
        <w:t xml:space="preserve">and, if it is a real contradiction, add a row to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 </w:t>
      </w:r>
      <w:r>
        <w:t xml:space="preserve">gaps. Do not silently resolve cross-doc conflicts in the consolidated docs alone.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c3f093e31e6b6471624b0f36b2f77420b419de7"/>
    <w:p>
      <w:pPr>
        <w:pStyle w:val="Heading2"/>
      </w:pPr>
      <w:r>
        <w:t xml:space="preserve">6. Cross-references</w:t>
      </w:r>
    </w:p>
    <w:p>
      <w:pPr>
        <w:pStyle w:val="Compact"/>
        <w:numPr>
          <w:ilvl w:val="0"/>
          <w:numId w:val="1012"/>
        </w:numPr>
      </w:pPr>
      <w:r>
        <w:t xml:space="preserve">Phase 0 WBS →</w:t>
      </w:r>
      <w:r>
        <w:t xml:space="preserve"> </w:t>
      </w:r>
      <w:hyperlink r:id="rId37">
        <w:r>
          <w:rPr>
            <w:rStyle w:val="VerbatimChar"/>
          </w:rPr>
          <w:t xml:space="preserve">../../06-phase0-spike-wbs.md</w:t>
        </w:r>
      </w:hyperlink>
    </w:p>
    <w:p>
      <w:pPr>
        <w:pStyle w:val="Compact"/>
        <w:numPr>
          <w:ilvl w:val="0"/>
          <w:numId w:val="1012"/>
        </w:numPr>
      </w:pPr>
      <w:r>
        <w:t xml:space="preserve">Phase 1 WBS →</w:t>
      </w:r>
      <w:r>
        <w:t xml:space="preserve"> </w:t>
      </w:r>
      <w:hyperlink r:id="rId38">
        <w:r>
          <w:rPr>
            <w:rStyle w:val="VerbatimChar"/>
          </w:rPr>
          <w:t xml:space="preserve">../../07-phase1-mvp-wbs.md</w:t>
        </w:r>
      </w:hyperlink>
    </w:p>
    <w:p>
      <w:pPr>
        <w:pStyle w:val="Compact"/>
        <w:numPr>
          <w:ilvl w:val="0"/>
          <w:numId w:val="1012"/>
        </w:numPr>
      </w:pPr>
      <w:r>
        <w:t xml:space="preserve">Phase 2 WBS →</w:t>
      </w:r>
      <w:r>
        <w:t xml:space="preserve"> </w:t>
      </w:r>
      <w:hyperlink r:id="rId39">
        <w:r>
          <w:rPr>
            <w:rStyle w:val="VerbatimChar"/>
          </w:rPr>
          <w:t xml:space="preserve">../../08-phase2-parity-wbs.md</w:t>
        </w:r>
      </w:hyperlink>
    </w:p>
    <w:p>
      <w:pPr>
        <w:pStyle w:val="Compact"/>
        <w:numPr>
          <w:ilvl w:val="0"/>
          <w:numId w:val="1012"/>
        </w:numPr>
      </w:pPr>
      <w:r>
        <w:t xml:space="preserve">Phase 3 WBS →</w:t>
      </w:r>
      <w:r>
        <w:t xml:space="preserve"> </w:t>
      </w:r>
      <w:hyperlink r:id="rId40">
        <w:r>
          <w:rPr>
            <w:rStyle w:val="VerbatimChar"/>
          </w:rPr>
          <w:t xml:space="preserve">../../09-phase3-reach-wbs.md</w:t>
        </w:r>
      </w:hyperlink>
    </w:p>
    <w:p>
      <w:pPr>
        <w:pStyle w:val="Compact"/>
        <w:numPr>
          <w:ilvl w:val="0"/>
          <w:numId w:val="1012"/>
        </w:numPr>
      </w:pPr>
      <w:r>
        <w:t xml:space="preserve">Dependency graph →</w:t>
      </w:r>
      <w:r>
        <w:t xml:space="preserve"> </w:t>
      </w:r>
      <w:hyperlink r:id="rId10">
        <w:r>
          <w:rPr>
            <w:rStyle w:val="VerbatimChar"/>
          </w:rPr>
          <w:t xml:space="preserve">../../v07-execution/dependency-graph.md</w:t>
        </w:r>
      </w:hyperlink>
    </w:p>
    <w:p>
      <w:pPr>
        <w:pStyle w:val="Compact"/>
        <w:numPr>
          <w:ilvl w:val="0"/>
          <w:numId w:val="1012"/>
        </w:numPr>
      </w:pPr>
      <w:r>
        <w:t xml:space="preserve">Workable-items model →</w:t>
      </w:r>
      <w:r>
        <w:t xml:space="preserve"> </w:t>
      </w:r>
      <w:hyperlink r:id="rId20">
        <w:r>
          <w:rPr>
            <w:rStyle w:val="VerbatimChar"/>
          </w:rPr>
          <w:t xml:space="preserve">../../v07-execution/workable-items-model.md</w:t>
        </w:r>
      </w:hyperlink>
    </w:p>
    <w:p>
      <w:pPr>
        <w:pStyle w:val="Compact"/>
        <w:numPr>
          <w:ilvl w:val="0"/>
          <w:numId w:val="1012"/>
        </w:numPr>
      </w:pPr>
      <w:r>
        <w:t xml:space="preserve">Disaster recovery →</w:t>
      </w:r>
      <w:r>
        <w:t xml:space="preserve"> </w:t>
      </w:r>
      <w:hyperlink r:id="rId15">
        <w:r>
          <w:rPr>
            <w:rStyle w:val="VerbatimChar"/>
          </w:rPr>
          <w:t xml:space="preserve">../../v06-deploy/disaster-recovery.md</w:t>
        </w:r>
      </w:hyperlink>
    </w:p>
    <w:p>
      <w:pPr>
        <w:pStyle w:val="Compact"/>
        <w:numPr>
          <w:ilvl w:val="0"/>
          <w:numId w:val="1012"/>
        </w:numPr>
      </w:pPr>
      <w:r>
        <w:t xml:space="preserve">Testing &amp; QA →</w:t>
      </w:r>
      <w:r>
        <w:t xml:space="preserve"> </w:t>
      </w:r>
      <w:hyperlink r:id="rId41">
        <w:r>
          <w:rPr>
            <w:rStyle w:val="Hyperlink"/>
          </w:rPr>
          <w:t xml:space="preserve">09 — Testing &amp; QA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06/07/08/09-phase*-wbs.md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v07-execution/*.md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v06-deploy/disaster-recovery.md</w:t>
      </w:r>
      <w:r>
        <w:rPr>
          <w:i/>
          <w:iCs/>
        </w:rPr>
        <w:t xml:space="preserve">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./../06-phase0-spike-wbs.md" TargetMode="External" /><Relationship Type="http://schemas.openxmlformats.org/officeDocument/2006/relationships/hyperlink" Id="rId38" Target="../../07-phase1-mvp-wbs.md" TargetMode="External" /><Relationship Type="http://schemas.openxmlformats.org/officeDocument/2006/relationships/hyperlink" Id="rId39" Target="../../08-phase2-parity-wbs.md" TargetMode="External" /><Relationship Type="http://schemas.openxmlformats.org/officeDocument/2006/relationships/hyperlink" Id="rId40" Target="../../09-phase3-reach-wbs.md" TargetMode="External" /><Relationship Type="http://schemas.openxmlformats.org/officeDocument/2006/relationships/hyperlink" Id="rId15" Target="../../v06-deploy/disaster-recovery.md" TargetMode="External" /><Relationship Type="http://schemas.openxmlformats.org/officeDocument/2006/relationships/hyperlink" Id="rId10" Target="../../v07-execution/dependency-graph.md" TargetMode="External" /><Relationship Type="http://schemas.openxmlformats.org/officeDocument/2006/relationships/hyperlink" Id="rId20" Target="../../v07-execution/workable-items-model.md" TargetMode="External" /><Relationship Type="http://schemas.openxmlformats.org/officeDocument/2006/relationships/hyperlink" Id="rId12" Target="../00-executive-summary/README.md" TargetMode="External" /><Relationship Type="http://schemas.openxmlformats.org/officeDocument/2006/relationships/hyperlink" Id="rId30" Target="../01-product-scope/README.md" TargetMode="External" /><Relationship Type="http://schemas.openxmlformats.org/officeDocument/2006/relationships/hyperlink" Id="rId13" Target="../02-system-architecture/README.md" TargetMode="External" /><Relationship Type="http://schemas.openxmlformats.org/officeDocument/2006/relationships/hyperlink" Id="rId32" Target="../03-data-plane/README.md" TargetMode="External" /><Relationship Type="http://schemas.openxmlformats.org/officeDocument/2006/relationships/hyperlink" Id="rId33" Target="../04-control-plane/README.md" TargetMode="External" /><Relationship Type="http://schemas.openxmlformats.org/officeDocument/2006/relationships/hyperlink" Id="rId41" Target="../09-testing-qa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../06-phase0-spike-wbs.md" TargetMode="External" /><Relationship Type="http://schemas.openxmlformats.org/officeDocument/2006/relationships/hyperlink" Id="rId38" Target="../../07-phase1-mvp-wbs.md" TargetMode="External" /><Relationship Type="http://schemas.openxmlformats.org/officeDocument/2006/relationships/hyperlink" Id="rId39" Target="../../08-phase2-parity-wbs.md" TargetMode="External" /><Relationship Type="http://schemas.openxmlformats.org/officeDocument/2006/relationships/hyperlink" Id="rId40" Target="../../09-phase3-reach-wbs.md" TargetMode="External" /><Relationship Type="http://schemas.openxmlformats.org/officeDocument/2006/relationships/hyperlink" Id="rId15" Target="../../v06-deploy/disaster-recovery.md" TargetMode="External" /><Relationship Type="http://schemas.openxmlformats.org/officeDocument/2006/relationships/hyperlink" Id="rId10" Target="../../v07-execution/dependency-graph.md" TargetMode="External" /><Relationship Type="http://schemas.openxmlformats.org/officeDocument/2006/relationships/hyperlink" Id="rId20" Target="../../v07-execution/workable-items-model.md" TargetMode="External" /><Relationship Type="http://schemas.openxmlformats.org/officeDocument/2006/relationships/hyperlink" Id="rId12" Target="../00-executive-summary/README.md" TargetMode="External" /><Relationship Type="http://schemas.openxmlformats.org/officeDocument/2006/relationships/hyperlink" Id="rId30" Target="../01-product-scope/README.md" TargetMode="External" /><Relationship Type="http://schemas.openxmlformats.org/officeDocument/2006/relationships/hyperlink" Id="rId13" Target="../02-system-architecture/README.md" TargetMode="External" /><Relationship Type="http://schemas.openxmlformats.org/officeDocument/2006/relationships/hyperlink" Id="rId32" Target="../03-data-plane/README.md" TargetMode="External" /><Relationship Type="http://schemas.openxmlformats.org/officeDocument/2006/relationships/hyperlink" Id="rId33" Target="../04-control-plane/README.md" TargetMode="External" /><Relationship Type="http://schemas.openxmlformats.org/officeDocument/2006/relationships/hyperlink" Id="rId41" Target="../09-testing-qa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— Guides &amp; FAQs</dc:title>
  <dc:creator/>
  <cp:keywords/>
  <dcterms:created xsi:type="dcterms:W3CDTF">2026-07-05T15:06:55Z</dcterms:created>
  <dcterms:modified xsi:type="dcterms:W3CDTF">2026-07-05T15:06:55Z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