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99 — Source Coverage Ledger</w:t>
      </w:r>
    </w:p>
    <w:bookmarkStart w:id="35" w:name="X20a7b7e57a6f70d17980f95c8e0b89e812a4216"/>
    <w:p>
      <w:pPr>
        <w:pStyle w:val="Heading1"/>
      </w:pPr>
      <w:r>
        <w:t xml:space="preserve">99 — Source Coverage Ledger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28271128f2cb80b986bc9367facd835b2666a4d"/>
    <w:p>
      <w:pPr>
        <w:pStyle w:val="Heading2"/>
      </w:pPr>
      <w:r>
        <w:t xml:space="preserve">1. Position</w:t>
      </w:r>
    </w:p>
    <w:p>
      <w:pPr>
        <w:pStyle w:val="FirstParagraph"/>
      </w:pPr>
      <w:r>
        <w:t xml:space="preserve">This section is the §11.4.118 proof-of-completeness for the MVP documentation consolidation. It maps every canonical source document in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to the implementation section that carries its distinctive content, and it surfaces any source ideas that are not yet fully reflected.</w:t>
      </w:r>
    </w:p>
    <w:p>
      <w:pPr>
        <w:pStyle w:val="BodyText"/>
      </w:pPr>
      <w:r>
        <w:t xml:space="preserve">The authoritative version lives at</w:t>
      </w:r>
      <w:r>
        <w:t xml:space="preserve"> </w:t>
      </w:r>
      <w:hyperlink r:id="rId9">
        <w:r>
          <w:rPr>
            <w:rStyle w:val="VerbatimChar"/>
          </w:rPr>
          <w:t xml:space="preserve">../../99-source-coverage-ledger.md</w:t>
        </w:r>
      </w:hyperlink>
      <w:r>
        <w:t xml:space="preserve">; this README is the navigable consolidation.</w:t>
      </w:r>
    </w:p>
    <w:p>
      <w:r>
        <w:pict>
          <v:rect style="width:0;height:1.5pt" o:hralign="center" o:hrstd="t" o:hr="t"/>
        </w:pict>
      </w:r>
    </w:p>
    <w:bookmarkEnd w:id="10"/>
    <w:bookmarkStart w:id="26" w:name="X78660b988bf00094096f1fdacaea848a380c4e3"/>
    <w:p>
      <w:pPr>
        <w:pStyle w:val="Heading2"/>
      </w:pPr>
      <w:r>
        <w:t xml:space="preserve">2. Source → implementation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Implementation section(s)</w:t>
            </w:r>
          </w:p>
        </w:tc>
        <w:tc>
          <w:tcPr/>
          <w:p>
            <w:pPr>
              <w:pStyle w:val="Compact"/>
            </w:pPr>
            <w:r>
              <w:t xml:space="preserve">Distinctive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SPECIFICATION.md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00 — Executive Summary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02 — System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Architectural spine, roles, principles, roadmap, decision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00-product-scope-and-principles.md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01 — Product Scope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Product definition, personas, scope, parity matrix, decisions D1–D8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03 — Data Plane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 transports, routing, multihop, MTU, DAITA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04 — Control Plane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08 — API Contracts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 monolith, data model, events, coordinator, API,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03-client-core-and-ui.md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05 — Client Core &amp; UI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FFI surface, Flutter UI, platform shims, state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04-security-privacy-pki.md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06 — Security, Privacy &amp; PKI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Zero-trust, identity, PKI, no-logging, kill-switch, PQ, threat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05-repo-layout-tooling-and-helix-ecosystem.md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07 — Infrastructure &amp; DevOps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 layout, codegen,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, substrates,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06-phase0-spike-wbs.md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 — Guides &amp; FAQs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Phase-0 gates G1–G6, milestones S0–S8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07-phase1-mvp-wbs.md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 — Guides &amp; FAQs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Phase-1 MVP WBS, 8-criteria DoD,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08-phase2-parity-wbs.md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 — Guides &amp; FAQs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Phase-2 parity WBS, P2-AC +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09-phase3-reach-wbs.md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 — Guides &amp; FAQs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Phase-3 extended-reach WBS, gates G20–G26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10-testing-acceptance-and-qa.md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09 — Testing &amp; QA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§11.4.169 test types, evidence model, acceptance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11-deep-research-appendix.md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12 — Appendix: Research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Consolidated cited research (10 angles)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99-source-coverage-ledger.md</w:t>
            </w:r>
          </w:p>
        </w:tc>
        <w:tc>
          <w:tcPr/>
          <w:p>
            <w:pPr>
              <w:pStyle w:val="Compact"/>
            </w:pPr>
            <w:r>
              <w:t xml:space="preserve">this section</w:t>
            </w:r>
          </w:p>
        </w:tc>
        <w:tc>
          <w:tcPr/>
          <w:p>
            <w:pPr>
              <w:pStyle w:val="Compact"/>
            </w:pPr>
            <w:r>
              <w:t xml:space="preserve">Source-coverage proof and residual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MASTER_INDEX.md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00 — Executive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document tree, statuses, quality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REFINEMENT_NOTES.md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00 — Executive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Pass-1→pass-N punch-list</w:t>
            </w:r>
          </w:p>
        </w:tc>
      </w:tr>
    </w:tbl>
    <w:bookmarkStart w:id="24" w:name="nano-detail-volumes"/>
    <w:p>
      <w:pPr>
        <w:pStyle w:val="Heading3"/>
      </w:pPr>
      <w:r>
        <w:t xml:space="preserve">Nano-detail volumes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Implementation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 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v00-meta/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00</w:t>
              </w:r>
            </w:hyperlink>
            <w:r>
              <w:t xml:space="preserve">, this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01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V2 Data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V3 Control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04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V4 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V5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V6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V7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v07-execution/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V8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v08-testing/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V9 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v09-research/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V10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10</w:t>
              </w:r>
            </w:hyperlink>
          </w:p>
        </w:tc>
      </w:tr>
    </w:tbl>
    <w:bookmarkEnd w:id="24"/>
    <w:bookmarkStart w:id="25" w:name="external-design-system-index"/>
    <w:p>
      <w:pPr>
        <w:pStyle w:val="Heading3"/>
      </w:pPr>
      <w:r>
        <w:t xml:space="preserve">External design-system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Implementation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docs/design/README.md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10 — Design System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36bcf0ccfb09c4efe820d2f406cbf951e32b695"/>
    <w:p>
      <w:pPr>
        <w:pStyle w:val="Heading2"/>
      </w:pPr>
      <w:r>
        <w:t xml:space="preserve">3. Residual coverage gaps</w:t>
      </w:r>
    </w:p>
    <w:p>
      <w:pPr>
        <w:pStyle w:val="FirstParagraph"/>
      </w:pPr>
      <w:r>
        <w:t xml:space="preserve">The following distinctive source ideas are deliberately not adopted or are recorded as open.</w:t>
      </w:r>
    </w:p>
    <w:bookmarkStart w:id="27" w:name="X6762078a9ce6aa0798f304aed195ef5d37429c7"/>
    <w:p>
      <w:pPr>
        <w:pStyle w:val="Heading3"/>
      </w:pPr>
      <w:r>
        <w:t xml:space="preserve">G1 —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 </w:t>
      </w:r>
      <w:r>
        <w:t xml:space="preserve">disaster-recovery completeness — ✅ RESOLVED</w:t>
      </w:r>
    </w:p>
    <w:p>
      <w:pPr>
        <w:pStyle w:val="FirstParagraph"/>
      </w:pP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now consolidates the RTO/RPO budget, KMS-encrypted backups, and Terraform-driven region-failover runbook that the original ledger called for. Independently re-verified 2026-07-04. No further action.</w:t>
      </w:r>
    </w:p>
    <w:bookmarkEnd w:id="27"/>
    <w:bookmarkStart w:id="28" w:name="X1cbceaa80dea5427f9d4a9512adac4b7ba0aee7"/>
    <w:p>
      <w:pPr>
        <w:pStyle w:val="Heading3"/>
      </w:pPr>
      <w:r>
        <w:t xml:space="preserve">G2 —</w:t>
      </w:r>
      <w:r>
        <w:t xml:space="preserve"> </w:t>
      </w:r>
      <w:r>
        <w:rPr>
          <w:rStyle w:val="VerbatimChar"/>
        </w:rPr>
        <w:t xml:space="preserve">[06_GRK]</w:t>
      </w:r>
      <w:r>
        <w:t xml:space="preserve"> </w:t>
      </w:r>
      <w:r>
        <w:t xml:space="preserve">sing-box transport framework — deliberate divergence</w:t>
      </w:r>
    </w:p>
    <w:p>
      <w:pPr>
        <w:pStyle w:val="FirstParagraph"/>
      </w:pPr>
      <w:r>
        <w:rPr>
          <w:b/>
          <w:bCs/>
        </w:rPr>
        <w:t xml:space="preserve">Proposed:</w:t>
      </w:r>
      <w:r>
        <w:t xml:space="preserve"> </w:t>
      </w:r>
      <w:r>
        <w:t xml:space="preserve">use sing-box as the universal transport multiplexer.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rPr>
          <w:b/>
          <w:bCs/>
        </w:rPr>
        <w:t xml:space="preserve">not adopted</w:t>
      </w:r>
      <w:r>
        <w:t xml:space="preserve">. The protocols it carries (Hysteria2, Shadowsocks, UDP-over-TCP) are reflected in the Phase-2 transport set, but the framework itself conflicts with the Rust-core decision and the iOS NE memory ceiling. The custom Rust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crate gives byte-for-byte client↔edge reuse.</w:t>
      </w:r>
    </w:p>
    <w:p>
      <w:pPr>
        <w:pStyle w:val="BodyText"/>
      </w:pPr>
      <w:r>
        <w:rPr>
          <w:b/>
          <w:bCs/>
        </w:rPr>
        <w:t xml:space="preserve">Rationale recorded: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 </w:t>
      </w:r>
      <w:r>
        <w:t xml:space="preserve">§G2 and</w:t>
      </w:r>
      <w:r>
        <w:t xml:space="preserve"> </w:t>
      </w:r>
      <w:hyperlink r:id="rId14">
        <w:r>
          <w:rPr>
            <w:rStyle w:val="Hyperlink"/>
          </w:rPr>
          <w:t xml:space="preserve">`03 — Data Plane</w:t>
        </w:r>
      </w:hyperlink>
      <w:r>
        <w:t xml:space="preserve">.</w:t>
      </w:r>
    </w:p>
    <w:bookmarkEnd w:id="28"/>
    <w:bookmarkStart w:id="29" w:name="X2157701e48bc9ef8a44362783d497452b72eadd"/>
    <w:p>
      <w:pPr>
        <w:pStyle w:val="Heading3"/>
      </w:pPr>
      <w:r>
        <w:t xml:space="preserve">G3 —</w:t>
      </w:r>
      <w:r>
        <w:t xml:space="preserve"> </w:t>
      </w:r>
      <w:r>
        <w:rPr>
          <w:rStyle w:val="VerbatimChar"/>
        </w:rPr>
        <w:t xml:space="preserve">[09_GCT]</w:t>
      </w:r>
      <w:r>
        <w:t xml:space="preserve"> </w:t>
      </w:r>
      <w:r>
        <w:t xml:space="preserve">Fyne desktop UI — deliberate divergence</w:t>
      </w:r>
    </w:p>
    <w:p>
      <w:pPr>
        <w:pStyle w:val="FirstParagraph"/>
      </w:pPr>
      <w:r>
        <w:rPr>
          <w:b/>
          <w:bCs/>
        </w:rPr>
        <w:t xml:space="preserve">Proposed:</w:t>
      </w:r>
      <w:r>
        <w:t xml:space="preserve"> </w:t>
      </w:r>
      <w:r>
        <w:t xml:space="preserve">use Fyne for desktop/web client.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rPr>
          <w:b/>
          <w:bCs/>
        </w:rPr>
        <w:t xml:space="preserve">not adopted</w:t>
      </w:r>
      <w:r>
        <w:t xml:space="preserve">. Flutter reaches all 8 required platforms (including Aurora OS and HarmonyOS NEXT) with one codebase and a shared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system. Fyne lacks mobile/niche-OS reach.</w:t>
      </w:r>
    </w:p>
    <w:p>
      <w:pPr>
        <w:pStyle w:val="BodyText"/>
      </w:pPr>
      <w:r>
        <w:rPr>
          <w:b/>
          <w:bCs/>
        </w:rPr>
        <w:t xml:space="preserve">Rationale recorded: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 </w:t>
      </w:r>
      <w:r>
        <w:t xml:space="preserve">§G3 and</w:t>
      </w:r>
      <w:r>
        <w:t xml:space="preserve"> </w:t>
      </w:r>
      <w:hyperlink r:id="rId17">
        <w:r>
          <w:rPr>
            <w:rStyle w:val="Hyperlink"/>
          </w:rPr>
          <w:t xml:space="preserve">`05 — Client Core &amp; UI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ccd0a19cf1f623a3410555d4cdedd8266605ae"/>
    <w:p>
      <w:pPr>
        <w:pStyle w:val="Heading2"/>
      </w:pPr>
      <w:r>
        <w:t xml:space="preserve">4. Decision coverage cross-check</w:t>
      </w:r>
    </w:p>
    <w:p>
      <w:pPr>
        <w:pStyle w:val="FirstParagraph"/>
      </w:pPr>
      <w:r>
        <w:t xml:space="preserve">All eight key decisions are surfaced explicitly in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  <w:tc>
          <w:tcPr/>
          <w:p>
            <w:pPr>
              <w:pStyle w:val="Compact"/>
            </w:pPr>
            <w:r>
              <w:t xml:space="preserve">Surfaced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obfuscation</w:t>
            </w:r>
          </w:p>
        </w:tc>
        <w:tc>
          <w:tcPr/>
          <w:p>
            <w:pPr>
              <w:pStyle w:val="Compact"/>
            </w:pPr>
            <w:r>
              <w:t xml:space="preserve">MASQUE/QUIC</w:t>
            </w:r>
          </w:p>
        </w:tc>
        <w:tc>
          <w:tcPr/>
          <w:p>
            <w:pPr>
              <w:pStyle w:val="Compact"/>
            </w:pPr>
            <w:r>
              <w:t xml:space="preserve">Hysteria2 + Salamander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11-deep-research-appendix.md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client core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11-deep-research-appendix.md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event bus</w:t>
            </w:r>
          </w:p>
        </w:tc>
        <w:tc>
          <w:tcPr/>
          <w:p>
            <w:pPr>
              <w:pStyle w:val="Compact"/>
            </w:pPr>
            <w:r>
              <w:t xml:space="preserve">Redis → NATS</w:t>
            </w:r>
          </w:p>
        </w:tc>
        <w:tc>
          <w:tcPr/>
          <w:p>
            <w:pPr>
              <w:pStyle w:val="Compact"/>
            </w:pPr>
            <w:r>
              <w:t xml:space="preserve">NATS from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subnet collision</w:t>
            </w:r>
          </w:p>
        </w:tc>
        <w:tc>
          <w:tcPr/>
          <w:p>
            <w:pPr>
              <w:pStyle w:val="Compact"/>
            </w:pPr>
            <w:r>
              <w:t xml:space="preserve">ULA/4via6</w:t>
            </w:r>
          </w:p>
        </w:tc>
        <w:tc>
          <w:tcPr/>
          <w:p>
            <w:pPr>
              <w:pStyle w:val="Compact"/>
            </w:pPr>
            <w:r>
              <w:t xml:space="preserve">CGNAT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edge language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06-phase0-spike-wbs.md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transport topology</w:t>
            </w:r>
          </w:p>
        </w:tc>
        <w:tc>
          <w:tcPr/>
          <w:p>
            <w:pPr>
              <w:pStyle w:val="Compact"/>
            </w:pPr>
            <w:r>
              <w:t xml:space="preserve">single protocol</w:t>
            </w:r>
          </w:p>
        </w:tc>
        <w:tc>
          <w:tcPr/>
          <w:p>
            <w:pPr>
              <w:pStyle w:val="Compact"/>
            </w:pPr>
            <w:r>
              <w:t xml:space="preserve">asymmetric per-leg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11-deep-research-appendix.md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ambition</w:t>
            </w:r>
          </w:p>
        </w:tc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Connectivity-OS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00-product-scope-and-principles.md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licensing</w:t>
            </w:r>
          </w:p>
        </w:tc>
        <w:tc>
          <w:tcPr/>
          <w:p>
            <w:pPr>
              <w:pStyle w:val="Compact"/>
            </w:pPr>
            <w:r>
              <w:t xml:space="preserve">source-available + commercial</w:t>
            </w:r>
          </w:p>
        </w:tc>
        <w:tc>
          <w:tcPr/>
          <w:p>
            <w:pPr>
              <w:pStyle w:val="Compact"/>
            </w:pPr>
            <w:r>
              <w:t xml:space="preserve">pure 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SPECIFICATION.md</w:t>
            </w:r>
            <w:r>
              <w:t xml:space="preserve"> </w:t>
            </w:r>
            <w:r>
              <w:t xml:space="preserve">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Xdcd01eeda070e4f23eb97ba942922e37fcb747e"/>
    <w:p>
      <w:pPr>
        <w:pStyle w:val="Heading2"/>
      </w:pPr>
      <w:r>
        <w:t xml:space="preserve">5. Cross-references</w:t>
      </w:r>
    </w:p>
    <w:p>
      <w:pPr>
        <w:pStyle w:val="Compact"/>
        <w:numPr>
          <w:ilvl w:val="0"/>
          <w:numId w:val="1001"/>
        </w:numPr>
      </w:pPr>
      <w:r>
        <w:t xml:space="preserve">Authoritative ledger →</w:t>
      </w:r>
      <w:r>
        <w:t xml:space="preserve"> </w:t>
      </w:r>
      <w:hyperlink r:id="rId9">
        <w:r>
          <w:rPr>
            <w:rStyle w:val="VerbatimChar"/>
          </w:rPr>
          <w:t xml:space="preserve">../../99-source-coverage-ledger.md</w:t>
        </w:r>
      </w:hyperlink>
    </w:p>
    <w:p>
      <w:pPr>
        <w:pStyle w:val="Compact"/>
        <w:numPr>
          <w:ilvl w:val="0"/>
          <w:numId w:val="1001"/>
        </w:numPr>
      </w:pPr>
      <w:r>
        <w:t xml:space="preserve">Synthesis evidence base →</w:t>
      </w:r>
      <w:r>
        <w:t xml:space="preserve"> </w:t>
      </w:r>
      <w:hyperlink r:id="rId32">
        <w:r>
          <w:rPr>
            <w:rStyle w:val="VerbatimChar"/>
          </w:rPr>
          <w:t xml:space="preserve">../../v09-research/_SYNTHESIS.md</w:t>
        </w:r>
      </w:hyperlink>
    </w:p>
    <w:p>
      <w:pPr>
        <w:pStyle w:val="Compact"/>
        <w:numPr>
          <w:ilvl w:val="0"/>
          <w:numId w:val="1001"/>
        </w:numPr>
      </w:pPr>
      <w:r>
        <w:t xml:space="preserve">Gap analysis →</w:t>
      </w:r>
      <w:r>
        <w:t xml:space="preserve"> </w:t>
      </w:r>
      <w:hyperlink r:id="rId33">
        <w:r>
          <w:rPr>
            <w:rStyle w:val="VerbatimChar"/>
          </w:rPr>
          <w:t xml:space="preserve">../../../../../reviews/mvp-final/findings/phase1-docs-gap-analysis.md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docs/research/mvp/final/99-source-coverage-ledger.md</w:t>
      </w:r>
      <w:r>
        <w:rPr>
          <w:i/>
          <w:iCs/>
        </w:rP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../../../../reviews/mvp-final/findings/phase1-docs-gap-analysis.md" TargetMode="External" /><Relationship Type="http://schemas.openxmlformats.org/officeDocument/2006/relationships/hyperlink" Id="rId9" Target="../../99-source-coverage-ledger.md" TargetMode="External" /><Relationship Type="http://schemas.openxmlformats.org/officeDocument/2006/relationships/hyperlink" Id="rId32" Target="../../v09-research/_SYNTHESIS.md" TargetMode="External" /><Relationship Type="http://schemas.openxmlformats.org/officeDocument/2006/relationships/hyperlink" Id="rId11" Target="../00-executive-summary/README.md" TargetMode="External" /><Relationship Type="http://schemas.openxmlformats.org/officeDocument/2006/relationships/hyperlink" Id="rId13" Target="../01-product-scope/README.md" TargetMode="External" /><Relationship Type="http://schemas.openxmlformats.org/officeDocument/2006/relationships/hyperlink" Id="rId12" Target="../02-system-architecture/README.md" TargetMode="External" /><Relationship Type="http://schemas.openxmlformats.org/officeDocument/2006/relationships/hyperlink" Id="rId14" Target="../03-data-plane/README.md" TargetMode="External" /><Relationship Type="http://schemas.openxmlformats.org/officeDocument/2006/relationships/hyperlink" Id="rId15" Target="../04-control-plane/README.md" TargetMode="External" /><Relationship Type="http://schemas.openxmlformats.org/officeDocument/2006/relationships/hyperlink" Id="rId17" Target="../05-client-core-ui/README.md" TargetMode="External" /><Relationship Type="http://schemas.openxmlformats.org/officeDocument/2006/relationships/hyperlink" Id="rId18" Target="../06-security-privacy-pki/README.md" TargetMode="External" /><Relationship Type="http://schemas.openxmlformats.org/officeDocument/2006/relationships/hyperlink" Id="rId19" Target="../07-infrastructure-devops/README.md" TargetMode="External" /><Relationship Type="http://schemas.openxmlformats.org/officeDocument/2006/relationships/hyperlink" Id="rId16" Target="../08-api-contracts/README.md" TargetMode="External" /><Relationship Type="http://schemas.openxmlformats.org/officeDocument/2006/relationships/hyperlink" Id="rId21" Target="../09-testing-qa/README.md" TargetMode="External" /><Relationship Type="http://schemas.openxmlformats.org/officeDocument/2006/relationships/hyperlink" Id="rId23" Target="../10-design-system/README.md" TargetMode="External" /><Relationship Type="http://schemas.openxmlformats.org/officeDocument/2006/relationships/hyperlink" Id="rId20" Target="../11-guides-faqs/README.md" TargetMode="External" /><Relationship Type="http://schemas.openxmlformats.org/officeDocument/2006/relationships/hyperlink" Id="rId22" Target="../12-appendix-research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../../../../reviews/mvp-final/findings/phase1-docs-gap-analysis.md" TargetMode="External" /><Relationship Type="http://schemas.openxmlformats.org/officeDocument/2006/relationships/hyperlink" Id="rId9" Target="../../99-source-coverage-ledger.md" TargetMode="External" /><Relationship Type="http://schemas.openxmlformats.org/officeDocument/2006/relationships/hyperlink" Id="rId32" Target="../../v09-research/_SYNTHESIS.md" TargetMode="External" /><Relationship Type="http://schemas.openxmlformats.org/officeDocument/2006/relationships/hyperlink" Id="rId11" Target="../00-executive-summary/README.md" TargetMode="External" /><Relationship Type="http://schemas.openxmlformats.org/officeDocument/2006/relationships/hyperlink" Id="rId13" Target="../01-product-scope/README.md" TargetMode="External" /><Relationship Type="http://schemas.openxmlformats.org/officeDocument/2006/relationships/hyperlink" Id="rId12" Target="../02-system-architecture/README.md" TargetMode="External" /><Relationship Type="http://schemas.openxmlformats.org/officeDocument/2006/relationships/hyperlink" Id="rId14" Target="../03-data-plane/README.md" TargetMode="External" /><Relationship Type="http://schemas.openxmlformats.org/officeDocument/2006/relationships/hyperlink" Id="rId15" Target="../04-control-plane/README.md" TargetMode="External" /><Relationship Type="http://schemas.openxmlformats.org/officeDocument/2006/relationships/hyperlink" Id="rId17" Target="../05-client-core-ui/README.md" TargetMode="External" /><Relationship Type="http://schemas.openxmlformats.org/officeDocument/2006/relationships/hyperlink" Id="rId18" Target="../06-security-privacy-pki/README.md" TargetMode="External" /><Relationship Type="http://schemas.openxmlformats.org/officeDocument/2006/relationships/hyperlink" Id="rId19" Target="../07-infrastructure-devops/README.md" TargetMode="External" /><Relationship Type="http://schemas.openxmlformats.org/officeDocument/2006/relationships/hyperlink" Id="rId16" Target="../08-api-contracts/README.md" TargetMode="External" /><Relationship Type="http://schemas.openxmlformats.org/officeDocument/2006/relationships/hyperlink" Id="rId21" Target="../09-testing-qa/README.md" TargetMode="External" /><Relationship Type="http://schemas.openxmlformats.org/officeDocument/2006/relationships/hyperlink" Id="rId23" Target="../10-design-system/README.md" TargetMode="External" /><Relationship Type="http://schemas.openxmlformats.org/officeDocument/2006/relationships/hyperlink" Id="rId20" Target="../11-guides-faqs/README.md" TargetMode="External" /><Relationship Type="http://schemas.openxmlformats.org/officeDocument/2006/relationships/hyperlink" Id="rId22" Target="../12-appendix-research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99 — Source Coverage Ledger</dc:title>
  <dc:creator/>
  <cp:keywords/>
  <dcterms:created xsi:type="dcterms:W3CDTF">2026-07-06T09:46:25Z</dcterms:created>
  <dcterms:modified xsi:type="dcterms:W3CDTF">2026-07-06T09:46:25Z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