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Non-Functional Requirements (HVPN-NFR-NNN)</w:t>
      </w:r>
    </w:p>
    <w:bookmarkStart w:id="28" w:name="non-functional-requirements-hvpn-nfr-nnn"/>
    <w:p>
      <w:pPr>
        <w:pStyle w:val="Heading1"/>
      </w:pPr>
      <w:r>
        <w:t xml:space="preserve">Non-Functional Requirements (HVPN-NFR-NNN)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(2026-07-04, independent gap-analysis pass).</w:t>
      </w:r>
      <w:r>
        <w:t xml:space="preserve"> </w:t>
      </w:r>
      <w:r>
        <w:t xml:space="preserve">Added five NFR classes</w:t>
      </w:r>
      <w:r>
        <w:t xml:space="preserve"> </w:t>
      </w:r>
      <w:r>
        <w:t xml:space="preserve">that were absent or thin against enterprise-production-readiness criteria:</w:t>
      </w:r>
      <w:r>
        <w:t xml:space="preserve"> </w:t>
      </w:r>
      <w:r>
        <w:t xml:space="preserve">secrets management/rotation (NFR-411), WireGuard/device-key rotation cadence +</w:t>
      </w:r>
      <w:r>
        <w:t xml:space="preserve"> </w:t>
      </w:r>
      <w:r>
        <w:t xml:space="preserve">triggers (NFR-412), control-plane API rate limiting (NFR-413), data-plane</w:t>
      </w:r>
      <w:r>
        <w:t xml:space="preserve"> </w:t>
      </w:r>
      <w:r>
        <w:t xml:space="preserve">DDoS/UDP-flood/amplification resilience (NFR-414) —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concern from</w:t>
      </w:r>
      <w:r>
        <w:t xml:space="preserve"> </w:t>
      </w:r>
      <w:r>
        <w:t xml:space="preserve">NFR-413 (control-plane request throttling), audit-retention default (NFR-309),</w:t>
      </w:r>
      <w:r>
        <w:t xml:space="preserve"> </w:t>
      </w:r>
      <w:r>
        <w:t xml:space="preserve">and a new</w:t>
      </w:r>
      <w:r>
        <w:t xml:space="preserve"> </w:t>
      </w:r>
      <w:r>
        <w:rPr>
          <w:b/>
          <w:bCs/>
        </w:rPr>
        <w:t xml:space="preserve">Operability &amp; Compatibility</w:t>
      </w:r>
      <w:r>
        <w:t xml:space="preserve"> </w:t>
      </w:r>
      <w:r>
        <w:t xml:space="preserve">band (NFR-700…) covering zero-downtime</w:t>
      </w:r>
      <w:r>
        <w:t xml:space="preserve"> </w:t>
      </w:r>
      <w:r>
        <w:t xml:space="preserve">rolling deploys, Postgres schema-migration backward-compatibility windows,</w:t>
      </w:r>
      <w:r>
        <w:t xml:space="preserve"> </w:t>
      </w:r>
      <w:r>
        <w:t xml:space="preserve">protobuf wire-compatibility guarantees, and an infra-sizing/cost model. No</w:t>
      </w:r>
      <w:r>
        <w:t xml:space="preserve"> </w:t>
      </w:r>
      <w:r>
        <w:t xml:space="preserve">existing NFR was weakened; §9 traceability and the family diagram are extended</w:t>
      </w:r>
      <w:r>
        <w:t xml:space="preserve"> </w:t>
      </w:r>
      <w:r>
        <w:t xml:space="preserve">to match.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This is the Volume 1 (Product &amp; Requirements) nano-detail</w:t>
      </w:r>
      <w:r>
        <w:t xml:space="preserve"> </w:t>
      </w:r>
      <w:r>
        <w:t xml:space="preserve">spec enumerating every HelixVPN</w:t>
      </w:r>
      <w:r>
        <w:t xml:space="preserve"> </w:t>
      </w:r>
      <w:r>
        <w:rPr>
          <w:b/>
          <w:bCs/>
        </w:rPr>
        <w:t xml:space="preserve">non-functional requirement (NFR)</w:t>
      </w:r>
      <w:r>
        <w:t xml:space="preserve"> </w:t>
      </w:r>
      <w:r>
        <w:t xml:space="preserve">—</w:t>
      </w:r>
      <w:r>
        <w:t xml:space="preserve"> </w:t>
      </w:r>
      <w:r>
        <w:t xml:space="preserve">performance, scale, availability/HA, privacy, security, resource, and</w:t>
      </w:r>
      <w:r>
        <w:t xml:space="preserve"> </w:t>
      </w:r>
      <w:r>
        <w:t xml:space="preserve">portability — each numbered</w:t>
      </w:r>
      <w:r>
        <w:t xml:space="preserve"> </w:t>
      </w:r>
      <w:r>
        <w:rPr>
          <w:rStyle w:val="VerbatimChar"/>
        </w:rPr>
        <w:t xml:space="preserve">HVPN-NFR-NNN</w:t>
      </w:r>
      <w:r>
        <w:t xml:space="preserve">. It is the quantified counterpart</w:t>
      </w:r>
      <w:r>
        <w:t xml:space="preserve"> </w:t>
      </w:r>
      <w:r>
        <w:t xml:space="preserve">to the</w:t>
      </w:r>
      <w:r>
        <w:t xml:space="preserve"> </w:t>
      </w:r>
      <w:r>
        <w:rPr>
          <w:i/>
          <w:iCs/>
        </w:rPr>
        <w:t xml:space="preserve">seven non-negotiable principles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Mullvad-parity matrix</w:t>
      </w:r>
      <w:r>
        <w:t xml:space="preserve"> </w:t>
      </w:r>
      <w:r>
        <w:t xml:space="preserve">of</w:t>
      </w:r>
      <w:r>
        <w:t xml:space="preserve"> </w:t>
      </w:r>
      <w:r>
        <w:t xml:space="preserve">the Volume 1 overview (</w:t>
      </w:r>
      <w:r>
        <w:rPr>
          <w:rStyle w:val="VerbatimChar"/>
        </w:rPr>
        <w:t xml:space="preserve">00-product-scope-and-principles.md</w:t>
      </w:r>
      <w:r>
        <w:t xml:space="preserve">). Where a value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target not yet proven on hardware</w:t>
      </w:r>
      <w:r>
        <w:t xml:space="preserve"> </w:t>
      </w:r>
      <w:r>
        <w:t xml:space="preserve">it is stated as a TARGET and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 (no-guessing) — a number that only a Phase-0/1 gate or</w:t>
      </w:r>
      <w:r>
        <w:t xml:space="preserve"> </w:t>
      </w:r>
      <w:r>
        <w:t xml:space="preserve">a captured benchmark can confirm is never asserted as established fact here.</w:t>
      </w:r>
    </w:p>
    <w:p>
      <w:pPr>
        <w:pStyle w:val="BlockText"/>
      </w:pPr>
      <w:r>
        <w:rPr>
          <w:b/>
          <w:bCs/>
        </w:rPr>
        <w:t xml:space="preserve">Document is a SPEC.</w:t>
      </w:r>
      <w:r>
        <w:t xml:space="preserve"> </w:t>
      </w:r>
      <w:r>
        <w:t xml:space="preserve">It states</w:t>
      </w:r>
      <w:r>
        <w:t xml:space="preserve"> </w:t>
      </w:r>
      <w:r>
        <w:rPr>
          <w:i/>
          <w:iCs/>
        </w:rPr>
        <w:t xml:space="preserve">what quality bars the product must meet and</w:t>
      </w:r>
      <w:r>
        <w:rPr>
          <w:i/>
          <w:iCs/>
        </w:rPr>
        <w:t xml:space="preserve"> </w:t>
      </w:r>
      <w:r>
        <w:rPr>
          <w:i/>
          <w:iCs/>
        </w:rPr>
        <w:t xml:space="preserve">how each is verified</w:t>
      </w:r>
      <w:r>
        <w:t xml:space="preserve">; it does not build the product. Every NFR carries a</w:t>
      </w:r>
      <w:r>
        <w:t xml:space="preserve"> </w:t>
      </w:r>
      <w:r>
        <w:t xml:space="preserve">measurable target plus the §11.4.169 test type that proves it, so each row is</w:t>
      </w:r>
      <w:r>
        <w:t xml:space="preserve"> </w:t>
      </w:r>
      <w:r>
        <w:t xml:space="preserve">falsifiable rather than aspirational (§11.4 / §11.4.169).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Cross-references the Volume 1 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00-product-scope-and-principles.md</w:t>
      </w:r>
      <w:r>
        <w:t xml:space="preserve"> </w:t>
      </w:r>
      <w:r>
        <w:t xml:space="preserve">— principles P1–P7, parity matrix F1–F17,</w:t>
      </w:r>
      <w:r>
        <w:t xml:space="preserve"> </w:t>
      </w:r>
      <w:r>
        <w:t xml:space="preserve">decisions D1–D7, scope §10), the control-plane coordinator SLO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§7 — convergence p99 &lt; 1 s), the</w:t>
      </w:r>
      <w:r>
        <w:t xml:space="preserve"> </w:t>
      </w:r>
      <w:r>
        <w:t xml:space="preserve">telemetry counts-only metric registry (</w:t>
      </w: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§3 — what may be measured), the no-logging invariant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v05-security/no-logging-as-code.md</w:t>
      </w:r>
      <w:r>
        <w:t xml:space="preserve"> </w:t>
      </w:r>
      <w:r>
        <w:t xml:space="preserve">— the privacy NFRs as testable bars), and</w:t>
      </w:r>
      <w:r>
        <w:t xml:space="preserve"> </w:t>
      </w:r>
      <w:r>
        <w:t xml:space="preserve">the transport ladder (</w:t>
      </w:r>
      <w:r>
        <w:rPr>
          <w:rStyle w:val="VerbatimChar"/>
        </w:rPr>
        <w:t xml:space="preserve">v02-data-plane/transport-selection-ladder.md</w:t>
      </w:r>
      <w:r>
        <w:t xml:space="preserve">). Source</w:t>
      </w:r>
      <w:r>
        <w:t xml:space="preserve"> </w:t>
      </w:r>
      <w:r>
        <w:t xml:space="preserve">research is cited by the same ids the overview uses (</w:t>
      </w:r>
      <w:r>
        <w:rPr>
          <w:rStyle w:val="VerbatimChar"/>
        </w:rPr>
        <w:t xml:space="preserve">[04_ARCH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7943e997ef2792fde3139c48340e33c57f66df">
        <w:r>
          <w:rPr>
            <w:rStyle w:val="Hyperlink"/>
          </w:rPr>
          <w:t xml:space="preserve">1. How to read an NFR row</w:t>
        </w:r>
      </w:hyperlink>
    </w:p>
    <w:p>
      <w:pPr>
        <w:pStyle w:val="Compact"/>
        <w:numPr>
          <w:ilvl w:val="0"/>
          <w:numId w:val="1001"/>
        </w:numPr>
      </w:pPr>
      <w:hyperlink w:anchor="X152cec8e06c9629e96a2e6f8bc3f8a054c53802">
        <w:r>
          <w:rPr>
            <w:rStyle w:val="Hyperlink"/>
          </w:rPr>
          <w:t xml:space="preserve">2. Performance NFRs (HVPN-NFR-001…)</w:t>
        </w:r>
      </w:hyperlink>
    </w:p>
    <w:p>
      <w:pPr>
        <w:pStyle w:val="Compact"/>
        <w:numPr>
          <w:ilvl w:val="0"/>
          <w:numId w:val="1001"/>
        </w:numPr>
      </w:pPr>
      <w:hyperlink w:anchor="X137c0ac578bb43a274c420b4ec95346b342c6f4">
        <w:r>
          <w:rPr>
            <w:rStyle w:val="Hyperlink"/>
          </w:rPr>
          <w:t xml:space="preserve">3. Scale NFRs (HVPN-NFR-100…)</w:t>
        </w:r>
      </w:hyperlink>
    </w:p>
    <w:p>
      <w:pPr>
        <w:pStyle w:val="Compact"/>
        <w:numPr>
          <w:ilvl w:val="0"/>
          <w:numId w:val="1001"/>
        </w:numPr>
      </w:pPr>
      <w:hyperlink w:anchor="Xbb2bf12a564cb56adc74ed04ad3d0c2e4d872f7">
        <w:r>
          <w:rPr>
            <w:rStyle w:val="Hyperlink"/>
          </w:rPr>
          <w:t xml:space="preserve">4. Availability &amp; HA NFRs (HVPN-NFR-200…)</w:t>
        </w:r>
      </w:hyperlink>
    </w:p>
    <w:p>
      <w:pPr>
        <w:pStyle w:val="Compact"/>
        <w:numPr>
          <w:ilvl w:val="0"/>
          <w:numId w:val="1001"/>
        </w:numPr>
      </w:pPr>
      <w:hyperlink w:anchor="X98634ef1510c25bdb0fd33b236629d68dfceeeb">
        <w:r>
          <w:rPr>
            <w:rStyle w:val="Hyperlink"/>
          </w:rPr>
          <w:t xml:space="preserve">5. Privacy NFRs (HVPN-NFR-300…)</w:t>
        </w:r>
      </w:hyperlink>
    </w:p>
    <w:p>
      <w:pPr>
        <w:pStyle w:val="Compact"/>
        <w:numPr>
          <w:ilvl w:val="0"/>
          <w:numId w:val="1001"/>
        </w:numPr>
      </w:pPr>
      <w:hyperlink w:anchor="Xc052890264211f2ea5c426ee427894f25a420f4">
        <w:r>
          <w:rPr>
            <w:rStyle w:val="Hyperlink"/>
          </w:rPr>
          <w:t xml:space="preserve">6. Security NFRs (HVPN-NFR-400…)</w:t>
        </w:r>
      </w:hyperlink>
    </w:p>
    <w:p>
      <w:pPr>
        <w:pStyle w:val="Compact"/>
        <w:numPr>
          <w:ilvl w:val="0"/>
          <w:numId w:val="1001"/>
        </w:numPr>
      </w:pPr>
      <w:hyperlink w:anchor="X4a27940a8f234d90c2b6fa0860a08e53bf206ae">
        <w:r>
          <w:rPr>
            <w:rStyle w:val="Hyperlink"/>
          </w:rPr>
          <w:t xml:space="preserve">7. Resource NFRs (HVPN-NFR-500…)</w:t>
        </w:r>
      </w:hyperlink>
    </w:p>
    <w:p>
      <w:pPr>
        <w:pStyle w:val="Compact"/>
        <w:numPr>
          <w:ilvl w:val="0"/>
          <w:numId w:val="1001"/>
        </w:numPr>
      </w:pPr>
      <w:hyperlink w:anchor="Xb397e2da56faafca6e8b9d00f5a9b1572802969">
        <w:r>
          <w:rPr>
            <w:rStyle w:val="Hyperlink"/>
          </w:rPr>
          <w:t xml:space="preserve">8. Portability NFRs (HVPN-NFR-600…)</w:t>
        </w:r>
      </w:hyperlink>
    </w:p>
    <w:p>
      <w:pPr>
        <w:pStyle w:val="Compact"/>
        <w:numPr>
          <w:ilvl w:val="0"/>
          <w:numId w:val="1001"/>
        </w:numPr>
      </w:pPr>
      <w:hyperlink w:anchor="Xd814a75fead3d1e9a928261b54fc3be2c3d467b">
        <w:r>
          <w:rPr>
            <w:rStyle w:val="Hyperlink"/>
          </w:rPr>
          <w:t xml:space="preserve">9. NFR → principle → verification traceability</w:t>
        </w:r>
      </w:hyperlink>
    </w:p>
    <w:p>
      <w:pPr>
        <w:pStyle w:val="Compact"/>
        <w:numPr>
          <w:ilvl w:val="0"/>
          <w:numId w:val="1001"/>
        </w:numPr>
      </w:pPr>
      <w:hyperlink w:anchor="X1ef1beaa3ca92e1c0983ed71f2ac01b9204a10a">
        <w:r>
          <w:rPr>
            <w:rStyle w:val="Hyperlink"/>
          </w:rPr>
          <w:t xml:space="preserve">10. The convergence-NFR dependency chain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37943e997ef2792fde3139c48340e33c57f66df"/>
    <w:p>
      <w:pPr>
        <w:pStyle w:val="Heading2"/>
      </w:pPr>
      <w:r>
        <w:t xml:space="preserve">1. How to read an NFR row</w:t>
      </w:r>
    </w:p>
    <w:p>
      <w:pPr>
        <w:pStyle w:val="FirstParagraph"/>
      </w:pPr>
      <w:r>
        <w:t xml:space="preserve">Every NFR is one row with five fixed fields, so each is independently testable</w:t>
      </w:r>
      <w:r>
        <w:t xml:space="preserve"> </w:t>
      </w:r>
      <w:r>
        <w:t xml:space="preserve">(§11.4 — a quality bar with no measurement is a PASS-bluff at the requirements</w:t>
      </w:r>
      <w:r>
        <w:t xml:space="preserve"> </w:t>
      </w:r>
      <w:r>
        <w:t xml:space="preserve">layer):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HVPN-NFR-NNN</w:t>
            </w:r>
            <w:r>
              <w:t xml:space="preserve">, stable, append-only — the cross-doc reference key (§11.4.54 discipline applied to NFRs).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the qualitative requirement (one sentence).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the measurable bar (number + unit + percentile/condition).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= not yet proven on hardware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§11.4.6).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the §11.4.169 test type whose captured evidence proves it (unit / integration / e2e / performance / soak-stress / chaos / security / memory / benchmarking).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</w:t>
            </w:r>
            <w:r>
              <w:t xml:space="preserve"> </w:t>
            </w:r>
            <w:r>
              <w:t xml:space="preserve">(Phase-0 gate / make-or-break),</w:t>
            </w:r>
            <w:r>
              <w:t xml:space="preserve"> </w:t>
            </w:r>
            <w:r>
              <w:rPr>
                <w:rStyle w:val="VerbatimChar"/>
              </w:rPr>
              <w:t xml:space="preserve">MVP</w:t>
            </w:r>
            <w:r>
              <w:t xml:space="preserve"> </w:t>
            </w:r>
            <w:r>
              <w:t xml:space="preserve">(Phase-1 DoD),</w:t>
            </w:r>
            <w:r>
              <w:t xml:space="preserve"> </w:t>
            </w:r>
            <w:r>
              <w:rPr>
                <w:rStyle w:val="VerbatimChar"/>
              </w:rPr>
              <w:t xml:space="preserve">P2</w:t>
            </w:r>
            <w:r>
              <w:t xml:space="preserve">/</w:t>
            </w:r>
            <w:r>
              <w:rPr>
                <w:rStyle w:val="VerbatimChar"/>
              </w:rPr>
              <w:t xml:space="preserve">P3</w:t>
            </w:r>
            <w:r>
              <w:t xml:space="preserve"> </w:t>
            </w:r>
            <w:r>
              <w:t xml:space="preserve">(later phase),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 </w:t>
            </w:r>
            <w:r>
              <w:t xml:space="preserve">(every phase).</w:t>
            </w:r>
          </w:p>
        </w:tc>
      </w:tr>
    </w:tbl>
    <w:p>
      <w:pPr>
        <w:pStyle w:val="BodyText"/>
      </w:pPr>
      <w:r>
        <w:t xml:space="preserve">Priority bands map to the §10 scope spine of the overview: a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NFR is a</w:t>
      </w:r>
      <w:r>
        <w:t xml:space="preserve"> </w:t>
      </w:r>
      <w:r>
        <w:t xml:space="preserve">make-or-break Phase-0 exit gate; an</w:t>
      </w:r>
      <w:r>
        <w:t xml:space="preserve"> </w:t>
      </w:r>
      <w:r>
        <w:rPr>
          <w:rStyle w:val="VerbatimChar"/>
        </w:rPr>
        <w:t xml:space="preserve">MVP</w:t>
      </w:r>
      <w:r>
        <w:t xml:space="preserve"> </w:t>
      </w:r>
      <w:r>
        <w:t xml:space="preserve">NFR is part of the 8-criteria</w:t>
      </w:r>
      <w:r>
        <w:t xml:space="preserve"> </w:t>
      </w:r>
      <w:r>
        <w:t xml:space="preserve">Definition-of-Done; a</w:t>
      </w:r>
      <w:r>
        <w:t xml:space="preserve"> </w:t>
      </w:r>
      <w:r>
        <w:rPr>
          <w:rStyle w:val="VerbatimChar"/>
        </w:rPr>
        <w:t xml:space="preserve">P2</w:t>
      </w:r>
      <w:r>
        <w:t xml:space="preserve">/</w:t>
      </w:r>
      <w:r>
        <w:rPr>
          <w:rStyle w:val="VerbatimChar"/>
        </w:rPr>
        <w:t xml:space="preserve">P3</w:t>
      </w:r>
      <w:r>
        <w:t xml:space="preserve"> </w:t>
      </w:r>
      <w:r>
        <w:t xml:space="preserve">NFR binds when its phase opens.</w:t>
      </w:r>
    </w:p>
    <w:p>
      <w:pPr>
        <w:pStyle w:val="BlockText"/>
      </w:pPr>
      <w:r>
        <w:rPr>
          <w:b/>
          <w:bCs/>
        </w:rPr>
        <w:t xml:space="preserve">Honest-number rule (§11.4.6).</w:t>
      </w:r>
      <w:r>
        <w:t xml:space="preserve"> </w:t>
      </w:r>
      <w:r>
        <w:t xml:space="preserve">Several targets below originate from the</w:t>
      </w:r>
      <w:r>
        <w:t xml:space="preserve"> </w:t>
      </w:r>
      <w:r>
        <w:t xml:space="preserve">refined research as</w:t>
      </w:r>
      <w:r>
        <w:t xml:space="preserve"> </w:t>
      </w:r>
      <w:r>
        <w:rPr>
          <w:i/>
          <w:iCs/>
        </w:rPr>
        <w:t xml:space="preserve">design targets</w:t>
      </w:r>
      <w:r>
        <w:t xml:space="preserve"> </w:t>
      </w:r>
      <w:r>
        <w:t xml:space="preserve">(e.g. the iOS NE memory ceiling, the</w:t>
      </w:r>
      <w:r>
        <w:t xml:space="preserve"> </w:t>
      </w:r>
      <w:r>
        <w:t xml:space="preserve">≥80%-bare-link throughput gate). They are reproduced as TARGETs and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the Phase-0 gate or the named benchmark is what converts a</w:t>
      </w:r>
      <w:r>
        <w:t xml:space="preserve"> </w:t>
      </w:r>
      <w:r>
        <w:t xml:space="preserve">TARGET into an established fact. No target is restated here as if already</w:t>
      </w:r>
      <w:r>
        <w:t xml:space="preserve"> </w:t>
      </w:r>
      <w:r>
        <w:t xml:space="preserve">measured.</w:t>
      </w:r>
    </w:p>
    <w:p>
      <w:r>
        <w:pict>
          <v:rect style="width:0;height:1.5pt" o:hralign="center" o:hrstd="t" o:hr="t"/>
        </w:pict>
      </w:r>
    </w:p>
    <w:bookmarkEnd w:id="10"/>
    <w:bookmarkStart w:id="11" w:name="X152cec8e06c9629e96a2e6f8bc3f8a054c53802"/>
    <w:p>
      <w:pPr>
        <w:pStyle w:val="Heading2"/>
      </w:pPr>
      <w:r>
        <w:t xml:space="preserve">2. Performance NFRs (HVPN-NFR-001…)</w:t>
      </w:r>
    </w:p>
    <w:p>
      <w:pPr>
        <w:pStyle w:val="FirstParagraph"/>
      </w:pPr>
      <w:r>
        <w:t xml:space="preserve">Performance is dominated by two budgets:</w:t>
      </w:r>
      <w:r>
        <w:t xml:space="preserve"> </w:t>
      </w:r>
      <w:r>
        <w:rPr>
          <w:b/>
          <w:bCs/>
        </w:rPr>
        <w:t xml:space="preserve">datapath throughput/latency</w:t>
      </w:r>
      <w:r>
        <w:t xml:space="preserve"> </w:t>
      </w:r>
      <w:r>
        <w:t xml:space="preserve">(the</w:t>
      </w:r>
      <w:r>
        <w:t xml:space="preserve"> </w:t>
      </w:r>
      <w:r>
        <w:t xml:space="preserve">Rust data plane, doc 01) and</w:t>
      </w:r>
      <w:r>
        <w:t xml:space="preserve"> </w:t>
      </w:r>
      <w:r>
        <w:rPr>
          <w:b/>
          <w:bCs/>
        </w:rPr>
        <w:t xml:space="preserve">control-plane convergence</w:t>
      </w:r>
      <w:r>
        <w:t xml:space="preserve"> </w:t>
      </w:r>
      <w:r>
        <w:t xml:space="preserve">(the coordinator,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HVPN-NFR-001</w:t>
            </w:r>
          </w:p>
        </w:tc>
        <w:tc>
          <w:tcPr/>
          <w:p>
            <w:pPr>
              <w:pStyle w:val="Compact"/>
            </w:pPr>
            <w:r>
              <w:t xml:space="preserve">Plain-UDP WireGuard datapath sustains near-bare-link throughput client→gateway→connector-LAN.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80 %</w:t>
            </w:r>
            <w:r>
              <w:t xml:space="preserve"> </w:t>
            </w:r>
            <w:r>
              <w:t xml:space="preserve">of bare-link throughput (Phase-0 gate G1) — TARGET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performance / benchmarking (iperf3 over the netns rig)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HVPN-NFR-002</w:t>
            </w:r>
          </w:p>
        </w:tc>
        <w:tc>
          <w:tcPr/>
          <w:p>
            <w:pPr>
              <w:pStyle w:val="Compact"/>
            </w:pPr>
            <w:r>
              <w:t xml:space="preserve">MASQUE/QUIC obfuscated datapath retains usable throughput through a DPI UDP block.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50 %</w:t>
            </w:r>
            <w:r>
              <w:t xml:space="preserve"> </w:t>
            </w:r>
            <w:r>
              <w:t xml:space="preserve">of plain-UDP throughput (Phase-0 gate G2) — TARGET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performance / benchmarking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HVPN-NFR-003</w:t>
            </w:r>
          </w:p>
        </w:tc>
        <w:tc>
          <w:tcPr/>
          <w:p>
            <w:pPr>
              <w:pStyle w:val="Compact"/>
            </w:pPr>
            <w:r>
              <w:t xml:space="preserve">Control-plane convergence: a policy/topology change reaches every affected agent's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  <w:r>
              <w:t xml:space="preserve"> </w:t>
            </w:r>
            <w:r>
              <w:t xml:space="preserve">event→delta-on-wire (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performance (synthetic policy-flap load)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HVPN-NFR-004</w:t>
            </w:r>
          </w:p>
        </w:tc>
        <w:tc>
          <w:tcPr/>
          <w:p>
            <w:pPr>
              <w:pStyle w:val="Compact"/>
            </w:pPr>
            <w:r>
              <w:t xml:space="preserve">Device revoke is enforced (peer-removal delta on wire + stream force-close).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revoke-event→</w:t>
            </w:r>
            <w:r>
              <w:rPr>
                <w:rStyle w:val="VerbatimChar"/>
              </w:rPr>
              <w:t xml:space="preserve">sub.cancel()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helix_revoke_enforce_seconds</w:t>
            </w:r>
            <w:r>
              <w:t xml:space="preserve"> </w:t>
            </w:r>
            <w:r>
              <w:t xml:space="preserve">p99)</w:t>
            </w:r>
          </w:p>
        </w:tc>
        <w:tc>
          <w:tcPr/>
          <w:p>
            <w:pPr>
              <w:pStyle w:val="Compact"/>
            </w:pPr>
            <w:r>
              <w:t xml:space="preserve">performance + security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HVPN-NFR-005</w:t>
            </w:r>
          </w:p>
        </w:tc>
        <w:tc>
          <w:tcPr/>
          <w:p>
            <w:pPr>
              <w:pStyle w:val="Compact"/>
            </w:pPr>
            <w:r>
              <w:t xml:space="preserve">WireGuard handshake completes within a bounded latency on a healthy link.</w:t>
            </w:r>
          </w:p>
        </w:tc>
        <w:tc>
          <w:tcPr/>
          <w:p>
            <w:pPr>
              <w:pStyle w:val="Compact"/>
            </w:pPr>
            <w:r>
              <w:t xml:space="preserve">handshake-complete</w:t>
            </w:r>
            <w:r>
              <w:t xml:space="preserve"> </w:t>
            </w:r>
            <w:r>
              <w:rPr>
                <w:b/>
                <w:bCs/>
              </w:rPr>
              <w:t xml:space="preserve">TARGET ≤ 1 s</w:t>
            </w:r>
            <w:r>
              <w:t xml:space="preserve"> </w:t>
            </w:r>
            <w:r>
              <w:t xml:space="preserve">typical; rung success = WG handshake, not carrier connect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exact bound</w:t>
            </w:r>
          </w:p>
        </w:tc>
        <w:tc>
          <w:tcPr/>
          <w:p>
            <w:pPr>
              <w:pStyle w:val="Compact"/>
            </w:pPr>
            <w:r>
              <w:t xml:space="preserve">integration (handshake-timing capture)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HVPN-NFR-006</w:t>
            </w:r>
          </w:p>
        </w:tc>
        <w:tc>
          <w:tcPr/>
          <w:p>
            <w:pPr>
              <w:pStyle w:val="Compact"/>
            </w:pPr>
            <w:r>
              <w:t xml:space="preserve">Transport-ladder escalation to a working rung is bounded per attempt (no unbounded hang).</w:t>
            </w:r>
          </w:p>
        </w:tc>
        <w:tc>
          <w:tcPr/>
          <w:p>
            <w:pPr>
              <w:pStyle w:val="Compact"/>
            </w:pPr>
            <w:r>
              <w:t xml:space="preserve">per-rung budget enforced; cursor advances monotonically (L-I8); total ≤ Σ rung budgets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calibrated value</w:t>
            </w:r>
          </w:p>
        </w:tc>
        <w:tc>
          <w:tcPr/>
          <w:p>
            <w:pPr>
              <w:pStyle w:val="Compact"/>
            </w:pPr>
            <w:r>
              <w:t xml:space="preserve">integration (ladder transition trace)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HVPN-NFR-007</w:t>
            </w:r>
          </w:p>
        </w:tc>
        <w:tc>
          <w:tcPr/>
          <w:p>
            <w:pPr>
              <w:pStyle w:val="Compact"/>
            </w:pPr>
            <w:r>
              <w:t xml:space="preserve">Datapath added latency (encryption + obfuscation overhead) stays within an obfuscation-aware budget.</w:t>
            </w:r>
          </w:p>
        </w:tc>
        <w:tc>
          <w:tcPr/>
          <w:p>
            <w:pPr>
              <w:pStyle w:val="Compact"/>
            </w:pPr>
            <w:r>
              <w:t xml:space="preserve">plain-UDP overhead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near-zero; MASQUE adds QUIC/H3 framing cost, bounded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measured value</w:t>
            </w:r>
          </w:p>
        </w:tc>
        <w:tc>
          <w:tcPr/>
          <w:p>
            <w:pPr>
              <w:pStyle w:val="Compact"/>
            </w:pPr>
            <w:r>
              <w:t xml:space="preserve">benchmarking (per-rung latency histogram)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HVPN-NFR-008</w:t>
            </w:r>
          </w:p>
        </w:tc>
        <w:tc>
          <w:tcPr/>
          <w:p>
            <w:pPr>
              <w:pStyle w:val="Compact"/>
            </w:pPr>
            <w:r>
              <w:t xml:space="preserve">MTU is chosen so WG-in-transport never fragments on a 1500-byte path.</w:t>
            </w:r>
          </w:p>
        </w:tc>
        <w:tc>
          <w:tcPr/>
          <w:p>
            <w:pPr>
              <w:pStyle w:val="Compact"/>
            </w:pPr>
            <w:r>
              <w:t xml:space="preserve">WG MTU</w:t>
            </w:r>
            <w:r>
              <w:t xml:space="preserve"> </w:t>
            </w:r>
            <w:r>
              <w:rPr>
                <w:b/>
                <w:bCs/>
              </w:rPr>
              <w:t xml:space="preserve">1420</w:t>
            </w:r>
            <w:r>
              <w:t xml:space="preserve"> </w:t>
            </w:r>
            <w:r>
              <w:t xml:space="preserve">plain; transport-specific reductions for MASQUE/Shadowsocks documented per rung</w:t>
            </w:r>
          </w:p>
        </w:tc>
        <w:tc>
          <w:tcPr/>
          <w:p>
            <w:pPr>
              <w:pStyle w:val="Compact"/>
            </w:pPr>
            <w:r>
              <w:t xml:space="preserve">integration (path-MTU probe, no-fragment assert)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HVPN-NFR-009</w:t>
            </w:r>
          </w:p>
        </w:tc>
        <w:tc>
          <w:tcPr/>
          <w:p>
            <w:pPr>
              <w:pStyle w:val="Compact"/>
            </w:pPr>
            <w:r>
              <w:t xml:space="preserve">Admin-perceived "policy edit reflected" end-to-end (REST→compile→activate→bus→delta).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as the MVP DoD-5 criterion (superset of NFR-003, per-hop timers)</w:t>
            </w:r>
          </w:p>
        </w:tc>
        <w:tc>
          <w:tcPr/>
          <w:p>
            <w:pPr>
              <w:pStyle w:val="Compact"/>
            </w:pPr>
            <w:r>
              <w:t xml:space="preserve">e2e / full-automation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NFR-003 vs NFR-009 (§11.4.6).</w:t>
      </w:r>
      <w:r>
        <w:t xml:space="preserve"> </w:t>
      </w:r>
      <w:r>
        <w:t xml:space="preserve">NFR-003 measures the coordinator's</w:t>
      </w:r>
      <w:r>
        <w:t xml:space="preserve"> </w:t>
      </w:r>
      <w:r>
        <w:rPr>
          <w:rStyle w:val="VerbatimChar"/>
        </w:rPr>
        <w:t xml:space="preserve">event-receive → stream.Send</w:t>
      </w:r>
      <w:r>
        <w:t xml:space="preserve"> </w:t>
      </w:r>
      <w:r>
        <w:t xml:space="preserve">segment only; NFR-009 is the wider admin-edit</w:t>
      </w:r>
      <w:r>
        <w:t xml:space="preserve"> </w:t>
      </w:r>
      <w:r>
        <w:t xml:space="preserve">path the DoD asserts and is a</w:t>
      </w:r>
      <w:r>
        <w:t xml:space="preserve"> </w:t>
      </w:r>
      <w:r>
        <w:rPr>
          <w:i/>
          <w:iCs/>
        </w:rPr>
        <w:t xml:space="preserve">superset</w:t>
      </w:r>
      <w:r>
        <w:t xml:space="preserve"> </w:t>
      </w:r>
      <w:r>
        <w:t xml:space="preserve">— they are tracked as distinct series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§7.1,</w:t>
      </w:r>
      <w:r>
        <w:t xml:space="preserve"> 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§6.1), not conflated.</w:t>
      </w:r>
    </w:p>
    <w:p>
      <w:r>
        <w:pict>
          <v:rect style="width:0;height:1.5pt" o:hralign="center" o:hrstd="t" o:hr="t"/>
        </w:pict>
      </w:r>
    </w:p>
    <w:bookmarkEnd w:id="11"/>
    <w:bookmarkStart w:id="12" w:name="X137c0ac578bb43a274c420b4ec95346b342c6f4"/>
    <w:p>
      <w:pPr>
        <w:pStyle w:val="Heading2"/>
      </w:pPr>
      <w:r>
        <w:t xml:space="preserve">3. Scale NFRs (HVPN-NFR-100…)</w:t>
      </w:r>
    </w:p>
    <w:p>
      <w:pPr>
        <w:pStyle w:val="FirstParagraph"/>
      </w:pPr>
      <w:r>
        <w:t xml:space="preserve">Scale targets are stated as MVP single-node bars plus Phase-2 fleet bars. Where</w:t>
      </w:r>
      <w:r>
        <w:t xml:space="preserve"> </w:t>
      </w:r>
      <w:r>
        <w:t xml:space="preserve">the MVP number is a sizing target not yet load-proven it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HVPN-NFR-100</w:t>
            </w:r>
          </w:p>
        </w:tc>
        <w:tc>
          <w:tcPr/>
          <w:p>
            <w:pPr>
              <w:pStyle w:val="Compact"/>
            </w:pPr>
            <w:r>
              <w:t xml:space="preserve">A single self-hosted gateway pod serves a homelab-scale fleet of concurrent agents.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≥ 10 k</w:t>
            </w:r>
            <w:r>
              <w:t xml:space="preserve"> </w:t>
            </w: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streams per coordinator (the soak-test figure)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soak-stress (24 h, N=10 k streams)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HVPN-NFR-101</w:t>
            </w:r>
          </w:p>
        </w:tc>
        <w:tc>
          <w:tcPr/>
          <w:p>
            <w:pPr>
              <w:pStyle w:val="Compact"/>
            </w:pPr>
            <w:r>
              <w:t xml:space="preserve">Coordinator memory stays bounded under sustained stream load (no leak).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</w:t>
            </w:r>
            <w:r>
              <w:t xml:space="preserve"> </w:t>
            </w:r>
            <w:r>
              <w:rPr>
                <w:b/>
                <w:bCs/>
              </w:rPr>
              <w:t xml:space="preserve">≈ 0</w:t>
            </w:r>
            <w:r>
              <w:t xml:space="preserve"> </w:t>
            </w:r>
            <w:r>
              <w:t xml:space="preserve">over 24 h @ 10 k streams</w:t>
            </w:r>
          </w:p>
        </w:tc>
        <w:tc>
          <w:tcPr/>
          <w:p>
            <w:pPr>
              <w:pStyle w:val="Compact"/>
            </w:pPr>
            <w:r>
              <w:t xml:space="preserve">soak-stress / memory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HVPN-NFR-102</w:t>
            </w:r>
          </w:p>
        </w:tc>
        <w:tc>
          <w:tcPr/>
          <w:p>
            <w:pPr>
              <w:pStyle w:val="Compact"/>
            </w:pPr>
            <w:r>
              <w:t xml:space="preserve">The minimal-affected-set fan-out keeps per-event work small regardless of tenant size.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helix_fanout_affected_nodes</w:t>
            </w:r>
            <w:r>
              <w:t xml:space="preserve"> </w:t>
            </w:r>
            <w:r>
              <w:rPr>
                <w:b/>
                <w:bCs/>
              </w:rPr>
              <w:t xml:space="preserve">≪ tenant size</w:t>
            </w:r>
            <w:r>
              <w:t xml:space="preserve"> </w:t>
            </w:r>
            <w:r>
              <w:t xml:space="preserve">for a small change</w:t>
            </w:r>
          </w:p>
        </w:tc>
        <w:tc>
          <w:tcPr/>
          <w:p>
            <w:pPr>
              <w:pStyle w:val="Compact"/>
            </w:pPr>
            <w:r>
              <w:t xml:space="preserve">unit + performance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HVPN-NFR-103</w:t>
            </w:r>
          </w:p>
        </w:tc>
        <w:tc>
          <w:tcPr/>
          <w:p>
            <w:pPr>
              <w:pStyle w:val="Compact"/>
            </w:pPr>
            <w:r>
              <w:t xml:space="preserve">One gateway supports many joined private networks (connectors) per tenant.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connectors/tenant bounded only by overlay-IP space (ULA /48, D4)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concrete ceiling</w:t>
            </w:r>
          </w:p>
        </w:tc>
        <w:tc>
          <w:tcPr/>
          <w:p>
            <w:pPr>
              <w:pStyle w:val="Compact"/>
            </w:pPr>
            <w:r>
              <w:t xml:space="preserve">integration (multi-connector overlay)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HVPN-NFR-104</w:t>
            </w:r>
          </w:p>
        </w:tc>
        <w:tc>
          <w:tcPr/>
          <w:p>
            <w:pPr>
              <w:pStyle w:val="Compact"/>
            </w:pPr>
            <w:r>
              <w:t xml:space="preserve">One user reaches N joined networks (the multi-network differentiator X1).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user → N nets</w:t>
            </w:r>
            <w:r>
              <w:t xml:space="preserve">, N bounded by policy + IPAM, not architecture</w:t>
            </w:r>
          </w:p>
        </w:tc>
        <w:tc>
          <w:tcPr/>
          <w:p>
            <w:pPr>
              <w:pStyle w:val="Compact"/>
            </w:pPr>
            <w:r>
              <w:t xml:space="preserve">e2e (multi-network reach)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HVPN-NFR-105</w:t>
            </w:r>
          </w:p>
        </w:tc>
        <w:tc>
          <w:tcPr/>
          <w:p>
            <w:pPr>
              <w:pStyle w:val="Compact"/>
            </w:pPr>
            <w:r>
              <w:t xml:space="preserve">Reconnect storm (mass gateway flap) is absorbed without deadlock or unbounded buffering.</w:t>
            </w:r>
          </w:p>
        </w:tc>
        <w:tc>
          <w:tcPr/>
          <w:p>
            <w:pPr>
              <w:pStyle w:val="Compact"/>
            </w:pPr>
            <w:r>
              <w:t xml:space="preserve">10 k simultaneous reconnects: bounded send queues, no deadlock, drops counted not buffered</w:t>
            </w:r>
          </w:p>
        </w:tc>
        <w:tc>
          <w:tcPr/>
          <w:p>
            <w:pPr>
              <w:pStyle w:val="Compact"/>
            </w:pPr>
            <w:r>
              <w:t xml:space="preserve">stress (reconnect-storm)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HVPN-NFR-106</w:t>
            </w:r>
          </w:p>
        </w:tc>
        <w:tc>
          <w:tcPr/>
          <w:p>
            <w:pPr>
              <w:pStyle w:val="Compact"/>
            </w:pPr>
            <w:r>
              <w:t xml:space="preserve">Per-tenant isolation does not let one tenant's churn block another.</w:t>
            </w:r>
          </w:p>
        </w:tc>
        <w:tc>
          <w:tcPr/>
          <w:p>
            <w:pPr>
              <w:pStyle w:val="Compact"/>
            </w:pPr>
            <w:r>
              <w:t xml:space="preserve">per-tenant</w:t>
            </w:r>
            <w:r>
              <w:t xml:space="preserve"> </w:t>
            </w:r>
            <w:r>
              <w:rPr>
                <w:rStyle w:val="VerbatimChar"/>
              </w:rPr>
              <w:t xml:space="preserve">tenantState</w:t>
            </w:r>
            <w:r>
              <w:t xml:space="preserve"> </w:t>
            </w:r>
            <w:r>
              <w:t xml:space="preserve">sharding; one tenant's lock never held across another</w:t>
            </w:r>
          </w:p>
        </w:tc>
        <w:tc>
          <w:tcPr/>
          <w:p>
            <w:pPr>
              <w:pStyle w:val="Compact"/>
            </w:pPr>
            <w:r>
              <w:t xml:space="preserve">concurrency / race-deadlock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HVPN-NFR-107</w:t>
            </w:r>
          </w:p>
        </w:tc>
        <w:tc>
          <w:tcPr/>
          <w:p>
            <w:pPr>
              <w:pStyle w:val="Compact"/>
            </w:pPr>
            <w:r>
              <w:t xml:space="preserve">Control plane scales horizontally to stateless multi-replica coordinators.</w:t>
            </w:r>
          </w:p>
        </w:tc>
        <w:tc>
          <w:tcPr/>
          <w:p>
            <w:pPr>
              <w:pStyle w:val="Compact"/>
            </w:pPr>
            <w:r>
              <w:t xml:space="preserve">coordinators stateless (graph rebuilt from Postgres+events on boot); N replicas, no sticky state</w:t>
            </w:r>
          </w:p>
        </w:tc>
        <w:tc>
          <w:tcPr/>
          <w:p>
            <w:pPr>
              <w:pStyle w:val="Compact"/>
            </w:pPr>
            <w:r>
              <w:t xml:space="preserve">integration (multi-replica)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HVPN-NFR-108</w:t>
            </w:r>
          </w:p>
        </w:tc>
        <w:tc>
          <w:tcPr/>
          <w:p>
            <w:pPr>
              <w:pStyle w:val="Compact"/>
            </w:pPr>
            <w:r>
              <w:t xml:space="preserve">Event backbone scales from single-node Redis Streams to multi-region NATS JetStream.</w:t>
            </w:r>
          </w:p>
        </w:tc>
        <w:tc>
          <w:tcPr/>
          <w:p>
            <w:pPr>
              <w:pStyle w:val="Compact"/>
            </w:pPr>
            <w:r>
              <w:t xml:space="preserve">bus interface (D3) transport-agnostic; swap is mechanical, not a redesign</w:t>
            </w:r>
          </w:p>
        </w:tc>
        <w:tc>
          <w:tcPr/>
          <w:p>
            <w:pPr>
              <w:pStyle w:val="Compact"/>
            </w:pPr>
            <w:r>
              <w:t xml:space="preserve">integration (bus swap)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b2bf12a564cb56adc74ed04ad3d0c2e4d872f7"/>
    <w:p>
      <w:pPr>
        <w:pStyle w:val="Heading2"/>
      </w:pPr>
      <w:r>
        <w:t xml:space="preserve">4. Availability &amp; HA NFRs (HVPN-NFR-200…)</w:t>
      </w:r>
    </w:p>
    <w:p>
      <w:pPr>
        <w:pStyle w:val="FirstParagraph"/>
      </w:pPr>
      <w:r>
        <w:t xml:space="preserve">The load-bearing availability property is</w:t>
      </w:r>
      <w:r>
        <w:t xml:space="preserve"> </w:t>
      </w:r>
      <w:r>
        <w:rPr>
          <w:b/>
          <w:bCs/>
        </w:rPr>
        <w:t xml:space="preserve">fail-static</w:t>
      </w:r>
      <w:r>
        <w:t xml:space="preserve"> </w:t>
      </w:r>
      <w:r>
        <w:t xml:space="preserve">(P1): a control-plane</w:t>
      </w:r>
      <w:r>
        <w:t xml:space="preserve"> </w:t>
      </w:r>
      <w:r>
        <w:t xml:space="preserve">outage is never a connectivity outage.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HVPN-NFR-200</w:t>
            </w:r>
          </w:p>
        </w:tc>
        <w:tc>
          <w:tcPr/>
          <w:p>
            <w:pPr>
              <w:pStyle w:val="Compact"/>
            </w:pPr>
            <w:r>
              <w:t xml:space="preserve">Existing tunnels keep forwarding while the control plane is down (fail-static, P1).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tunnel drops on control-plane outage; edge forwards from cached verdict map</w:t>
            </w:r>
          </w:p>
        </w:tc>
        <w:tc>
          <w:tcPr/>
          <w:p>
            <w:pPr>
              <w:pStyle w:val="Compact"/>
            </w:pPr>
            <w:r>
              <w:t xml:space="preserve">chaos (kill control plane mid-traffic)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HVPN-NFR-201</w:t>
            </w:r>
          </w:p>
        </w:tc>
        <w:tc>
          <w:tcPr/>
          <w:p>
            <w:pPr>
              <w:pStyle w:val="Compact"/>
            </w:pPr>
            <w:r>
              <w:t xml:space="preserve">A Postgres/Redis blip does not restart the gateway process.</w:t>
            </w:r>
          </w:p>
        </w:tc>
        <w:tc>
          <w:tcPr/>
          <w:p>
            <w:pPr>
              <w:pStyle w:val="Compact"/>
            </w:pPr>
            <w:r>
              <w:t xml:space="preserve">liveness probe dependency-free; readiness gates new traffic only, never kills serving streams</w:t>
            </w:r>
          </w:p>
        </w:tc>
        <w:tc>
          <w:tcPr/>
          <w:p>
            <w:pPr>
              <w:pStyle w:val="Compact"/>
            </w:pPr>
            <w:r>
              <w:t xml:space="preserve">chaos (DB/Redis blip)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HVPN-NFR-202</w:t>
            </w:r>
          </w:p>
        </w:tc>
        <w:tc>
          <w:tcPr/>
          <w:p>
            <w:pPr>
              <w:pStyle w:val="Compact"/>
            </w:pPr>
            <w:r>
              <w:t xml:space="preserve">Presence backend (Redis) loss degrades gracefully, never errors a tunnel (fail-static).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IsOnline</w:t>
            </w:r>
            <w:r>
              <w:t xml:space="preserve">→</w:t>
            </w:r>
            <w:r>
              <w:rPr>
                <w:rStyle w:val="VerbatimChar"/>
              </w:rPr>
              <w:t xml:space="preserve">ErrPresenceUnavailable</w:t>
            </w:r>
            <w:r>
              <w:t xml:space="preserve">; coordinator assumes reachable-via-relay degraded; no tunnel error</w:t>
            </w:r>
          </w:p>
        </w:tc>
        <w:tc>
          <w:tcPr/>
          <w:p>
            <w:pPr>
              <w:pStyle w:val="Compact"/>
            </w:pPr>
            <w:r>
              <w:t xml:space="preserve">chaos (drop Redis mid-stream)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HVPN-NFR-203</w:t>
            </w:r>
          </w:p>
        </w:tc>
        <w:tc>
          <w:tcPr/>
          <w:p>
            <w:pPr>
              <w:pStyle w:val="Compact"/>
            </w:pPr>
            <w:r>
              <w:t xml:space="preserve">A crashed coordinator consumer loses no events (no-work-loss).</w:t>
            </w:r>
          </w:p>
        </w:tc>
        <w:tc>
          <w:tcPr/>
          <w:p>
            <w:pPr>
              <w:pStyle w:val="Compact"/>
            </w:pPr>
            <w:r>
              <w:t xml:space="preserve">XAutoClaim reclaim of stalled PEL entries;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lost events across a kill</w:t>
            </w:r>
          </w:p>
        </w:tc>
        <w:tc>
          <w:tcPr/>
          <w:p>
            <w:pPr>
              <w:pStyle w:val="Compact"/>
            </w:pPr>
            <w:r>
              <w:t xml:space="preserve">chaos (kill consumer mid-apply)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HVPN-NFR-204</w:t>
            </w:r>
          </w:p>
        </w:tc>
        <w:tc>
          <w:tcPr/>
          <w:p>
            <w:pPr>
              <w:pStyle w:val="Compact"/>
            </w:pPr>
            <w:r>
              <w:t xml:space="preserve">A coordinator restart is transparent to connected agents (resume by known_version).</w:t>
            </w:r>
          </w:p>
        </w:tc>
        <w:tc>
          <w:tcPr/>
          <w:p>
            <w:pPr>
              <w:pStyle w:val="Compact"/>
            </w:pPr>
            <w:r>
              <w:t xml:space="preserve">agents resume from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against the rebuilt-from-Postgres graph; snapshot fallback on ring gap</w:t>
            </w:r>
          </w:p>
        </w:tc>
        <w:tc>
          <w:tcPr/>
          <w:p>
            <w:pPr>
              <w:pStyle w:val="Compact"/>
            </w:pPr>
            <w:r>
              <w:t xml:space="preserve">chaos / integration (restart mid-stream)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HVPN-NFR-205</w:t>
            </w:r>
          </w:p>
        </w:tc>
        <w:tc>
          <w:tcPr/>
          <w:p>
            <w:pPr>
              <w:pStyle w:val="Compact"/>
            </w:pPr>
            <w:r>
              <w:t xml:space="preserve">Multi-region HA: stateless coordinators + Patroni Postgres + NATS JetStream survive a region loss.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region-failover within an RTO/RPO budget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(Phase-2 DR runbook owns the number)</w:t>
            </w:r>
          </w:p>
        </w:tc>
        <w:tc>
          <w:tcPr/>
          <w:p>
            <w:pPr>
              <w:pStyle w:val="Compact"/>
            </w:pPr>
            <w:r>
              <w:t xml:space="preserve">chaos (region-failover drill)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HVPN-NFR-206</w:t>
            </w:r>
          </w:p>
        </w:tc>
        <w:tc>
          <w:tcPr/>
          <w:p>
            <w:pPr>
              <w:pStyle w:val="Compact"/>
            </w:pPr>
            <w:r>
              <w:t xml:space="preserve">Gateway failover re-points agents to a healthy gateway endpoint.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  <w:r>
              <w:t xml:space="preserve"> </w:t>
            </w:r>
            <w:r>
              <w:t xml:space="preserve">event → every tenant agent gets an updated endpoint within the convergence SLO</w:t>
            </w:r>
          </w:p>
        </w:tc>
        <w:tc>
          <w:tcPr/>
          <w:p>
            <w:pPr>
              <w:pStyle w:val="Compact"/>
            </w:pPr>
            <w:r>
              <w:t xml:space="preserve">integration / chaos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HVPN-NFR-207</w:t>
            </w:r>
          </w:p>
        </w:tc>
        <w:tc>
          <w:tcPr/>
          <w:p>
            <w:pPr>
              <w:pStyle w:val="Compact"/>
            </w:pPr>
            <w:r>
              <w:t xml:space="preserve">Poison events never spin the consumer; they route to a DLQ after a delivery-count ceiling.</w:t>
            </w:r>
          </w:p>
        </w:tc>
        <w:tc>
          <w:tcPr/>
          <w:p>
            <w:pPr>
              <w:pStyle w:val="Compact"/>
            </w:pPr>
            <w:r>
              <w:t xml:space="preserve">delivery-count ≥ cap → DLQ + alert;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infinite retry</w:t>
            </w:r>
          </w:p>
        </w:tc>
        <w:tc>
          <w:tcPr/>
          <w:p>
            <w:pPr>
              <w:pStyle w:val="Compact"/>
            </w:pPr>
            <w:r>
              <w:t xml:space="preserve">chaos / integration (DLQ)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pPr>
        <w:pStyle w:val="BlockText"/>
      </w:pPr>
      <w:r>
        <w:rPr>
          <w:b/>
          <w:bCs/>
        </w:rPr>
        <w:t xml:space="preserve">Availability SLO numbers are deferred to the DR doc (§11.4.6).</w:t>
      </w:r>
      <w:r>
        <w:t xml:space="preserve"> </w:t>
      </w:r>
      <w:r>
        <w:t xml:space="preserve">The concrete</w:t>
      </w:r>
      <w:r>
        <w:t xml:space="preserve"> </w:t>
      </w:r>
      <w:r>
        <w:t xml:space="preserve">uptime %, RTO, and RPO budgets live in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(which closes ledger gap G1); reproducing a specific "99.9 %" here would be a</w:t>
      </w:r>
      <w:r>
        <w:t xml:space="preserve"> </w:t>
      </w:r>
      <w:r>
        <w:t xml:space="preserve">fabricated number — NFR-205 names the budget's</w:t>
      </w:r>
      <w:r>
        <w:t xml:space="preserve"> </w:t>
      </w:r>
      <w:r>
        <w:rPr>
          <w:i/>
          <w:iCs/>
        </w:rPr>
        <w:t xml:space="preserve">owner</w:t>
      </w:r>
      <w:r>
        <w:t xml:space="preserve">, not a guessed value.</w:t>
      </w:r>
    </w:p>
    <w:p>
      <w:r>
        <w:pict>
          <v:rect style="width:0;height:1.5pt" o:hralign="center" o:hrstd="t" o:hr="t"/>
        </w:pict>
      </w:r>
    </w:p>
    <w:bookmarkEnd w:id="13"/>
    <w:bookmarkStart w:id="14" w:name="X98634ef1510c25bdb0fd33b236629d68dfceeeb"/>
    <w:p>
      <w:pPr>
        <w:pStyle w:val="Heading2"/>
      </w:pPr>
      <w:r>
        <w:t xml:space="preserve">5. Privacy NFRs (HVPN-NFR-300…)</w:t>
      </w:r>
    </w:p>
    <w:p>
      <w:pPr>
        <w:pStyle w:val="FirstParagraph"/>
      </w:pPr>
      <w:r>
        <w:t xml:space="preserve">Privacy is the product's reason to exist; these NFRs make the no-logging</w:t>
      </w:r>
      <w:r>
        <w:t xml:space="preserve"> </w:t>
      </w:r>
      <w:r>
        <w:t xml:space="preserve">guarantee</w:t>
      </w:r>
      <w:r>
        <w:t xml:space="preserve"> </w:t>
      </w:r>
      <w:r>
        <w:rPr>
          <w:b/>
          <w:bCs/>
        </w:rPr>
        <w:t xml:space="preserve">testable</w:t>
      </w:r>
      <w:r>
        <w:t xml:space="preserve"> </w:t>
      </w:r>
      <w:r>
        <w:t xml:space="preserve">rather than promissory. They are bound by</w:t>
      </w:r>
      <w:r>
        <w:t xml:space="preserve"> </w:t>
      </w:r>
      <w:r>
        <w:rPr>
          <w:rStyle w:val="VerbatimChar"/>
        </w:rPr>
        <w:t xml:space="preserve">no-logging-as-code.md</w:t>
      </w:r>
      <w:r>
        <w:t xml:space="preserve"> </w:t>
      </w:r>
      <w:r>
        <w:t xml:space="preserve">— what may be measured is constrained by what may exist.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HVPN-NFR-300</w:t>
            </w:r>
          </w:p>
        </w:tc>
        <w:tc>
          <w:tcPr/>
          <w:p>
            <w:pPr>
              <w:pStyle w:val="Compact"/>
            </w:pPr>
            <w:r>
              <w:t xml:space="preserve">No durable connection/traffic/packet/flow/session table exists anywhere in the schema (P7, S6).</w:t>
            </w:r>
          </w:p>
        </w:tc>
        <w:tc>
          <w:tcPr/>
          <w:p>
            <w:pPr>
              <w:pStyle w:val="Compact"/>
            </w:pPr>
            <w:r>
              <w:t xml:space="preserve">schema-lint</w:t>
            </w:r>
            <w:r>
              <w:t xml:space="preserve"> </w:t>
            </w:r>
            <w:r>
              <w:rPr>
                <w:b/>
                <w:bCs/>
              </w:rPr>
              <w:t xml:space="preserve">exit 0</w:t>
            </w:r>
            <w:r>
              <w:t xml:space="preserve"> </w:t>
            </w:r>
            <w:r>
              <w:t xml:space="preserve">against migrations AND the live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</w:p>
        </w:tc>
        <w:tc>
          <w:tcPr/>
          <w:p>
            <w:pPr>
              <w:pStyle w:val="Compact"/>
            </w:pPr>
            <w:r>
              <w:t xml:space="preserve">security (schema-lint, pre-build + post-deploy runtime signature)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HVPN-NFR-301</w:t>
            </w:r>
          </w:p>
        </w:tc>
        <w:tc>
          <w:tcPr/>
          <w:p>
            <w:pPr>
              <w:pStyle w:val="Compact"/>
            </w:pPr>
            <w:r>
              <w:t xml:space="preserve">The schema-lint is not a tautology (it actually catches a planted flow table).</w:t>
            </w:r>
          </w:p>
        </w:tc>
        <w:tc>
          <w:tcPr/>
          <w:p>
            <w:pPr>
              <w:pStyle w:val="Compact"/>
            </w:pPr>
            <w:r>
              <w:t xml:space="preserve">planted</w:t>
            </w:r>
            <w:r>
              <w:t xml:space="preserve"> </w:t>
            </w:r>
            <w:r>
              <w:rPr>
                <w:rStyle w:val="VerbatimChar"/>
              </w:rPr>
              <w:t xml:space="preserve">flows(src,dst,bytes,ts)</w:t>
            </w:r>
            <w:r>
              <w:t xml:space="preserve"> </w:t>
            </w:r>
            <w:r>
              <w:t xml:space="preserve">migration → lint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  <w:r>
              <w:t xml:space="preserve">; removed → PASSes (paired §1.1)</w:t>
            </w:r>
          </w:p>
        </w:tc>
        <w:tc>
          <w:tcPr/>
          <w:p>
            <w:pPr>
              <w:pStyle w:val="Compact"/>
            </w:pPr>
            <w:r>
              <w:t xml:space="preserve">meta-test (§1.1 golden-bad/good)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HVPN-NFR-302</w:t>
            </w:r>
          </w:p>
        </w:tc>
        <w:tc>
          <w:tcPr/>
          <w:p>
            <w:pPr>
              <w:pStyle w:val="Compact"/>
            </w:pPr>
            <w:r>
              <w:t xml:space="preserve">The event bus carries no traffic shape (C3 on the bus).</w:t>
            </w:r>
          </w:p>
        </w:tc>
        <w:tc>
          <w:tcPr/>
          <w:p>
            <w:pPr>
              <w:pStyle w:val="Compact"/>
            </w:pPr>
            <w:r>
              <w:t xml:space="preserve">zero src/dst/bytes/dns fields in any event payload struct; payload-lint green</w:t>
            </w:r>
          </w:p>
        </w:tc>
        <w:tc>
          <w:tcPr/>
          <w:p>
            <w:pPr>
              <w:pStyle w:val="Compact"/>
            </w:pPr>
            <w:r>
              <w:t xml:space="preserve">security (payload-lint, build + publish-time)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HVPN-NFR-303</w:t>
            </w:r>
          </w:p>
        </w:tc>
        <w:tc>
          <w:tcPr/>
          <w:p>
            <w:pPr>
              <w:pStyle w:val="Compact"/>
            </w:pPr>
            <w:r>
              <w:t xml:space="preserve">Audit records control actions only, never traffic; the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jsonb cannot smuggle a flow.</w:t>
            </w:r>
          </w:p>
        </w:tc>
        <w:tc>
          <w:tcPr/>
          <w:p>
            <w:pPr>
              <w:pStyle w:val="Compact"/>
            </w:pPr>
            <w:r>
              <w:t xml:space="preserve">closed action vocabulary;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key matched against forbidden regex →</w:t>
            </w:r>
            <w:r>
              <w:t xml:space="preserve"> </w:t>
            </w:r>
            <w:r>
              <w:rPr>
                <w:rStyle w:val="VerbatimChar"/>
              </w:rPr>
              <w:t xml:space="preserve">ErrAuditMetaShape</w:t>
            </w:r>
          </w:p>
        </w:tc>
        <w:tc>
          <w:tcPr/>
          <w:p>
            <w:pPr>
              <w:pStyle w:val="Compact"/>
            </w:pPr>
            <w:r>
              <w:t xml:space="preserve">unit + integration (audit meta guard)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HVPN-NFR-304</w:t>
            </w:r>
          </w:p>
        </w:tc>
        <w:tc>
          <w:tcPr/>
          <w:p>
            <w:pPr>
              <w:pStyle w:val="Compact"/>
            </w:pPr>
            <w:r>
              <w:t xml:space="preserve">Live presence is ephemeral (Redis TTL), never persisted to Postgres.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presence:{tenant}:{device}</w:t>
            </w:r>
            <w:r>
              <w:t xml:space="preserve"> </w:t>
            </w:r>
            <w:r>
              <w:t xml:space="preserve">TTL = 3× heartbeat;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durable session row; loss of Redis loses no durable state</w:t>
            </w:r>
          </w:p>
        </w:tc>
        <w:tc>
          <w:tcPr/>
          <w:p>
            <w:pPr>
              <w:pStyle w:val="Compact"/>
            </w:pPr>
            <w:r>
              <w:t xml:space="preserve">integration (presence TTL/expiry)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HVPN-NFR-305</w:t>
            </w:r>
          </w:p>
        </w:tc>
        <w:tc>
          <w:tcPr/>
          <w:p>
            <w:pPr>
              <w:pStyle w:val="Compact"/>
            </w:pPr>
            <w:r>
              <w:t xml:space="preserve">The one durable presence derivative (</w:t>
            </w:r>
            <w:r>
              <w:rPr>
                <w:rStyle w:val="VerbatimChar"/>
              </w:rPr>
              <w:t xml:space="preserve">last_seen_at</w:t>
            </w:r>
            <w:r>
              <w:t xml:space="preserve">) cannot reconstruct a session timeline.</w:t>
            </w:r>
          </w:p>
        </w:tc>
        <w:tc>
          <w:tcPr/>
          <w:p>
            <w:pPr>
              <w:pStyle w:val="Compact"/>
            </w:pPr>
            <w:r>
              <w:t xml:space="preserve">coarsened to</w:t>
            </w:r>
            <w:r>
              <w:t xml:space="preserve"> </w:t>
            </w:r>
            <w:r>
              <w:rPr>
                <w:b/>
                <w:bCs/>
              </w:rPr>
              <w:t xml:space="preserve">≥ 5 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LAST_SEEN_COARSEN</w:t>
            </w:r>
            <w:r>
              <w:t xml:space="preserve">), carries no destination</w:t>
            </w:r>
          </w:p>
        </w:tc>
        <w:tc>
          <w:tcPr/>
          <w:p>
            <w:pPr>
              <w:pStyle w:val="Compact"/>
            </w:pPr>
            <w:r>
              <w:t xml:space="preserve">unit + integration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exposes aggregate counters only — no per-user, per-flow, per-destination, or per-tenant-label series.</w:t>
            </w:r>
          </w:p>
        </w:tc>
        <w:tc>
          <w:tcPr/>
          <w:p>
            <w:pPr>
              <w:pStyle w:val="Compact"/>
            </w:pPr>
            <w:r>
              <w:t xml:space="preserve">every collector's label set ⊆ allow-list;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/</w:t>
            </w:r>
            <w:r>
              <w:rPr>
                <w:rStyle w:val="VerbatimChar"/>
              </w:rPr>
              <w:t xml:space="preserve">device_id</w:t>
            </w:r>
            <w:r>
              <w:t xml:space="preserve">/</w:t>
            </w:r>
            <w:r>
              <w:rPr>
                <w:rStyle w:val="VerbatimChar"/>
              </w:rPr>
              <w:t xml:space="preserve">*_ip</w:t>
            </w:r>
            <w:r>
              <w:t xml:space="preserve"> </w:t>
            </w: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unit (label-cardinality audit)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HVPN-NFR-307</w:t>
            </w:r>
          </w:p>
        </w:tc>
        <w:tc>
          <w:tcPr/>
          <w:p>
            <w:pPr>
              <w:pStyle w:val="Compact"/>
            </w:pPr>
            <w:r>
              <w:t xml:space="preserve">Anonymous identity is supported (no email, no SSO required).</w:t>
            </w:r>
          </w:p>
        </w:tc>
        <w:tc>
          <w:tcPr/>
          <w:p>
            <w:pPr>
              <w:pStyle w:val="Compact"/>
            </w:pPr>
            <w:r>
              <w:t xml:space="preserve">a tenant mints device enroll tokens with</w:t>
            </w:r>
            <w:r>
              <w:t xml:space="preserve"> </w:t>
            </w:r>
            <w:r>
              <w:rPr>
                <w:rStyle w:val="VerbatimChar"/>
              </w:rPr>
              <w:t xml:space="preserve">users.email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oidc_sub = NULL</w:t>
            </w:r>
            <w:r>
              <w:t xml:space="preserve">; no reverse-link to a human</w:t>
            </w:r>
          </w:p>
        </w:tc>
        <w:tc>
          <w:tcPr/>
          <w:p>
            <w:pPr>
              <w:pStyle w:val="Compact"/>
            </w:pPr>
            <w:r>
              <w:t xml:space="preserve">integration (anonymous enroll)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HVPN-NFR-308</w:t>
            </w:r>
          </w:p>
        </w:tc>
        <w:tc>
          <w:tcPr/>
          <w:p>
            <w:pPr>
              <w:pStyle w:val="Compact"/>
            </w:pPr>
            <w:r>
              <w:t xml:space="preserve">The no-logging guarantee holds as a runtime signature, not a source grep (§11.4.108).</w:t>
            </w:r>
          </w:p>
        </w:tc>
        <w:tc>
          <w:tcPr/>
          <w:p>
            <w:pPr>
              <w:pStyle w:val="Compact"/>
            </w:pPr>
            <w:r>
              <w:t xml:space="preserve">schema-lint green against the</w:t>
            </w:r>
            <w:r>
              <w:t xml:space="preserve"> </w:t>
            </w:r>
            <w:r>
              <w:rPr>
                <w:b/>
                <w:bCs/>
              </w:rPr>
              <w:t xml:space="preserve">deployed</w:t>
            </w:r>
            <w:r>
              <w:t xml:space="preserve"> </w:t>
            </w:r>
            <w:r>
              <w:t xml:space="preserve">DB, asserted post-deploy</w:t>
            </w:r>
          </w:p>
        </w:tc>
        <w:tc>
          <w:tcPr/>
          <w:p>
            <w:pPr>
              <w:pStyle w:val="Compact"/>
            </w:pPr>
            <w:r>
              <w:t xml:space="preserve">e2e Challenge (deployed-DB lint)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HVPN-NFR-309</w:t>
            </w:r>
          </w:p>
        </w:tc>
        <w:tc>
          <w:tcPr/>
          <w:p>
            <w:pPr>
              <w:pStyle w:val="Compact"/>
            </w:pPr>
            <w:r>
              <w:t xml:space="preserve">Audit (control-action) retention follows an explicit, operator-set policy — never a silent default that either grows unbounded or auto-prunes accountability evidence.</w:t>
            </w:r>
          </w:p>
        </w:tc>
        <w:tc>
          <w:tcPr/>
          <w:p>
            <w:pPr>
              <w:pStyle w:val="Compact"/>
            </w:pPr>
            <w:r>
              <w:t xml:space="preserve">default =</w:t>
            </w:r>
            <w:r>
              <w:t xml:space="preserve"> </w:t>
            </w:r>
            <w:r>
              <w:rPr>
                <w:b/>
                <w:bCs/>
              </w:rPr>
              <w:t xml:space="preserve">no auto-prune</w:t>
            </w:r>
            <w:r>
              <w:t xml:space="preserve"> </w:t>
            </w:r>
            <w:r>
              <w:t xml:space="preserve">(D-AC-3); operator MAY set a retention period per their compliance regime; retention config is itself an audited control action</w:t>
            </w:r>
          </w:p>
        </w:tc>
        <w:tc>
          <w:tcPr/>
          <w:p>
            <w:pPr>
              <w:pStyle w:val="Compact"/>
            </w:pPr>
            <w:r>
              <w:t xml:space="preserve">integration (retention-policy set/enforce)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These NFRs guarantee</w:t>
      </w:r>
      <w:r>
        <w:t xml:space="preserve"> </w:t>
      </w:r>
      <w:r>
        <w:rPr>
          <w:i/>
          <w:iCs/>
        </w:rPr>
        <w:t xml:space="preserve">durable-store + bus +</w:t>
      </w:r>
      <w:r>
        <w:rPr>
          <w:i/>
          <w:iCs/>
        </w:rPr>
        <w:t xml:space="preserve"> </w:t>
      </w:r>
      <w:r>
        <w:rPr>
          <w:i/>
          <w:iCs/>
        </w:rPr>
        <w:t xml:space="preserve">audit</w:t>
      </w:r>
      <w:r>
        <w:t xml:space="preserve"> </w:t>
      </w:r>
      <w:r>
        <w:t xml:space="preserve">absence of traffic data.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 hot-compromised running</w:t>
      </w:r>
      <w:r>
        <w:t xml:space="preserve"> </w:t>
      </w:r>
      <w:r>
        <w:t xml:space="preserve">gateway holds nothing in RAM (live presence keys + aggregate counters are the</w:t>
      </w:r>
      <w:r>
        <w:t xml:space="preserve"> </w:t>
      </w:r>
      <w:r>
        <w:t xml:space="preserve">residual surface T5 in</w:t>
      </w:r>
      <w:r>
        <w:t xml:space="preserve"> </w:t>
      </w:r>
      <w:r>
        <w:rPr>
          <w:rStyle w:val="VerbatimChar"/>
        </w:rPr>
        <w:t xml:space="preserve">no-logging-as-code.md</w:t>
      </w:r>
      <w:r>
        <w:t xml:space="preserve"> </w:t>
      </w:r>
      <w:r>
        <w:t xml:space="preserve">§14). The privacy NFR set is</w:t>
      </w:r>
      <w:r>
        <w:t xml:space="preserve"> </w:t>
      </w:r>
      <w:r>
        <w:t xml:space="preserve">"no durable user↔destination correlation ever exists," never "an attacker with</w:t>
      </w:r>
      <w:r>
        <w:t xml:space="preserve"> </w:t>
      </w:r>
      <w:r>
        <w:t xml:space="preserve">root on a live box sees nothing."</w:t>
      </w:r>
    </w:p>
    <w:p>
      <w:r>
        <w:pict>
          <v:rect style="width:0;height:1.5pt" o:hralign="center" o:hrstd="t" o:hr="t"/>
        </w:pict>
      </w:r>
    </w:p>
    <w:bookmarkEnd w:id="14"/>
    <w:bookmarkStart w:id="15" w:name="Xc052890264211f2ea5c426ee427894f25a420f4"/>
    <w:p>
      <w:pPr>
        <w:pStyle w:val="Heading2"/>
      </w:pPr>
      <w:r>
        <w:t xml:space="preserve">6. Security NFRs (HVPN-NFR-400…)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HVPN-NFR-400</w:t>
            </w:r>
          </w:p>
        </w:tc>
        <w:tc>
          <w:tcPr/>
          <w:p>
            <w:pPr>
              <w:pStyle w:val="Compact"/>
            </w:pPr>
            <w:r>
              <w:t xml:space="preserve">WireGuard's audited crypto core is never forked; obfuscation is a layer</w:t>
            </w:r>
            <w:r>
              <w:t xml:space="preserve"> </w:t>
            </w:r>
            <w:r>
              <w:rPr>
                <w:i/>
                <w:iCs/>
              </w:rPr>
              <w:t xml:space="preserve">under</w:t>
            </w:r>
            <w:r>
              <w:t xml:space="preserve"> </w:t>
            </w:r>
            <w:r>
              <w:t xml:space="preserve">it (P2).</w:t>
            </w:r>
          </w:p>
        </w:tc>
        <w:tc>
          <w:tcPr/>
          <w:p>
            <w:pPr>
              <w:pStyle w:val="Compact"/>
            </w:pPr>
            <w:r>
              <w:t xml:space="preserve">WG Noise IK / Curve25519 / ChaCha20-Poly1305 untouched; CI lint forbids edits to WG crypto primitives</w:t>
            </w:r>
          </w:p>
        </w:tc>
        <w:tc>
          <w:tcPr/>
          <w:p>
            <w:pPr>
              <w:pStyle w:val="Compact"/>
            </w:pPr>
            <w:r>
              <w:t xml:space="preserve">security + meta-test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HVPN-NFR-401</w:t>
            </w:r>
          </w:p>
        </w:tc>
        <w:tc>
          <w:tcPr/>
          <w:p>
            <w:pPr>
              <w:pStyle w:val="Compact"/>
            </w:pPr>
            <w:r>
              <w:t xml:space="preserve">Edges are outbound-only; no private network needs an inbound port (P3).</w:t>
            </w:r>
          </w:p>
        </w:tc>
        <w:tc>
          <w:tcPr/>
          <w:p>
            <w:pPr>
              <w:pStyle w:val="Compact"/>
            </w:pPr>
            <w:r>
              <w:t xml:space="preserve">only the gateway listens publicly; connectors/clients dial out</w:t>
            </w:r>
          </w:p>
        </w:tc>
        <w:tc>
          <w:tcPr/>
          <w:p>
            <w:pPr>
              <w:pStyle w:val="Compact"/>
            </w:pPr>
            <w:r>
              <w:t xml:space="preserve">security (no-inbound assertion)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HVPN-NFR-402</w:t>
            </w:r>
          </w:p>
        </w:tc>
        <w:tc>
          <w:tcPr/>
          <w:p>
            <w:pPr>
              <w:pStyle w:val="Compact"/>
            </w:pPr>
            <w:r>
              <w:t xml:space="preserve">Default-deny, need-to-know: a node only ever learns peers a compiled rule grants (C4).</w:t>
            </w:r>
          </w:p>
        </w:tc>
        <w:tc>
          <w:tcPr/>
          <w:p>
            <w:pPr>
              <w:pStyle w:val="Compact"/>
            </w:pPr>
            <w:r>
              <w:t xml:space="preserve">a node with no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entry sees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peers; deny-unauthorized peer never appears in any snapshot</w:t>
            </w:r>
          </w:p>
        </w:tc>
        <w:tc>
          <w:tcPr/>
          <w:p>
            <w:pPr>
              <w:pStyle w:val="Compact"/>
            </w:pPr>
            <w:r>
              <w:t xml:space="preserve">e2e + meta-test (skip-filter mutation FAILs)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HVPN-NFR-403</w:t>
            </w:r>
          </w:p>
        </w:tc>
        <w:tc>
          <w:tcPr/>
          <w:p>
            <w:pPr>
              <w:pStyle w:val="Compact"/>
            </w:pPr>
            <w:r>
              <w:t xml:space="preserve">Device identity is mTLS with short-lived certs and instant revocation.</w:t>
            </w:r>
          </w:p>
        </w:tc>
        <w:tc>
          <w:tcPr/>
          <w:p>
            <w:pPr>
              <w:pStyle w:val="Compact"/>
            </w:pPr>
            <w:r>
              <w:t xml:space="preserve">short-lived device cert; revoke enforced</w:t>
            </w:r>
            <w:r>
              <w:t xml:space="preserve"> </w:t>
            </w: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(NFR-004); impersonation (</w:t>
            </w:r>
            <w:r>
              <w:rPr>
                <w:rStyle w:val="VerbatimChar"/>
              </w:rPr>
              <w:t xml:space="preserve">device_id</w:t>
            </w:r>
            <w:r>
              <w:t xml:space="preserve">≠cert) rejected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HVPN-NFR-404</w:t>
            </w:r>
          </w:p>
        </w:tc>
        <w:tc>
          <w:tcPr/>
          <w:p>
            <w:pPr>
              <w:pStyle w:val="Compact"/>
            </w:pPr>
            <w:r>
              <w:t xml:space="preserve">Kill-switch prevents any leak if the tunnel drops.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packets off-tunnel on tunnel drop (OS firewall state machine)</w:t>
            </w:r>
          </w:p>
        </w:tc>
        <w:tc>
          <w:tcPr/>
          <w:p>
            <w:pPr>
              <w:pStyle w:val="Compact"/>
            </w:pPr>
            <w:r>
              <w:t xml:space="preserve">security / e2e (leak test on drop)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HVPN-NFR-405</w:t>
            </w:r>
          </w:p>
        </w:tc>
        <w:tc>
          <w:tcPr/>
          <w:p>
            <w:pPr>
              <w:pStyle w:val="Compact"/>
            </w:pPr>
            <w:r>
              <w:t xml:space="preserve">DNS-leak protection forces tunnel DNS and blocks plaintext off-tunnel :53.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plaintext DNS off-tunnel</w:t>
            </w:r>
          </w:p>
        </w:tc>
        <w:tc>
          <w:tcPr/>
          <w:p>
            <w:pPr>
              <w:pStyle w:val="Compact"/>
            </w:pPr>
            <w:r>
              <w:t xml:space="preserve">security / e2e (DNS-leak test)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HVPN-NFR-406</w:t>
            </w:r>
          </w:p>
        </w:tc>
        <w:tc>
          <w:tcPr/>
          <w:p>
            <w:pPr>
              <w:pStyle w:val="Compact"/>
            </w:pPr>
            <w:r>
              <w:t xml:space="preserve">The device private WG key never leaves the device.</w:t>
            </w:r>
          </w:p>
        </w:tc>
        <w:tc>
          <w:tcPr/>
          <w:p>
            <w:pPr>
              <w:pStyle w:val="Compact"/>
            </w:pPr>
            <w:r>
              <w:t xml:space="preserve">key generated on-device at enrollment; only the public key is registered (C6)</w:t>
            </w:r>
          </w:p>
        </w:tc>
        <w:tc>
          <w:tcPr/>
          <w:p>
            <w:pPr>
              <w:pStyle w:val="Compact"/>
            </w:pPr>
            <w:r>
              <w:t xml:space="preserve">integration + security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HVPN-NFR-407</w:t>
            </w:r>
          </w:p>
        </w:tc>
        <w:tc>
          <w:tcPr/>
          <w:p>
            <w:pPr>
              <w:pStyle w:val="Compact"/>
            </w:pPr>
            <w:r>
              <w:t xml:space="preserve">Post-quantum handshake is hybrid (PQ pre-shared layer), never PQ-only.</w:t>
            </w:r>
          </w:p>
        </w:tc>
        <w:tc>
          <w:tcPr/>
          <w:p>
            <w:pPr>
              <w:pStyle w:val="Compact"/>
            </w:pPr>
            <w:r>
              <w:t xml:space="preserve">ML-KEM/FIPS-203 PSK layered on WG; classical handshake retained — hybrid-never-PQ-only</w:t>
            </w:r>
          </w:p>
        </w:tc>
        <w:tc>
          <w:tcPr/>
          <w:p>
            <w:pPr>
              <w:pStyle w:val="Compact"/>
            </w:pPr>
            <w:r>
              <w:t xml:space="preserve">security + integration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HVPN-NFR-408</w:t>
            </w:r>
          </w:p>
        </w:tc>
        <w:tc>
          <w:tcPr/>
          <w:p>
            <w:pPr>
              <w:pStyle w:val="Compact"/>
            </w:pPr>
            <w:r>
              <w:t xml:space="preserve">Multi-tenant isolation is enforced at the database (RLS), not only in app code.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 ROW LEVEL SECURITY</w:t>
            </w:r>
            <w:r>
              <w:t xml:space="preserve">; tenant A cannot read tenant B even with a crafted query 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</w:p>
        </w:tc>
        <w:tc>
          <w:tcPr/>
          <w:p>
            <w:pPr>
              <w:pStyle w:val="Compact"/>
            </w:pPr>
            <w:r>
              <w:t xml:space="preserve">security / integration (RLS)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HVPN-NFR-409</w:t>
            </w:r>
          </w:p>
        </w:tc>
        <w:tc>
          <w:tcPr/>
          <w:p>
            <w:pPr>
              <w:pStyle w:val="Compact"/>
            </w:pPr>
            <w:r>
              <w:t xml:space="preserve">Every change crosses the mandatory anti-bluff test gauntlet before release.</w:t>
            </w:r>
          </w:p>
        </w:tc>
        <w:tc>
          <w:tcPr/>
          <w:p>
            <w:pPr>
              <w:pStyle w:val="Compact"/>
            </w:pPr>
            <w:r>
              <w:t xml:space="preserve">each §11.4.169 type present + paired §1.1 mutation that flips its gate RED</w:t>
            </w:r>
          </w:p>
        </w:tc>
        <w:tc>
          <w:tcPr/>
          <w:p>
            <w:pPr>
              <w:pStyle w:val="Compact"/>
            </w:pPr>
            <w:r>
              <w:t xml:space="preserve">meta-test (per-gate mutation)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HVPN-NFR-410</w:t>
            </w:r>
          </w:p>
        </w:tc>
        <w:tc>
          <w:tcPr/>
          <w:p>
            <w:pPr>
              <w:pStyle w:val="Compact"/>
            </w:pPr>
            <w:r>
              <w:t xml:space="preserve">Censorship-evasion: the ladder reaches a working obfuscated transport under DPI/UDP-block.</w:t>
            </w:r>
          </w:p>
        </w:tc>
        <w:tc>
          <w:tcPr/>
          <w:p>
            <w:pPr>
              <w:pStyle w:val="Compact"/>
            </w:pPr>
            <w:r>
              <w:t xml:space="preserve">escalation reaches MASQUE (or a later rung) and completes a WG handshake under a DPI sim</w:t>
            </w:r>
          </w:p>
        </w:tc>
        <w:tc>
          <w:tcPr/>
          <w:p>
            <w:pPr>
              <w:pStyle w:val="Compact"/>
            </w:pPr>
            <w:r>
              <w:t xml:space="preserve">e2e (DPI-sim escalation)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HVPN-NFR-411</w:t>
            </w:r>
          </w:p>
        </w:tc>
        <w:tc>
          <w:tcPr/>
          <w:p>
            <w:pPr>
              <w:pStyle w:val="Compact"/>
            </w:pPr>
            <w:r>
              <w:t xml:space="preserve">Control-plane secrets (Postgres/Redis credentials, tenant CA root/KMS key material, OIDC client secrets) are never stored in plaintext in the image or repo, and are rotatable without a rebuild.</w:t>
            </w:r>
          </w:p>
        </w:tc>
        <w:tc>
          <w:tcPr/>
          <w:p>
            <w:pPr>
              <w:pStyle w:val="Compact"/>
            </w:pPr>
            <w:r>
              <w:t xml:space="preserve">secrets injected at runtime (env/File/KMS reference, never baked into an image layer); a credential rotation (DB password, Redis AUTH) completes with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dropped in-flight control RPCs</w:t>
            </w:r>
          </w:p>
        </w:tc>
        <w:tc>
          <w:tcPr/>
          <w:p>
            <w:pPr>
              <w:pStyle w:val="Compact"/>
            </w:pPr>
            <w:r>
              <w:t xml:space="preserve">security + integration (rotate-while-serving)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HVPN-NFR-412</w:t>
            </w:r>
          </w:p>
        </w:tc>
        <w:tc>
          <w:tcPr/>
          <w:p>
            <w:pPr>
              <w:pStyle w:val="Compact"/>
            </w:pPr>
            <w:r>
              <w:t xml:space="preserve">Device WireGuard keys and gateway/edge transport keys rotate on an explicit cadence and immediately on revocation — never silently indefinite.</w:t>
            </w:r>
          </w:p>
        </w:tc>
        <w:tc>
          <w:tcPr/>
          <w:p>
            <w:pPr>
              <w:pStyle w:val="Compact"/>
            </w:pPr>
            <w:r>
              <w:t xml:space="preserve">device WG key: operator-configurable rotation period (</w:t>
            </w:r>
            <w:r>
              <w:rPr>
                <w:b/>
                <w:bCs/>
              </w:rPr>
              <w:t xml:space="preserve">TARGET default 90 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concrete default)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immediate re-key on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; gateway edge transport key: independent rotation schedule from device keys, rotated with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tunnel drop for unaffected peers</w:t>
            </w:r>
          </w:p>
        </w:tc>
        <w:tc>
          <w:tcPr/>
          <w:p>
            <w:pPr>
              <w:pStyle w:val="Compact"/>
            </w:pPr>
            <w:r>
              <w:t xml:space="preserve">security + integration (scheduled + on-revoke rotation, zero-drop capture)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HVPN-NFR-413</w:t>
            </w:r>
          </w:p>
        </w:tc>
        <w:tc>
          <w:tcPr/>
          <w:p>
            <w:pPr>
              <w:pStyle w:val="Compact"/>
            </w:pPr>
            <w:r>
              <w:t xml:space="preserve">The control-plane API (Gin REST + gRPC/Connect agent surface) enforces per-principal rate limiting so no single API key/device can exhaust coordinator or Postgres capacity.</w:t>
            </w:r>
          </w:p>
        </w:tc>
        <w:tc>
          <w:tcPr/>
          <w:p>
            <w:pPr>
              <w:pStyle w:val="Compact"/>
            </w:pPr>
            <w:r>
              <w:t xml:space="preserve">token-bucket per API key/device on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+</w:t>
            </w:r>
            <w:r>
              <w:rPr>
                <w:rStyle w:val="VerbatimChar"/>
              </w:rPr>
              <w:t xml:space="preserve">coordinator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default ceiling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(operator-tunable), 429/backpressure response, no unbounded queueing (composes NFR-506)</w:t>
            </w:r>
          </w:p>
        </w:tc>
        <w:tc>
          <w:tcPr/>
          <w:p>
            <w:pPr>
              <w:pStyle w:val="Compact"/>
            </w:pPr>
            <w:r>
              <w:t xml:space="preserve">stress (burst-request flood) + security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HVPN-NFR-414</w:t>
            </w:r>
          </w:p>
        </w:tc>
        <w:tc>
          <w:tcPr/>
          <w:p>
            <w:pPr>
              <w:pStyle w:val="Compact"/>
            </w:pPr>
            <w:r>
              <w:t xml:space="preserve">The data-plane edge resists UDP-flood / reflection-amplification abuse of its public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  <w:r>
              <w:t xml:space="preserve"> </w:t>
            </w:r>
            <w:r>
              <w:t xml:space="preserve">(and other) listeners — a</w:t>
            </w:r>
            <w:r>
              <w:t xml:space="preserve"> </w:t>
            </w:r>
            <w:r>
              <w:rPr>
                <w:i/>
                <w:iCs/>
              </w:rPr>
              <w:t xml:space="preserve">distinct</w:t>
            </w:r>
            <w:r>
              <w:t xml:space="preserve"> </w:t>
            </w:r>
            <w:r>
              <w:t xml:space="preserve">concern from NFR-413 (that governs the authenticated control-plane API; this governs the unauthenticated public data-plane listener).</w:t>
            </w:r>
          </w:p>
        </w:tc>
        <w:tc>
          <w:tcPr/>
          <w:p>
            <w:pPr>
              <w:pStyle w:val="Compact"/>
            </w:pPr>
            <w:r>
              <w:t xml:space="preserve">WireGuard's built-in stateless cookie-reply mechanism is enabled (bounds per-source handshake-initiation cost); the MASQUE/QUIC listener rate-limits unmatched/pre-handshake datagrams per source IP; edge CPU/bandwidth stay bounded under a simulated flood (no amplification — reply size ≤ request size for any unauthenticated packet)</w:t>
            </w:r>
          </w:p>
        </w:tc>
        <w:tc>
          <w:tcPr/>
          <w:p>
            <w:pPr>
              <w:pStyle w:val="Compact"/>
            </w:pPr>
            <w:r>
              <w:t xml:space="preserve">DDoS test (</w:t>
            </w:r>
            <w:r>
              <w:rPr>
                <w:rStyle w:val="VerbatimChar"/>
              </w:rPr>
              <w:t xml:space="preserve">v08-testing/ddos.md</w:t>
            </w:r>
            <w:r>
              <w:t xml:space="preserve">) — flood simulation with pre/post resource + amplification-ratio capture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a27940a8f234d90c2b6fa0860a08e53bf206ae"/>
    <w:p>
      <w:pPr>
        <w:pStyle w:val="Heading2"/>
      </w:pPr>
      <w:r>
        <w:t xml:space="preserve">7. Resource NFRs (HVPN-NFR-500…)</w:t>
      </w:r>
    </w:p>
    <w:p>
      <w:pPr>
        <w:pStyle w:val="FirstParagraph"/>
      </w:pPr>
      <w:r>
        <w:t xml:space="preserve">The single hardest constraint in the whole product is the</w:t>
      </w:r>
      <w:r>
        <w:t xml:space="preserve"> </w:t>
      </w:r>
      <w:r>
        <w:rPr>
          <w:b/>
          <w:bCs/>
        </w:rPr>
        <w:t xml:space="preserve">iOS Network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 memory ceiling</w:t>
      </w:r>
      <w:r>
        <w:t xml:space="preserve"> </w:t>
      </w:r>
      <w:r>
        <w:t xml:space="preserve">— it shapes decision D2 (Rust core).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HVPN-NFR-500</w:t>
            </w:r>
          </w:p>
        </w:tc>
        <w:tc>
          <w:tcPr/>
          <w:p>
            <w:pPr>
              <w:pStyle w:val="Compact"/>
            </w:pPr>
            <w:r>
              <w:t xml:space="preserve">The Rust client core runs inside the iOS</w:t>
            </w:r>
            <w:r>
              <w:t xml:space="preserve"> </w:t>
            </w: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memory budget with headroom (make-or-break).</w:t>
            </w:r>
          </w:p>
        </w:tc>
        <w:tc>
          <w:tcPr/>
          <w:p>
            <w:pPr>
              <w:pStyle w:val="Compact"/>
            </w:pPr>
            <w:r>
              <w:t xml:space="preserve">working-set under the iOS NE ceiling with</w:t>
            </w:r>
            <w:r>
              <w:t xml:space="preserve"> </w:t>
            </w:r>
            <w:r>
              <w:rPr>
                <w:b/>
                <w:bCs/>
              </w:rPr>
              <w:t xml:space="preserve">≥ 30 % headroom</w:t>
            </w:r>
            <w:r>
              <w:t xml:space="preserve"> </w:t>
            </w:r>
            <w:r>
              <w:t xml:space="preserve">(Phase-0 gate G3) — the historical ~15 MB ceiling is a measured constraint,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UNVERIFIED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until G3 on-device</w:t>
            </w:r>
          </w:p>
        </w:tc>
        <w:tc>
          <w:tcPr/>
          <w:p>
            <w:pPr>
              <w:pStyle w:val="Compact"/>
            </w:pPr>
            <w:r>
              <w:t xml:space="preserve">memory (on-device NE soak)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HVPN-NFR-501</w:t>
            </w:r>
          </w:p>
        </w:tc>
        <w:tc>
          <w:tcPr/>
          <w:p>
            <w:pPr>
              <w:pStyle w:val="Compact"/>
            </w:pPr>
            <w:r>
              <w:t xml:space="preserve">Mobile client is battery-sensitive: push-don't-poll, no busy loops.</w:t>
            </w:r>
          </w:p>
        </w:tc>
        <w:tc>
          <w:tcPr/>
          <w:p>
            <w:pPr>
              <w:pStyle w:val="Compact"/>
            </w:pPr>
            <w:r>
              <w:t xml:space="preserve">event-driven reconcile (no cron/poll);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measurable battery delta vs idle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benchmarking (battery/CPU on-device)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HVPN-NFR-502</w:t>
            </w:r>
          </w:p>
        </w:tc>
        <w:tc>
          <w:tcPr/>
          <w:p>
            <w:pPr>
              <w:pStyle w:val="Compact"/>
            </w:pPr>
            <w:r>
              <w:t xml:space="preserve">The client core fits a small binary footprint on size-constrained platforms.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/</w:t>
            </w:r>
            <w:r>
              <w:rPr>
                <w:rStyle w:val="VerbatimChar"/>
              </w:rPr>
              <w:t xml:space="preserve">.a</w:t>
            </w:r>
            <w:r>
              <w:t xml:space="preserve"> </w:t>
            </w:r>
            <w:r>
              <w:t xml:space="preserve">size budget per platform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concrete bytes</w:t>
            </w:r>
          </w:p>
        </w:tc>
        <w:tc>
          <w:tcPr/>
          <w:p>
            <w:pPr>
              <w:pStyle w:val="Compact"/>
            </w:pPr>
            <w:r>
              <w:t xml:space="preserve">benchmarking (artifact-size check)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HVPN-NFR-503</w:t>
            </w:r>
          </w:p>
        </w:tc>
        <w:tc>
          <w:tcPr/>
          <w:p>
            <w:pPr>
              <w:pStyle w:val="Compact"/>
            </w:pPr>
            <w:r>
              <w:t xml:space="preserve">Project procedures (build/test/tooling) never exceed 60 % of host RAM (§12.6).</w:t>
            </w:r>
          </w:p>
        </w:tc>
        <w:tc>
          <w:tcPr/>
          <w:p>
            <w:pPr>
              <w:pStyle w:val="Compact"/>
            </w:pPr>
            <w:r>
              <w:t xml:space="preserve">host-side resource ceiling</w:t>
            </w:r>
            <w:r>
              <w:t xml:space="preserve"> </w:t>
            </w:r>
            <w:r>
              <w:rPr>
                <w:b/>
                <w:bCs/>
              </w:rPr>
              <w:t xml:space="preserve">≤ 60 %</w:t>
            </w:r>
            <w:r>
              <w:t xml:space="preserve"> </w:t>
            </w:r>
            <w:r>
              <w:t xml:space="preserve">total RAM</w:t>
            </w:r>
          </w:p>
        </w:tc>
        <w:tc>
          <w:tcPr/>
          <w:p>
            <w:pPr>
              <w:pStyle w:val="Compact"/>
            </w:pPr>
            <w:r>
              <w:t xml:space="preserve">benchmarking (host resource sampler §11.4.24)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HVPN-NFR-504</w:t>
            </w:r>
          </w:p>
        </w:tc>
        <w:tc>
          <w:tcPr/>
          <w:p>
            <w:pPr>
              <w:pStyle w:val="Compact"/>
            </w:pPr>
            <w:r>
              <w:t xml:space="preserve">The control-plane process holds bounded memory under sustained load (no leak).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 over 24 h (= NFR-101, server side)</w:t>
            </w:r>
          </w:p>
        </w:tc>
        <w:tc>
          <w:tcPr/>
          <w:p>
            <w:pPr>
              <w:pStyle w:val="Compact"/>
            </w:pPr>
            <w:r>
              <w:t xml:space="preserve">soak-stress / memory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HVPN-NFR-505</w:t>
            </w:r>
          </w:p>
        </w:tc>
        <w:tc>
          <w:tcPr/>
          <w:p>
            <w:pPr>
              <w:pStyle w:val="Compact"/>
            </w:pPr>
            <w:r>
              <w:t xml:space="preserve">Telemetry samplers (observers) stay lightweight (Heisenberg constraint).</w:t>
            </w:r>
          </w:p>
        </w:tc>
        <w:tc>
          <w:tcPr/>
          <w:p>
            <w:pPr>
              <w:pStyle w:val="Compact"/>
            </w:pPr>
            <w:r>
              <w:t xml:space="preserve">a resource sampler stays under its own RSS/CPU budget (§11.4.24: &lt; 50 MB RSS, &lt; 5 % CPU)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HVPN-NFR-506</w:t>
            </w:r>
          </w:p>
        </w:tc>
        <w:tc>
          <w:tcPr/>
          <w:p>
            <w:pPr>
              <w:pStyle w:val="Compact"/>
            </w:pPr>
            <w:r>
              <w:t xml:space="preserve">Slow-consumer streams are dropped, not buffered unboundedly (back-pressure not growth).</w:t>
            </w:r>
          </w:p>
        </w:tc>
        <w:tc>
          <w:tcPr/>
          <w:p>
            <w:pPr>
              <w:pStyle w:val="Compact"/>
            </w:pPr>
            <w:r>
              <w:t xml:space="preserve">per-stream</w:t>
            </w:r>
            <w:r>
              <w:t xml:space="preserve"> </w:t>
            </w:r>
            <w:r>
              <w:rPr>
                <w:rStyle w:val="VerbatimChar"/>
              </w:rPr>
              <w:t xml:space="preserve">SEND_QUEUE_CAP</w:t>
            </w:r>
            <w:r>
              <w:t xml:space="preserve"> </w:t>
            </w:r>
            <w:r>
              <w:t xml:space="preserve">bound; overflow → drop + reconnect-with-snapshot</w:t>
            </w:r>
          </w:p>
        </w:tc>
        <w:tc>
          <w:tcPr/>
          <w:p>
            <w:pPr>
              <w:pStyle w:val="Compact"/>
            </w:pPr>
            <w:r>
              <w:t xml:space="preserve">stress / memory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pPr>
        <w:pStyle w:val="BlockText"/>
      </w:pPr>
      <w:r>
        <w:rPr>
          <w:b/>
          <w:bCs/>
        </w:rPr>
        <w:t xml:space="preserve">NFR-500 is the program's pivot (§11.4.6).</w:t>
      </w:r>
      <w:r>
        <w:t xml:space="preserve"> </w:t>
      </w:r>
      <w:r>
        <w:t xml:space="preserve">The overview names G3 as the</w:t>
      </w:r>
      <w:r>
        <w:t xml:space="preserve"> </w:t>
      </w:r>
      <w:r>
        <w:t xml:space="preserve">literal decider for D2: if Rust cannot fit the iOS NE ceiling with headroom,</w:t>
      </w:r>
      <w:r>
        <w:t xml:space="preserve"> </w:t>
      </w:r>
      <w:r>
        <w:t xml:space="preserve">D2</w:t>
      </w:r>
      <w:r>
        <w:t xml:space="preserve"> </w:t>
      </w:r>
      <w:r>
        <w:rPr>
          <w:i/>
          <w:iCs/>
        </w:rPr>
        <w:t xml:space="preserve">and the whole client strategy</w:t>
      </w:r>
      <w:r>
        <w:t xml:space="preserve"> </w:t>
      </w:r>
      <w:r>
        <w:t xml:space="preserve">re-open. The ~15 MB figure is reproduced as</w:t>
      </w:r>
      <w:r>
        <w:t xml:space="preserve"> </w:t>
      </w:r>
      <w:r>
        <w:t xml:space="preserve">the historical measured constraint and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G3</w:t>
      </w:r>
      <w:r>
        <w:t xml:space="preserve"> </w:t>
      </w:r>
      <w:r>
        <w:t xml:space="preserve">on-device capture exists — it is never asserted here as a settled fact.</w:t>
      </w:r>
    </w:p>
    <w:p>
      <w:r>
        <w:pict>
          <v:rect style="width:0;height:1.5pt" o:hralign="center" o:hrstd="t" o:hr="t"/>
        </w:pict>
      </w:r>
    </w:p>
    <w:bookmarkEnd w:id="16"/>
    <w:bookmarkStart w:id="17" w:name="Xb397e2da56faafca6e8b9d00f5a9b1572802969"/>
    <w:p>
      <w:pPr>
        <w:pStyle w:val="Heading2"/>
      </w:pPr>
      <w:r>
        <w:t xml:space="preserve">8. Portability NFRs (HVPN-NFR-600…)</w:t>
      </w:r>
    </w:p>
    <w:p>
      <w:pPr>
        <w:pStyle w:val="FirstParagraph"/>
      </w:pPr>
      <w:r>
        <w:t xml:space="preserve">HelixVPN targets</w:t>
      </w:r>
      <w:r>
        <w:t xml:space="preserve"> </w:t>
      </w:r>
      <w:r>
        <w:rPr>
          <w:b/>
          <w:bCs/>
        </w:rPr>
        <w:t xml:space="preserve">8 platforms on one shared codebase</w:t>
      </w:r>
      <w:r>
        <w:t xml:space="preserve"> </w:t>
      </w:r>
      <w:r>
        <w:t xml:space="preserve">(Rust core + Flutter UI</w:t>
      </w:r>
    </w:p>
    <w:p>
      <w:pPr>
        <w:pStyle w:val="Compact"/>
        <w:numPr>
          <w:ilvl w:val="0"/>
          <w:numId w:val="1002"/>
        </w:numPr>
      </w:pPr>
      <w:r>
        <w:t xml:space="preserve">per-platform tunnel shims). Portability NFRs are per-platform reachability</w:t>
      </w:r>
      <w:r>
        <w:t xml:space="preserve"> </w:t>
      </w:r>
      <w:r>
        <w:t xml:space="preserve">bars, phased per §10.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HVPN-NFR-600</w:t>
            </w:r>
          </w:p>
        </w:tc>
        <w:tc>
          <w:tcPr/>
          <w:p>
            <w:pPr>
              <w:pStyle w:val="Compact"/>
            </w:pPr>
            <w:r>
              <w:t xml:space="preserve">All three apps build from one Flutter tree via the</w:t>
            </w:r>
            <w:r>
              <w:t xml:space="preserve"> </w:t>
            </w:r>
            <w:r>
              <w:rPr>
                <w:rStyle w:val="VerbatimChar"/>
              </w:rPr>
              <w:t xml:space="preserve">runHelixApp(flavor,…)</w:t>
            </w:r>
            <w:r>
              <w:t xml:space="preserve"> </w:t>
            </w:r>
            <w:r>
              <w:t xml:space="preserve">entrypoint.</w:t>
            </w:r>
          </w:p>
        </w:tc>
        <w:tc>
          <w:tcPr/>
          <w:p>
            <w:pPr>
              <w:pStyle w:val="Compact"/>
            </w:pPr>
            <w:r>
              <w:t xml:space="preserve">flavors</w:t>
            </w:r>
            <w:r>
              <w:t xml:space="preserve"> </w:t>
            </w:r>
            <w:r>
              <w:rPr>
                <w:rStyle w:val="VerbatimChar"/>
              </w:rPr>
              <w:t xml:space="preserve">{Access, Connector, Console}</w:t>
            </w:r>
            <w:r>
              <w:t xml:space="preserve">; Console omits</w:t>
            </w:r>
            <w:r>
              <w:t xml:space="preserve"> </w:t>
            </w:r>
            <w:r>
              <w:rPr>
                <w:rStyle w:val="VerbatimChar"/>
              </w:rPr>
              <w:t xml:space="preserve">core_ffi</w:t>
            </w:r>
            <w:r>
              <w:t xml:space="preserve"> </w:t>
            </w:r>
            <w:r>
              <w:t xml:space="preserve">(no tunnel core)</w:t>
            </w:r>
          </w:p>
        </w:tc>
        <w:tc>
          <w:tcPr/>
          <w:p>
            <w:pPr>
              <w:pStyle w:val="Compact"/>
            </w:pPr>
            <w:r>
              <w:t xml:space="preserve">integration (per-flavor build)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HVPN-NFR-601</w:t>
            </w:r>
          </w:p>
        </w:tc>
        <w:tc>
          <w:tcPr/>
          <w:p>
            <w:pPr>
              <w:pStyle w:val="Compact"/>
            </w:pPr>
            <w:r>
              <w:t xml:space="preserve">The Rust core is shared byte-for-byte across Client, Connector, and Gateway edge (P5).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crate; wrap-on-client == unwrap-on-edge</w:t>
            </w:r>
          </w:p>
        </w:tc>
        <w:tc>
          <w:tcPr/>
          <w:p>
            <w:pPr>
              <w:pStyle w:val="Compact"/>
            </w:pPr>
            <w:r>
              <w:t xml:space="preserve">integration (shared-core parity)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HVPN-NFR-602</w:t>
            </w:r>
          </w:p>
        </w:tc>
        <w:tc>
          <w:tcPr/>
          <w:p>
            <w:pPr>
              <w:pStyle w:val="Compact"/>
            </w:pPr>
            <w:r>
              <w:t xml:space="preserve">MVP Access app runs on iOS, Android, and Linux.</w:t>
            </w:r>
          </w:p>
        </w:tc>
        <w:tc>
          <w:tcPr/>
          <w:p>
            <w:pPr>
              <w:pStyle w:val="Compact"/>
            </w:pPr>
            <w:r>
              <w:t xml:space="preserve">three platforms green on the 8-criteria DoD</w:t>
            </w:r>
          </w:p>
        </w:tc>
        <w:tc>
          <w:tcPr/>
          <w:p>
            <w:pPr>
              <w:pStyle w:val="Compact"/>
            </w:pPr>
            <w:r>
              <w:t xml:space="preserve">e2e / full-automation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HVPN-NFR-603</w:t>
            </w:r>
          </w:p>
        </w:tc>
        <w:tc>
          <w:tcPr/>
          <w:p>
            <w:pPr>
              <w:pStyle w:val="Compact"/>
            </w:pPr>
            <w:r>
              <w:t xml:space="preserve">Connector daemon runs headless on Linux/Windows/macOS (+ Android/embedded for appliances).</w:t>
            </w:r>
          </w:p>
        </w:tc>
        <w:tc>
          <w:tcPr/>
          <w:p>
            <w:pPr>
              <w:pStyle w:val="Compact"/>
            </w:pPr>
            <w:r>
              <w:t xml:space="preserve">headless daemon + optional slim UI; advertise/route mode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HVPN-NFR-604</w:t>
            </w:r>
          </w:p>
        </w:tc>
        <w:tc>
          <w:tcPr/>
          <w:p>
            <w:pPr>
              <w:pStyle w:val="Compact"/>
            </w:pPr>
            <w:r>
              <w:t xml:space="preserve">Console runs responsively as Web and as a desktop Flutter build.</w:t>
            </w:r>
          </w:p>
        </w:tc>
        <w:tc>
          <w:tcPr/>
          <w:p>
            <w:pPr>
              <w:pStyle w:val="Compact"/>
            </w:pPr>
            <w:r>
              <w:t xml:space="preserve">one Flutter build serves Web + Desktop; admin flavor, API-client only</w:t>
            </w:r>
          </w:p>
        </w:tc>
        <w:tc>
          <w:tcPr/>
          <w:p>
            <w:pPr>
              <w:pStyle w:val="Compact"/>
            </w:pPr>
            <w:r>
              <w:t xml:space="preserve">e2e (responsive Web + desktop)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HVPN-NFR-605</w:t>
            </w:r>
          </w:p>
        </w:tc>
        <w:tc>
          <w:tcPr/>
          <w:p>
            <w:pPr>
              <w:pStyle w:val="Compact"/>
            </w:pPr>
            <w:r>
              <w:t xml:space="preserve">Phase-2 desktop apps reach Windows (</w:t>
            </w:r>
            <w:r>
              <w:rPr>
                <w:rStyle w:val="VerbatimChar"/>
              </w:rPr>
              <w:t xml:space="preserve">wireguard-nt</w:t>
            </w:r>
            <w:r>
              <w:t xml:space="preserve">+service) and macOS (NE).</w:t>
            </w:r>
          </w:p>
        </w:tc>
        <w:tc>
          <w:tcPr/>
          <w:p>
            <w:pPr>
              <w:pStyle w:val="Compact"/>
            </w:pPr>
            <w:r>
              <w:t xml:space="preserve">Windows + macOS Access apps green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HVPN-NFR-606</w:t>
            </w:r>
          </w:p>
        </w:tc>
        <w:tc>
          <w:tcPr/>
          <w:p>
            <w:pPr>
              <w:pStyle w:val="Compact"/>
            </w:pPr>
            <w:r>
              <w:t xml:space="preserve">Phase-3 extends to HarmonyOS NEXT and Aurora OS (the biggest platform risk).</w:t>
            </w:r>
          </w:p>
        </w:tc>
        <w:tc>
          <w:tcPr/>
          <w:p>
            <w:pPr>
              <w:pStyle w:val="Compact"/>
            </w:pPr>
            <w:r>
              <w:t xml:space="preserve">native tunnel-shim work green on both —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(no incumbent precedent)</w:t>
            </w:r>
          </w:p>
        </w:tc>
        <w:tc>
          <w:tcPr/>
          <w:p>
            <w:pPr>
              <w:pStyle w:val="Compact"/>
            </w:pPr>
            <w:r>
              <w:t xml:space="preserve">e2e (per-platform shim)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HVPN-NFR-607</w:t>
            </w:r>
          </w:p>
        </w:tc>
        <w:tc>
          <w:tcPr/>
          <w:p>
            <w:pPr>
              <w:pStyle w:val="Compact"/>
            </w:pPr>
            <w:r>
              <w:t xml:space="preserve">The Web build is honestly scoped: Console + an</w:t>
            </w:r>
            <w:r>
              <w:t xml:space="preserve"> </w:t>
            </w:r>
            <w:r>
              <w:rPr>
                <w:i/>
                <w:iCs/>
              </w:rPr>
              <w:t xml:space="preserve">optional</w:t>
            </w:r>
            <w:r>
              <w:t xml:space="preserve"> </w:t>
            </w:r>
            <w:r>
              <w:t xml:space="preserve">browser-scoped WASM MASQUE proxy, never a system VPN.</w:t>
            </w:r>
          </w:p>
        </w:tc>
        <w:tc>
          <w:tcPr/>
          <w:p>
            <w:pPr>
              <w:pStyle w:val="Compact"/>
            </w:pPr>
            <w:r>
              <w:t xml:space="preserve">no TUN device in-browser; the WASM proxy proxies the browser's own traffic only</w:t>
            </w:r>
          </w:p>
        </w:tc>
        <w:tc>
          <w:tcPr/>
          <w:p>
            <w:pPr>
              <w:pStyle w:val="Compact"/>
            </w:pPr>
            <w:r>
              <w:t xml:space="preserve">e2e + documentation honesty check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HVPN-NFR-608</w:t>
            </w:r>
          </w:p>
        </w:tc>
        <w:tc>
          <w:tcPr/>
          <w:p>
            <w:pPr>
              <w:pStyle w:val="Compact"/>
            </w:pPr>
            <w:r>
              <w:t xml:space="preserve">Every UI surface ships light + dark variants and passes visual-regression (§11.4.162 OpenDesign).</w:t>
            </w:r>
          </w:p>
        </w:tc>
        <w:tc>
          <w:tcPr/>
          <w:p>
            <w:pPr>
              <w:pStyle w:val="Compact"/>
            </w:pPr>
            <w:r>
              <w:t xml:space="preserve">light+dark per component; no overlap/overlay; visual-regression green</w:t>
            </w:r>
          </w:p>
        </w:tc>
        <w:tc>
          <w:tcPr/>
          <w:p>
            <w:pPr>
              <w:pStyle w:val="Compact"/>
            </w:pPr>
            <w:r>
              <w:t xml:space="preserve">UI / visual-regression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HVPN-NFR-609</w:t>
            </w:r>
          </w:p>
        </w:tc>
        <w:tc>
          <w:tcPr/>
          <w:p>
            <w:pPr>
              <w:pStyle w:val="Compact"/>
            </w:pPr>
            <w:r>
              <w:t xml:space="preserve">Cross-platform parity: any platform-specific primitive has a per-OS equivalent or an honest gap (§11.4.81).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 -s</w:t>
            </w:r>
            <w:r>
              <w:t xml:space="preserve">-dispatched equivalents or documented kernel-gap SKIP — never a silent Linux-only pass</w:t>
            </w:r>
          </w:p>
        </w:tc>
        <w:tc>
          <w:tcPr/>
          <w:p>
            <w:pPr>
              <w:pStyle w:val="Compact"/>
            </w:pPr>
            <w:r>
              <w:t xml:space="preserve">per-OS test branches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916309049c9d465d4dd74fe3c5e2a4d02cc4782"/>
    <w:p>
      <w:pPr>
        <w:pStyle w:val="Heading2"/>
      </w:pPr>
      <w:r>
        <w:t xml:space="preserve">8a. Operability &amp; Compatibility NFRs (HVPN-NFR-700…)</w:t>
      </w:r>
    </w:p>
    <w:p>
      <w:pPr>
        <w:pStyle w:val="FirstParagraph"/>
      </w:pPr>
      <w:r>
        <w:t xml:space="preserve">These NFRs close a gap the earlier revision left implicit: a self-hostable</w:t>
      </w:r>
      <w:r>
        <w:t xml:space="preserve"> </w:t>
      </w:r>
      <w:r>
        <w:t xml:space="preserve">product that scales to a managed fleet (P6) MUST also be</w:t>
      </w:r>
      <w:r>
        <w:t xml:space="preserve"> </w:t>
      </w:r>
      <w:r>
        <w:rPr>
          <w:b/>
          <w:bCs/>
        </w:rPr>
        <w:t xml:space="preserve">upgradeable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forecastable</w:t>
      </w:r>
      <w:r>
        <w:t xml:space="preserve"> </w:t>
      </w:r>
      <w:r>
        <w:t xml:space="preserve">without a rewrite. They are the "can we run this for years,</w:t>
      </w:r>
      <w:r>
        <w:t xml:space="preserve"> </w:t>
      </w:r>
      <w:r>
        <w:t xml:space="preserve">across upgrades and growth" bars — distinct from the runtime performance/scale</w:t>
      </w:r>
      <w:r>
        <w:t xml:space="preserve"> </w:t>
      </w:r>
      <w:r>
        <w:t xml:space="preserve">bars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Verify by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HVPN-NFR-700</w:t>
            </w:r>
          </w:p>
        </w:tc>
        <w:tc>
          <w:tcPr/>
          <w:p>
            <w:pPr>
              <w:pStyle w:val="Compact"/>
            </w:pPr>
            <w:r>
              <w:t xml:space="preserve">The control plane supports zero-downtime rolling upgrades: a new version deploys without dropping in-flight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streams or existing data-plane tunnels.</w:t>
            </w:r>
          </w:p>
        </w:tc>
        <w:tc>
          <w:tcPr/>
          <w:p>
            <w:pPr>
              <w:pStyle w:val="Compact"/>
            </w:pPr>
            <w:r>
              <w:t xml:space="preserve">rolling deploy (N replicas, one at a time) completes with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dropped agent streams beyond the individual replica's own graceful-drain reconnect (which resumes from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, NFR-204); existing edge tunnels never drop (fail-static, NFR-200 holds</w:t>
            </w:r>
            <w:r>
              <w:t xml:space="preserve"> </w:t>
            </w:r>
            <w:r>
              <w:rPr>
                <w:i/>
                <w:iCs/>
              </w:rPr>
              <w:t xml:space="preserve">across</w:t>
            </w:r>
            <w:r>
              <w:t xml:space="preserve"> </w:t>
            </w:r>
            <w:r>
              <w:t xml:space="preserve">a control-plane version change too)</w:t>
            </w:r>
          </w:p>
        </w:tc>
        <w:tc>
          <w:tcPr/>
          <w:p>
            <w:pPr>
              <w:pStyle w:val="Compact"/>
            </w:pPr>
            <w:r>
              <w:t xml:space="preserve">chaos + integration (rolling-upgrade drill)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HVPN-NFR-701</w:t>
            </w:r>
          </w:p>
        </w:tc>
        <w:tc>
          <w:tcPr/>
          <w:p>
            <w:pPr>
              <w:pStyle w:val="Compact"/>
            </w:pPr>
            <w:r>
              <w:t xml:space="preserve">Postgres schema migrations are backward-compatible for at least one prior minor version (expand-then-contract), so a rolling upgrade never requires simultaneous downtime of app + DB migration.</w:t>
            </w:r>
          </w:p>
        </w:tc>
        <w:tc>
          <w:tcPr/>
          <w:p>
            <w:pPr>
              <w:pStyle w:val="Compact"/>
            </w:pPr>
            <w:r>
              <w:t xml:space="preserve">every migration is additive-first (new column nullable/defaulted, old column dropped only in a later release after the app no longer reads it); a mixed-version fleet (N replicas on version X, N on X+1) runs correctly against one schema version</w:t>
            </w:r>
          </w:p>
        </w:tc>
        <w:tc>
          <w:tcPr/>
          <w:p>
            <w:pPr>
              <w:pStyle w:val="Compact"/>
            </w:pPr>
            <w:r>
              <w:t xml:space="preserve">integration (mixed-version-fleet-against-one-schema test)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HVPN-NFR-702</w:t>
            </w:r>
          </w:p>
        </w:tc>
        <w:tc>
          <w:tcPr/>
          <w:p>
            <w:pPr>
              <w:pStyle w:val="Compact"/>
            </w:pPr>
            <w:r>
              <w:t xml:space="preserve">Protobuf (</w:t>
            </w:r>
            <w:r>
              <w:rPr>
                <w:rStyle w:val="VerbatimChar"/>
              </w:rPr>
              <w:t xml:space="preserve">helix.coordinator.v1</w:t>
            </w:r>
            <w:r>
              <w:t xml:space="preserve">) and OpenAPI contracts are wire-compatible within a documented backward-compatibility window: new optional fields only, no field-number reuse, no required-field addition.</w:t>
            </w:r>
          </w:p>
        </w:tc>
        <w:tc>
          <w:tcPr/>
          <w:p>
            <w:pPr>
              <w:pStyle w:val="Compact"/>
            </w:pPr>
            <w:r>
              <w:t xml:space="preserve">a buf/OpenAPI breaking-change linter runs in the codegen pipeline (</w:t>
            </w:r>
            <w:r>
              <w:rPr>
                <w:rStyle w:val="VerbatimChar"/>
              </w:rPr>
              <w:t xml:space="preserve">v06-deploy/codegen-pipeline.md</w:t>
            </w:r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the build on a breaking change without an explicit major-version bump</w:t>
            </w:r>
          </w:p>
        </w:tc>
        <w:tc>
          <w:tcPr/>
          <w:p>
            <w:pPr>
              <w:pStyle w:val="Compact"/>
            </w:pPr>
            <w:r>
              <w:t xml:space="preserve">unit (schema-diff lint) + meta-test (planted breaking change → lint FAILs)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HVPN-NFR-703</w:t>
            </w:r>
          </w:p>
        </w:tc>
        <w:tc>
          <w:tcPr/>
          <w:p>
            <w:pPr>
              <w:pStyle w:val="Compact"/>
            </w:pPr>
            <w:r>
              <w:t xml:space="preserve">Infra sizing (vCPU/RAM/disk/network) scales predictably with tenant/device count, so an operator can forecast cost before growing.</w:t>
            </w:r>
          </w:p>
        </w:tc>
        <w:tc>
          <w:tcPr/>
          <w:p>
            <w:pPr>
              <w:pStyle w:val="Compact"/>
            </w:pPr>
            <w:r>
              <w:t xml:space="preserve">a documented sizing formula (or reference table) ties coordinator/Postgres/Redis/edge resource needs to</w:t>
            </w:r>
            <w:r>
              <w:t xml:space="preserve"> </w:t>
            </w:r>
            <w:r>
              <w:rPr>
                <w:rStyle w:val="VerbatimChar"/>
              </w:rPr>
              <w:t xml:space="preserve">{tenants, devices, connectors}</w:t>
            </w:r>
            <w:r>
              <w:t xml:space="preserve"> </w:t>
            </w:r>
            <w:r>
              <w:t xml:space="preserve">counts, validated against the NFR-100/101 soak-test figures;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concrete formula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the soak-test dataset exists</w:t>
            </w:r>
          </w:p>
        </w:tc>
        <w:tc>
          <w:tcPr/>
          <w:p>
            <w:pPr>
              <w:pStyle w:val="Compact"/>
            </w:pPr>
            <w:r>
              <w:t xml:space="preserve">benchmarking (resource-vs-load curve from the soak-stress suite,</w:t>
            </w:r>
            <w:r>
              <w:t xml:space="preserve"> </w:t>
            </w:r>
            <w:r>
              <w:rPr>
                <w:rStyle w:val="VerbatimChar"/>
              </w:rPr>
              <w:t xml:space="preserve">v06-deploy/observability.md</w:t>
            </w:r>
            <w:r>
              <w:t xml:space="preserve"> </w:t>
            </w:r>
            <w:r>
              <w:t xml:space="preserve">sizing dashboard)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NFR-703 is deliberately not a fixed dollar</w:t>
      </w:r>
      <w:r>
        <w:t xml:space="preserve"> </w:t>
      </w:r>
      <w:r>
        <w:t xml:space="preserve">figure — cloud/self-host pricing varies by operator and region. The NFR</w:t>
      </w:r>
      <w:r>
        <w:t xml:space="preserve"> </w:t>
      </w:r>
      <w:r>
        <w:t xml:space="preserve">requires a</w:t>
      </w:r>
      <w:r>
        <w:t xml:space="preserve"> </w:t>
      </w:r>
      <w:r>
        <w:rPr>
          <w:i/>
          <w:iCs/>
        </w:rPr>
        <w:t xml:space="preserve">sizing formula</w:t>
      </w:r>
      <w:r>
        <w:t xml:space="preserve"> </w:t>
      </w:r>
      <w:r>
        <w:t xml:space="preserve">(resource units per tenant/device), not a cost</w:t>
      </w:r>
      <w:r>
        <w:t xml:space="preserve"> </w:t>
      </w:r>
      <w:r>
        <w:t xml:space="preserve">quote; a managed-SKU cost model (if D8 licensing lands a managed offering) is</w:t>
      </w:r>
      <w:r>
        <w:t xml:space="preserve"> </w:t>
      </w:r>
      <w:r>
        <w:t xml:space="preserve">a commercial decision layered on top of this technical sizing curve, tracked</w:t>
      </w:r>
      <w:r>
        <w:t xml:space="preserve"> </w:t>
      </w:r>
      <w:r>
        <w:t xml:space="preserve">separately from this spec set.</w:t>
      </w:r>
    </w:p>
    <w:p>
      <w:r>
        <w:pict>
          <v:rect style="width:0;height:1.5pt" o:hralign="center" o:hrstd="t" o:hr="t"/>
        </w:pict>
      </w:r>
    </w:p>
    <w:bookmarkEnd w:id="18"/>
    <w:bookmarkStart w:id="22" w:name="Xd814a75fead3d1e9a928261b54fc3be2c3d467b"/>
    <w:p>
      <w:pPr>
        <w:pStyle w:val="Heading2"/>
      </w:pPr>
      <w:r>
        <w:t xml:space="preserve">9. NFR → principle → verification traceability</w:t>
      </w:r>
    </w:p>
    <w:p>
      <w:pPr>
        <w:pStyle w:val="FirstParagraph"/>
      </w:pPr>
      <w:r>
        <w:t xml:space="preserve">Each NFR family traces to the overview's non-negotiable principles (P1–P7) and</w:t>
      </w:r>
      <w:r>
        <w:t xml:space="preserve"> </w:t>
      </w:r>
      <w:r>
        <w:t xml:space="preserve">the parity matrix (F1–F17 / X1–X5), so no quality bar floats unanchored</w:t>
      </w:r>
      <w:r>
        <w:t xml:space="preserve"> </w:t>
      </w:r>
      <w:r>
        <w:t xml:space="preserve">(§11.4.25 coverage discipline).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 family</w:t>
            </w:r>
          </w:p>
        </w:tc>
        <w:tc>
          <w:tcPr/>
          <w:p>
            <w:pPr>
              <w:pStyle w:val="Compact"/>
            </w:pPr>
            <w:r>
              <w:t xml:space="preserve">Principle(s)</w:t>
            </w:r>
          </w:p>
        </w:tc>
        <w:tc>
          <w:tcPr/>
          <w:p>
            <w:pPr>
              <w:pStyle w:val="Compact"/>
            </w:pPr>
            <w:r>
              <w:t xml:space="preserve">Parity / differentiator rows</w:t>
            </w:r>
          </w:p>
        </w:tc>
        <w:tc>
          <w:tcPr/>
          <w:p>
            <w:pPr>
              <w:pStyle w:val="Compact"/>
            </w:pPr>
            <w:r>
              <w:t xml:space="preserve">Primary §11.4.169 test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(001–009)</w:t>
            </w:r>
          </w:p>
        </w:tc>
        <w:tc>
          <w:tcPr/>
          <w:p>
            <w:pPr>
              <w:pStyle w:val="Compact"/>
            </w:pPr>
            <w:r>
              <w:t xml:space="preserve">P1 (fail-static keeps Go off hot path), P4 (push)</w:t>
            </w:r>
          </w:p>
        </w:tc>
        <w:tc>
          <w:tcPr/>
          <w:p>
            <w:pPr>
              <w:pStyle w:val="Compact"/>
            </w:pPr>
            <w:r>
              <w:t xml:space="preserve">F1, F2, F7</w:t>
            </w:r>
          </w:p>
        </w:tc>
        <w:tc>
          <w:tcPr/>
          <w:p>
            <w:pPr>
              <w:pStyle w:val="Compact"/>
            </w:pPr>
            <w:r>
              <w:t xml:space="preserve">performance, benchmarking,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(100–108)</w:t>
            </w:r>
          </w:p>
        </w:tc>
        <w:tc>
          <w:tcPr/>
          <w:p>
            <w:pPr>
              <w:pStyle w:val="Compact"/>
            </w:pPr>
            <w:r>
              <w:t xml:space="preserve">P4, P6 (self-host→fleet)</w:t>
            </w:r>
          </w:p>
        </w:tc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soak-stress, stress,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Availability/HA (200–207)</w:t>
            </w:r>
          </w:p>
        </w:tc>
        <w:tc>
          <w:tcPr/>
          <w:p>
            <w:pPr>
              <w:pStyle w:val="Compact"/>
            </w:pPr>
            <w:r>
              <w:t xml:space="preserve">P1 (fail-static)</w:t>
            </w:r>
          </w:p>
        </w:tc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chaos,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(300–308)</w:t>
            </w:r>
          </w:p>
        </w:tc>
        <w:tc>
          <w:tcPr/>
          <w:p>
            <w:pPr>
              <w:pStyle w:val="Compact"/>
            </w:pPr>
            <w:r>
              <w:t xml:space="preserve">P7 (no-logging by construction)</w:t>
            </w:r>
          </w:p>
        </w:tc>
        <w:tc>
          <w:tcPr/>
          <w:p>
            <w:pPr>
              <w:pStyle w:val="Compact"/>
            </w:pPr>
            <w:r>
              <w:t xml:space="preserve">F14, F15</w:t>
            </w:r>
          </w:p>
        </w:tc>
        <w:tc>
          <w:tcPr/>
          <w:p>
            <w:pPr>
              <w:pStyle w:val="Compact"/>
            </w:pPr>
            <w:r>
              <w:t xml:space="preserve">security (schema/payload lint), meta-test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(400–410)</w:t>
            </w:r>
          </w:p>
        </w:tc>
        <w:tc>
          <w:tcPr/>
          <w:p>
            <w:pPr>
              <w:pStyle w:val="Compact"/>
            </w:pPr>
            <w:r>
              <w:t xml:space="preserve">P2 (WG core), P3 (outbound-only)</w:t>
            </w:r>
          </w:p>
        </w:tc>
        <w:tc>
          <w:tcPr/>
          <w:p>
            <w:pPr>
              <w:pStyle w:val="Compact"/>
            </w:pPr>
            <w:r>
              <w:t xml:space="preserve">F11, F12, F13, F16, F17, X2, X4</w:t>
            </w:r>
          </w:p>
        </w:tc>
        <w:tc>
          <w:tcPr/>
          <w:p>
            <w:pPr>
              <w:pStyle w:val="Compact"/>
            </w:pPr>
            <w:r>
              <w:t xml:space="preserve">security, e2e, meta-test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(500–506)</w:t>
            </w:r>
          </w:p>
        </w:tc>
        <w:tc>
          <w:tcPr/>
          <w:p>
            <w:pPr>
              <w:pStyle w:val="Compact"/>
            </w:pPr>
            <w:r>
              <w:t xml:space="preserve">P5 (one core), P6</w:t>
            </w:r>
          </w:p>
        </w:tc>
        <w:tc>
          <w:tcPr/>
          <w:p>
            <w:pPr>
              <w:pStyle w:val="Compact"/>
            </w:pPr>
            <w:r>
              <w:t xml:space="preserve">F1, X5</w:t>
            </w:r>
          </w:p>
        </w:tc>
        <w:tc>
          <w:tcPr/>
          <w:p>
            <w:pPr>
              <w:pStyle w:val="Compact"/>
            </w:pPr>
            <w:r>
              <w:t xml:space="preserve">memory,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 (600–609)</w:t>
            </w:r>
          </w:p>
        </w:tc>
        <w:tc>
          <w:tcPr/>
          <w:p>
            <w:pPr>
              <w:pStyle w:val="Compact"/>
            </w:pPr>
            <w:r>
              <w:t xml:space="preserve">P5 (one core, reused)</w:t>
            </w:r>
          </w:p>
        </w:tc>
        <w:tc>
          <w:tcPr/>
          <w:p>
            <w:pPr>
              <w:pStyle w:val="Compact"/>
            </w:pPr>
            <w:r>
              <w:t xml:space="preserve">X5</w:t>
            </w:r>
          </w:p>
        </w:tc>
        <w:tc>
          <w:tcPr/>
          <w:p>
            <w:pPr>
              <w:pStyle w:val="Compact"/>
            </w:pPr>
            <w:r>
              <w:t xml:space="preserve">integration, e2e, UI/visual-regression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Operability &amp; Compatibility (700–703)</w:t>
            </w:r>
          </w:p>
        </w:tc>
        <w:tc>
          <w:tcPr/>
          <w:p>
            <w:pPr>
              <w:pStyle w:val="Compact"/>
            </w:pPr>
            <w:r>
              <w:t xml:space="preserve">P6 (self-host→fleet, no rewrite)</w:t>
            </w:r>
          </w:p>
        </w:tc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chaos, integration, unit (schema-diff), benchmarking</w:t>
            </w:r>
          </w:p>
        </w:tc>
      </w:tr>
    </w:tbl>
    <w:p>
      <w:pPr>
        <w:pStyle w:val="BodyText"/>
      </w:pPr>
      <w:r>
        <w:drawing>
          <wp:inline>
            <wp:extent cx="5334000" cy="5871482"/>
            <wp:effectExtent b="0" l="0" r="0" t="0"/>
            <wp:docPr descr="diagram" title="" id="20" name="Picture"/>
            <a:graphic>
              <a:graphicData uri="http://schemas.openxmlformats.org/drawingml/2006/picture">
                <pic:pic>
                  <pic:nvPicPr>
                    <pic:cNvPr descr="/tmp/.private/milosvasic/tmp.NBaY6amhrx/img/diagram_001_a4a29a50faa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"/>
    <w:bookmarkStart w:id="26" w:name="X1ef1beaa3ca92e1c0983ed71f2ac01b9204a10a"/>
    <w:p>
      <w:pPr>
        <w:pStyle w:val="Heading2"/>
      </w:pPr>
      <w:r>
        <w:t xml:space="preserve">10. The convergence-NFR dependency chain</w:t>
      </w:r>
    </w:p>
    <w:p>
      <w:pPr>
        <w:pStyle w:val="FirstParagraph"/>
      </w:pPr>
      <w:r>
        <w:t xml:space="preserve">NFR-003 (p99 &lt; 1 s convergence) and NFR-004 (&lt; 1 s revoke) are the two</w:t>
      </w:r>
      <w:r>
        <w:t xml:space="preserve"> </w:t>
      </w:r>
      <w:r>
        <w:t xml:space="preserve">headline real-time bars; they depend on a chain of lower NFRs holding, and the</w:t>
      </w:r>
      <w:r>
        <w:t xml:space="preserve"> </w:t>
      </w:r>
      <w:r>
        <w:t xml:space="preserve">telemetry service makes each link a falsifiable series (counts/timing only,</w:t>
      </w:r>
      <w:r>
        <w:t xml:space="preserve"> </w:t>
      </w:r>
      <w:r>
        <w:t xml:space="preserve">never traffic —</w:t>
      </w:r>
      <w:r>
        <w:t xml:space="preserve"> 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§3).</w:t>
      </w:r>
    </w:p>
    <w:p>
      <w:pPr>
        <w:pStyle w:val="BodyText"/>
      </w:pPr>
      <w:r>
        <w:drawing>
          <wp:inline>
            <wp:extent cx="5334000" cy="2381250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/tmp/.private/milosvasic/tmp.NBaY6amhrx/img/diagram_002_ec22fa21b44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dependency order (each lower NFR is a precondition of the SLO above it):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NFR-101 / NFR-506</w:t>
      </w:r>
      <w:r>
        <w:t xml:space="preserve"> </w:t>
      </w:r>
      <w:r>
        <w:t xml:space="preserve">(bounded memory + back-pressure) — without these the</w:t>
      </w:r>
      <w:r>
        <w:t xml:space="preserve"> </w:t>
      </w:r>
      <w:r>
        <w:t xml:space="preserve">coordinator could not hold 10 k streams to</w:t>
      </w:r>
      <w:r>
        <w:t xml:space="preserve"> </w:t>
      </w:r>
      <w:r>
        <w:rPr>
          <w:i/>
          <w:iCs/>
        </w:rPr>
        <w:t xml:space="preserve">deliver</w:t>
      </w:r>
      <w:r>
        <w:t xml:space="preserve"> </w:t>
      </w:r>
      <w:r>
        <w:t xml:space="preserve">a sub-second delta.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NFR-102</w:t>
      </w:r>
      <w:r>
        <w:t xml:space="preserve"> </w:t>
      </w:r>
      <w:r>
        <w:t xml:space="preserve">(minimal-affected-set) — a tenant-wide broadcast on every change</w:t>
      </w:r>
      <w:r>
        <w:t xml:space="preserve"> </w:t>
      </w:r>
      <w:r>
        <w:t xml:space="preserve">would blow the 1 s budget; the minimal set keeps per-event work small.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NFR-203 / NFR-207</w:t>
      </w:r>
      <w:r>
        <w:t xml:space="preserve"> </w:t>
      </w:r>
      <w:r>
        <w:t xml:space="preserve">(no-work-loss + DLQ) — a stuck/lost event never</w:t>
      </w:r>
      <w:r>
        <w:t xml:space="preserve"> </w:t>
      </w:r>
      <w:r>
        <w:t xml:space="preserve">converges at all, so reliability is a precondition of latency.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NFR-200</w:t>
      </w:r>
      <w:r>
        <w:t xml:space="preserve"> </w:t>
      </w:r>
      <w:r>
        <w:t xml:space="preserve">(fail-static) — convergence is a</w:t>
      </w:r>
      <w:r>
        <w:t xml:space="preserve"> </w:t>
      </w:r>
      <w:r>
        <w:rPr>
          <w:i/>
          <w:iCs/>
        </w:rPr>
        <w:t xml:space="preserve">coordination</w:t>
      </w:r>
      <w:r>
        <w:t xml:space="preserve"> </w:t>
      </w:r>
      <w:r>
        <w:t xml:space="preserve">property; even</w:t>
      </w:r>
      <w:r>
        <w:t xml:space="preserve"> </w:t>
      </w:r>
      <w:r>
        <w:t xml:space="preserve">when it is breached, connectivity (the edge datapath) must not be.</w:t>
      </w:r>
    </w:p>
    <w:p>
      <w:pPr>
        <w:pStyle w:val="BlockText"/>
      </w:pPr>
      <w:r>
        <w:rPr>
          <w:b/>
          <w:bCs/>
        </w:rPr>
        <w:t xml:space="preserve">§11.4.6 closing note.</w:t>
      </w:r>
      <w:r>
        <w:t xml:space="preserve"> </w:t>
      </w:r>
      <w:r>
        <w:t xml:space="preserve">Every numeric target in §2–§8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is</w:t>
      </w:r>
      <w:r>
        <w:t xml:space="preserve"> </w:t>
      </w:r>
      <w:r>
        <w:t xml:space="preserve">owned by a specific Phase-0/1/2 gate or named benchmark (G1, G2, G3, G4, the</w:t>
      </w:r>
      <w:r>
        <w:t xml:space="preserve"> </w:t>
      </w:r>
      <w:r>
        <w:t xml:space="preserve">soak/stress suite, the DR runbook). The verification column is the contract:</w:t>
      </w:r>
      <w:r>
        <w:t xml:space="preserve"> </w:t>
      </w:r>
      <w:r>
        <w:t xml:space="preserve">an NFR is "met" only when its named test produces captured evidence</w:t>
      </w:r>
      <w:r>
        <w:t xml:space="preserve"> </w:t>
      </w:r>
      <w:r>
        <w:t xml:space="preserve">(§11.4.5/§11.4.69), never when the number is merely written down here.</w:t>
      </w:r>
    </w:p>
    <w:p>
      <w:r>
        <w:pict>
          <v:rect style="width:0;height:1.5pt" o:hralign="center" o:hrstd="t" o:hr="t"/>
        </w:pict>
      </w:r>
    </w:p>
    <w:bookmarkEnd w:id="26"/>
    <w:bookmarkStart w:id="2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docs/research/mvp/final/00-product-scope-and-principles.md</w:t>
      </w:r>
      <w:r>
        <w:t xml:space="preserve"> </w:t>
      </w:r>
      <w:r>
        <w:t xml:space="preserve">— principles</w:t>
      </w:r>
      <w:r>
        <w:t xml:space="preserve"> </w:t>
      </w:r>
      <w:r>
        <w:t xml:space="preserve">P1–P7 (§8), Mullvad-parity matrix F1–F17 + X1–X5 (§9), phase scope + exit</w:t>
      </w:r>
      <w:r>
        <w:t xml:space="preserve"> </w:t>
      </w:r>
      <w:r>
        <w:t xml:space="preserve">gates G1–G6 + 8-criteria MVP DoD (§10), decisions D1–D7 incl. the iOS NE</w:t>
      </w:r>
      <w:r>
        <w:t xml:space="preserve"> </w:t>
      </w:r>
      <w:r>
        <w:t xml:space="preserve">ceiling shaping D2 (§11), the "fully-responsive-web ≠ system VPN" honesty</w:t>
      </w:r>
      <w:r>
        <w:t xml:space="preserve"> </w:t>
      </w:r>
      <w:r>
        <w:t xml:space="preserve">marker (§2.2).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docs/research/mvp/final/v03-control-plane/svc-coordinator.md</w:t>
      </w:r>
      <w:r>
        <w:t xml:space="preserve"> </w:t>
      </w:r>
      <w:r>
        <w:t xml:space="preserve">§7 — the</w:t>
      </w:r>
      <w:r>
        <w:t xml:space="preserve"> </w:t>
      </w:r>
      <w:r>
        <w:t xml:space="preserve">convergence &lt; 1 s SLO,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, revoke &lt; 1 s, the</w:t>
      </w:r>
      <w:r>
        <w:t xml:space="preserve"> </w:t>
      </w:r>
      <w:r>
        <w:t xml:space="preserve">minimal-affected-set fan-out, the 24 h no-leak soak.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docs/research/mvp/final/v03-control-plane/svc-telemetry.md</w:t>
      </w:r>
      <w:r>
        <w:t xml:space="preserve"> </w:t>
      </w:r>
      <w:r>
        <w:t xml:space="preserve">§3 — the</w:t>
      </w:r>
      <w:r>
        <w:t xml:space="preserve"> </w:t>
      </w:r>
      <w:r>
        <w:t xml:space="preserve">counts-only Prometheus registry, the forbidden-label cardinality bound (no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device_id</w:t>
      </w:r>
      <w:r>
        <w:t xml:space="preserve">/ip labels), the SLO→alert mapping; §10 the test matrix.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docs/research/mvp/final/v05-security/no-logging-as-code.md</w:t>
      </w:r>
      <w:r>
        <w:t xml:space="preserve"> </w:t>
      </w:r>
      <w:r>
        <w:t xml:space="preserve">— the no-logging</w:t>
      </w:r>
      <w:r>
        <w:t xml:space="preserve"> </w:t>
      </w:r>
      <w:r>
        <w:t xml:space="preserve">invariant as testable NFRs (schema-lint, payload-lint, audit meta guard,</w:t>
      </w:r>
      <w:r>
        <w:t xml:space="preserve"> </w:t>
      </w:r>
      <w:r>
        <w:t xml:space="preserve">ephemeral presence, coarse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, the §11.4.108 runtime signature),</w:t>
      </w:r>
      <w:r>
        <w:t xml:space="preserve"> </w:t>
      </w:r>
      <w:r>
        <w:t xml:space="preserve">the honest-boundary residual risk T5.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docs/research/mvp/final/v02-data-plane/transport-selection-ladder.md</w:t>
      </w:r>
      <w:r>
        <w:t xml:space="preserve"> </w:t>
      </w:r>
      <w:r>
        <w:t xml:space="preserve">— the</w:t>
      </w:r>
      <w:r>
        <w:t xml:space="preserve"> </w:t>
      </w:r>
      <w:r>
        <w:t xml:space="preserve">escalation-ladder budgets, monotonic-cursor invariant (L-I8), and aggregate</w:t>
      </w:r>
      <w:r>
        <w:t xml:space="preserve"> </w:t>
      </w:r>
      <w:r>
        <w:t xml:space="preserve">no-per-user telemetry (I5) behind NFR-006 / NFR-410.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docs/research/mvp/final/v05-security/pki-and-certs.md</w:t>
      </w:r>
      <w:r>
        <w:t xml:space="preserve"> </w:t>
      </w:r>
      <w:r>
        <w:t xml:space="preserve">— device/gateway key</w:t>
      </w:r>
      <w:r>
        <w:t xml:space="preserve"> </w:t>
      </w:r>
      <w:r>
        <w:t xml:space="preserve">rotation cadence + revoke-triggered re-key behind NFR-412; the decision</w:t>
      </w:r>
      <w:r>
        <w:t xml:space="preserve"> </w:t>
      </w:r>
      <w:r>
        <w:t xml:space="preserve">register D-AC-3 (audit retention, no auto-prune default) behind NFR-309.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docs/research/mvp/final/v08-testing/ddos.md</w:t>
      </w:r>
      <w:r>
        <w:t xml:space="preserve"> </w:t>
      </w:r>
      <w:r>
        <w:t xml:space="preserve">— the DDoS/flood-simulation</w:t>
      </w:r>
      <w:r>
        <w:t xml:space="preserve"> </w:t>
      </w:r>
      <w:r>
        <w:t xml:space="preserve">harness behind NFR-414 (data-plane) distinct from NFR-413 (control-plane API</w:t>
      </w:r>
      <w:r>
        <w:t xml:space="preserve"> </w:t>
      </w:r>
      <w:r>
        <w:t xml:space="preserve">rate limiting).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docs/research/mvp/final/v06-deploy/codegen-pipeline.md</w:t>
      </w:r>
      <w:r>
        <w:t xml:space="preserve"> </w:t>
      </w:r>
      <w:r>
        <w:t xml:space="preserve">— the D-CODEGEN-TRACK/</w:t>
      </w:r>
      <w:r>
        <w:t xml:space="preserve"> </w:t>
      </w:r>
      <w:r>
        <w:t xml:space="preserve">D-OPENAPI-AUTHORING decisions and the schema-diff breaking-change lint behind</w:t>
      </w:r>
      <w:r>
        <w:t xml:space="preserve"> </w:t>
      </w:r>
      <w:r>
        <w:t xml:space="preserve">NFR-702;</w:t>
      </w:r>
      <w:r>
        <w:t xml:space="preserve"> </w:t>
      </w:r>
      <w:r>
        <w:rPr>
          <w:rStyle w:val="VerbatimChar"/>
        </w:rPr>
        <w:t xml:space="preserve">docs/research/mvp/final/v06-deploy/ha-and-multiregion.md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disaster-recovery.md</w:t>
      </w:r>
      <w:r>
        <w:t xml:space="preserve"> </w:t>
      </w:r>
      <w:r>
        <w:t xml:space="preserve">— rolling-upgrade + RTO/RPO context behind NFR-700/701;</w:t>
      </w:r>
      <w:r>
        <w:t xml:space="preserve"> </w:t>
      </w:r>
      <w:r>
        <w:rPr>
          <w:rStyle w:val="VerbatimChar"/>
        </w:rPr>
        <w:t xml:space="preserve">docs/research/mvp/final/v06-deploy/observability.md</w:t>
      </w:r>
      <w:r>
        <w:t xml:space="preserve"> </w:t>
      </w:r>
      <w:r>
        <w:t xml:space="preserve">— the sizing dashboard</w:t>
      </w:r>
      <w:r>
        <w:t xml:space="preserve"> </w:t>
      </w:r>
      <w:r>
        <w:t xml:space="preserve">behind NFR-703.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</w:t>
      </w:r>
      <w:r>
        <w:rPr>
          <w:i/>
          <w:iCs/>
        </w:rPr>
        <w:t xml:space="preserve"> </w:t>
      </w:r>
      <w:r>
        <w:rPr>
          <w:i/>
          <w:iCs/>
        </w:rPr>
        <w:t xml:space="preserve">— every unproven target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and owned by a named gate/benchmark,</w:t>
      </w:r>
      <w:r>
        <w:rPr>
          <w:i/>
          <w:iCs/>
        </w:rPr>
        <w:t xml:space="preserve"> </w:t>
      </w:r>
      <w:r>
        <w:rPr>
          <w:i/>
          <w:iCs/>
        </w:rPr>
        <w:t xml:space="preserve">never asserted as measured fact), §11.4.169 (each NFR names the test type whose</w:t>
      </w:r>
      <w:r>
        <w:rPr>
          <w:i/>
          <w:iCs/>
        </w:rPr>
        <w:t xml:space="preserve"> </w:t>
      </w:r>
      <w:r>
        <w:rPr>
          <w:i/>
          <w:iCs/>
        </w:rPr>
        <w:t xml:space="preserve">captured evidence proves it), §11.4.25 (coverage ledger discipline — §9</w:t>
      </w:r>
      <w:r>
        <w:rPr>
          <w:i/>
          <w:iCs/>
        </w:rPr>
        <w:t xml:space="preserve"> </w:t>
      </w:r>
      <w:r>
        <w:rPr>
          <w:i/>
          <w:iCs/>
        </w:rPr>
        <w:t xml:space="preserve">traceability), §11.4.54 (stable append-only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HVPN-NFR-NNN</w:t>
      </w:r>
      <w:r>
        <w:rPr>
          <w:i/>
          <w:iCs/>
        </w:rPr>
        <w:t xml:space="preserve"> </w:t>
      </w:r>
      <w:r>
        <w:rPr>
          <w:i/>
          <w:iCs/>
        </w:rPr>
        <w:t xml:space="preserve">ids), §11.4.81</w:t>
      </w:r>
      <w:r>
        <w:rPr>
          <w:i/>
          <w:iCs/>
        </w:rPr>
        <w:t xml:space="preserve"> </w:t>
      </w:r>
      <w:r>
        <w:rPr>
          <w:i/>
          <w:iCs/>
        </w:rPr>
        <w:t xml:space="preserve">(cross-platform parity — NFR-609), §11.4.108 (runtime signature — NFR-308),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§11.4.65/§11.4.153 (HTML+PDF[+DOCX] exports follow in refinement).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 (HVPN-NFR-NNN)</dc:title>
  <dc:creator/>
  <cp:keywords/>
  <dcterms:created xsi:type="dcterms:W3CDTF">2026-07-05T19:38:02Z</dcterms:created>
  <dcterms:modified xsi:type="dcterms:W3CDTF">2026-07-05T19:38:02Z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