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HelixVPN MVP — Source-Coverage Ledger (§11.4.118 proof-of-completeness)</w:t>
      </w:r>
    </w:p>
    <w:bookmarkStart w:id="14" w:name="Xa3189bf7a03563b892af20f7820df2ea24434a3"/>
    <w:p>
      <w:pPr>
        <w:pStyle w:val="Heading1"/>
      </w:pPr>
      <w:r>
        <w:t xml:space="preserve">HelixVPN MVP — Source-Coverage Ledger (§11.4.118 proof-of-completeness)</w:t>
      </w:r>
    </w:p>
    <w:p>
      <w:pPr>
        <w:pStyle w:val="FirstParagraph"/>
      </w:pPr>
      <w:r>
        <w:rPr>
          <w:b/>
          <w:bCs/>
        </w:rPr>
        <w:t xml:space="preserve">Revision: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Last modified:</w:t>
      </w:r>
      <w:r>
        <w:t xml:space="preserve"> </w:t>
      </w:r>
      <w:r>
        <w:t xml:space="preserve">2026-07-04T12:00:00Z</w:t>
      </w:r>
      <w:r>
        <w:t xml:space="preserve"> </w:t>
      </w:r>
      <w:r>
        <w:rPr>
          <w:b/>
          <w:bCs/>
        </w:rPr>
        <w:t xml:space="preserve">Rev 2 (2026-07-04):</w:t>
      </w:r>
      <w:r>
        <w:t xml:space="preserve"> </w:t>
      </w:r>
      <w:r>
        <w:t xml:space="preserve">Gap</w:t>
      </w:r>
      <w:r>
        <w:t xml:space="preserve"> </w:t>
      </w:r>
      <w:r>
        <w:rPr>
          <w:b/>
          <w:bCs/>
        </w:rPr>
        <w:t xml:space="preserve">G1</w:t>
      </w:r>
      <w:r>
        <w:t xml:space="preserve"> </w:t>
      </w:r>
      <w:r>
        <w:t xml:space="preserve">(disaster-recovery completeness,</w:t>
      </w:r>
      <w:r>
        <w:t xml:space="preserve"> </w:t>
      </w:r>
      <w:r>
        <w:rPr>
          <w:rStyle w:val="VerbatimChar"/>
        </w:rPr>
        <w:t xml:space="preserve">[03_ZAI]</w:t>
      </w:r>
      <w:r>
        <w:t xml:space="preserve">) marked RESOLVED —</w:t>
      </w:r>
      <w:r>
        <w:t xml:space="preserve"> </w:t>
      </w:r>
      <w:r>
        <w:rPr>
          <w:rStyle w:val="VerbatimChar"/>
        </w:rPr>
        <w:t xml:space="preserve">v06-deploy/disaster-recovery.md</w:t>
      </w:r>
      <w:r>
        <w:t xml:space="preserve"> </w:t>
      </w:r>
      <w:r>
        <w:t xml:space="preserve">(a Volume-6 nano-detail doc that did not exist when this ledger</w:t>
      </w:r>
      <w:r>
        <w:t xml:space="preserve"> </w:t>
      </w:r>
      <w:r>
        <w:t xml:space="preserve">was first written) now consolidates the named DR posture (RTO/RPO budget, Terraform-driven</w:t>
      </w:r>
      <w:r>
        <w:t xml:space="preserve"> </w:t>
      </w:r>
      <w:r>
        <w:t xml:space="preserve">region-failover runbook) this ledger's original G1 entry called for; independently re-verified</w:t>
      </w:r>
      <w:r>
        <w:t xml:space="preserve"> </w:t>
      </w:r>
      <w:r>
        <w:t xml:space="preserve">during the 2026-07-04 hardening pass and found comprehensive, not merely present. G2/G3</w:t>
      </w:r>
      <w:r>
        <w:t xml:space="preserve"> </w:t>
      </w:r>
      <w:r>
        <w:t xml:space="preserve">(deliberate-divergence rationales for sing-box/Fyne) are unchanged.</w:t>
      </w:r>
      <w:r>
        <w:t xml:space="preserve"> </w:t>
      </w:r>
      <w:r>
        <w:rPr>
          <w:b/>
          <w:bCs/>
        </w:rPr>
        <w:t xml:space="preserve">Status:</w:t>
      </w:r>
      <w:r>
        <w:t xml:space="preserve"> </w:t>
      </w:r>
      <w:r>
        <w:t xml:space="preserve">active</w:t>
      </w:r>
      <w:r>
        <w:t xml:space="preserve"> </w:t>
      </w:r>
      <w:r>
        <w:rPr>
          <w:b/>
          <w:bCs/>
        </w:rPr>
        <w:t xml:space="preserve">Authority:</w:t>
      </w:r>
      <w:r>
        <w:t xml:space="preserve"> </w:t>
      </w:r>
      <w:r>
        <w:t xml:space="preserve">Constitution §11.4.118 (discovery-pressure / enumerated-coverage), §11.4.6 (no-guessing — gaps surfaced, never hidden)</w:t>
      </w:r>
      <w:r>
        <w:t xml:space="preserve"> </w:t>
      </w:r>
      <w:r>
        <w:rPr>
          <w:b/>
          <w:bCs/>
        </w:rPr>
        <w:t xml:space="preserve">Scope:</w:t>
      </w:r>
      <w:r>
        <w:t xml:space="preserve"> </w:t>
      </w:r>
      <w:r>
        <w:t xml:space="preserve">Enumerated proof that every one of the 16 source research documents under</w:t>
      </w:r>
      <w:r>
        <w:t xml:space="preserve"> </w:t>
      </w:r>
      <w:r>
        <w:rPr>
          <w:rStyle w:val="VerbatimChar"/>
        </w:rPr>
        <w:t xml:space="preserve">docs/research/mvp/</w:t>
      </w:r>
      <w:r>
        <w:t xml:space="preserve"> </w:t>
      </w:r>
      <w:r>
        <w:t xml:space="preserve">(11 LLM analyses + 5</w:t>
      </w:r>
      <w:r>
        <w:t xml:space="preserve"> </w:t>
      </w:r>
      <w:r>
        <w:rPr>
          <w:rStyle w:val="VerbatimChar"/>
        </w:rPr>
        <w:t xml:space="preserve">04_VPN_CLD</w:t>
      </w:r>
      <w:r>
        <w:t xml:space="preserve"> </w:t>
      </w:r>
      <w:r>
        <w:t xml:space="preserve">refined docs) was read and that its</w:t>
      </w:r>
      <w:r>
        <w:t xml:space="preserve"> </w:t>
      </w:r>
      <w:r>
        <w:t xml:space="preserve">distinctive content is accounted for in the</w:t>
      </w:r>
      <w:r>
        <w:t xml:space="preserve"> </w:t>
      </w:r>
      <w:r>
        <w:rPr>
          <w:rStyle w:val="VerbatimChar"/>
        </w:rPr>
        <w:t xml:space="preserve">final/</w:t>
      </w:r>
      <w:r>
        <w:t xml:space="preserve"> </w:t>
      </w:r>
      <w:r>
        <w:t xml:space="preserve">specification set — OR is named as a</w:t>
      </w:r>
      <w:r>
        <w:t xml:space="preserve"> </w:t>
      </w:r>
      <w:r>
        <w:t xml:space="preserve">gap. Evidence base:</w:t>
      </w:r>
      <w:r>
        <w:t xml:space="preserve"> </w:t>
      </w:r>
      <w:r>
        <w:rPr>
          <w:rStyle w:val="VerbatimChar"/>
        </w:rPr>
        <w:t xml:space="preserve">v09-research/_SYNTHESIS.md</w:t>
      </w:r>
      <w:r>
        <w:t xml:space="preserve"> </w:t>
      </w:r>
      <w:r>
        <w:t xml:space="preserve">+ citation-grep across all 13 produced</w:t>
      </w:r>
      <w:r>
        <w:t xml:space="preserve"> </w:t>
      </w:r>
      <w:r>
        <w:rPr>
          <w:rStyle w:val="VerbatimChar"/>
        </w:rPr>
        <w:t xml:space="preserve">final/*.md</w:t>
      </w:r>
      <w:r>
        <w:t xml:space="preserve"> </w:t>
      </w:r>
      <w:r>
        <w:t xml:space="preserve">docs.</w:t>
      </w:r>
    </w:p>
    <w:p>
      <w:r>
        <w:pict>
          <v:rect style="width:0;height:1.5pt" o:hralign="center" o:hrstd="t" o:hr="t"/>
        </w:pict>
      </w:r>
    </w:p>
    <w:bookmarkStart w:id="9" w:name="how-to-read-this-ledger"/>
    <w:p>
      <w:pPr>
        <w:pStyle w:val="Heading2"/>
      </w:pPr>
      <w:r>
        <w:t xml:space="preserve">How to read this ledger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Source id</w:t>
      </w:r>
      <w:r>
        <w:t xml:space="preserve"> </w:t>
      </w:r>
      <w:r>
        <w:t xml:space="preserve">— the canonical id used in citations (</w:t>
      </w:r>
      <w:r>
        <w:rPr>
          <w:rStyle w:val="VerbatimChar"/>
        </w:rPr>
        <w:t xml:space="preserve">[04_ARCH §3]</w:t>
      </w:r>
      <w:r>
        <w:t xml:space="preserve">,</w:t>
      </w:r>
      <w:r>
        <w:t xml:space="preserve"> </w:t>
      </w:r>
      <w:r>
        <w:rPr>
          <w:rStyle w:val="VerbatimChar"/>
        </w:rPr>
        <w:t xml:space="preserve">[02_QWN]</w:t>
      </w:r>
      <w:r>
        <w:t xml:space="preserve">, …).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Absorbed into</w:t>
      </w:r>
      <w:r>
        <w:t xml:space="preserve"> </w:t>
      </w:r>
      <w:r>
        <w:t xml:space="preserve">— which</w:t>
      </w:r>
      <w:r>
        <w:t xml:space="preserve"> </w:t>
      </w:r>
      <w:r>
        <w:rPr>
          <w:rStyle w:val="VerbatimChar"/>
        </w:rPr>
        <w:t xml:space="preserve">final/</w:t>
      </w:r>
      <w:r>
        <w:t xml:space="preserve"> </w:t>
      </w:r>
      <w:r>
        <w:t xml:space="preserve">doc(s) carry its content (verified by source-id</w:t>
      </w:r>
      <w:r>
        <w:t xml:space="preserve"> </w:t>
      </w:r>
      <w:r>
        <w:t xml:space="preserve">citation grep + topical reconciliation; the dominant landing site is</w:t>
      </w:r>
      <w:r>
        <w:t xml:space="preserve"> </w:t>
      </w:r>
      <w:r>
        <w:rPr>
          <w:b/>
          <w:bCs/>
        </w:rPr>
        <w:t xml:space="preserve">bolded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Unique contribution</w:t>
      </w:r>
      <w:r>
        <w:t xml:space="preserve"> </w:t>
      </w:r>
      <w:r>
        <w:t xml:space="preserve">— the distinctive idea(s) this source brought that the others did</w:t>
      </w:r>
      <w:r>
        <w:t xml:space="preserve"> </w:t>
      </w:r>
      <w:r>
        <w:t xml:space="preserve">not (or brought first / most sharply).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Where it landed</w:t>
      </w:r>
      <w:r>
        <w:t xml:space="preserve"> </w:t>
      </w:r>
      <w:r>
        <w:t xml:space="preserve">— the concrete section/decision the contribution shaped.</w:t>
      </w:r>
    </w:p>
    <w:p>
      <w:pPr>
        <w:pStyle w:val="FirstParagraph"/>
      </w:pPr>
      <w:r>
        <w:rPr>
          <w:rStyle w:val="VerbatimChar"/>
        </w:rPr>
        <w:t xml:space="preserve">final/</w:t>
      </w:r>
      <w:r>
        <w:t xml:space="preserve"> </w:t>
      </w:r>
      <w:r>
        <w:t xml:space="preserve">doc shorthand:</w:t>
      </w:r>
      <w:r>
        <w:t xml:space="preserve"> </w:t>
      </w:r>
      <w:r>
        <w:rPr>
          <w:b/>
          <w:bCs/>
        </w:rPr>
        <w:t xml:space="preserve">00</w:t>
      </w:r>
      <w:r>
        <w:t xml:space="preserve"> </w:t>
      </w:r>
      <w:r>
        <w:t xml:space="preserve">product-scope ·</w:t>
      </w:r>
      <w:r>
        <w:t xml:space="preserve"> </w:t>
      </w:r>
      <w:r>
        <w:rPr>
          <w:b/>
          <w:bCs/>
        </w:rPr>
        <w:t xml:space="preserve">01</w:t>
      </w:r>
      <w:r>
        <w:t xml:space="preserve"> </w:t>
      </w:r>
      <w:r>
        <w:t xml:space="preserve">data-plane ·</w:t>
      </w:r>
      <w:r>
        <w:t xml:space="preserve"> </w:t>
      </w:r>
      <w:r>
        <w:rPr>
          <w:b/>
          <w:bCs/>
        </w:rPr>
        <w:t xml:space="preserve">02</w:t>
      </w:r>
      <w:r>
        <w:t xml:space="preserve"> </w:t>
      </w:r>
      <w:r>
        <w:t xml:space="preserve">control-plane ·</w:t>
      </w:r>
      <w:r>
        <w:t xml:space="preserve"> </w:t>
      </w:r>
      <w:r>
        <w:rPr>
          <w:b/>
          <w:bCs/>
        </w:rPr>
        <w:t xml:space="preserve">03</w:t>
      </w:r>
      <w:r>
        <w:t xml:space="preserve"> </w:t>
      </w:r>
      <w:r>
        <w:t xml:space="preserve">client-core+UI ·</w:t>
      </w:r>
      <w:r>
        <w:t xml:space="preserve"> </w:t>
      </w:r>
      <w:r>
        <w:rPr>
          <w:b/>
          <w:bCs/>
        </w:rPr>
        <w:t xml:space="preserve">04</w:t>
      </w:r>
      <w:r>
        <w:t xml:space="preserve"> </w:t>
      </w:r>
      <w:r>
        <w:t xml:space="preserve">security/privacy/PKI ·</w:t>
      </w:r>
      <w:r>
        <w:t xml:space="preserve"> </w:t>
      </w:r>
      <w:r>
        <w:rPr>
          <w:b/>
          <w:bCs/>
        </w:rPr>
        <w:t xml:space="preserve">05</w:t>
      </w:r>
      <w:r>
        <w:t xml:space="preserve"> </w:t>
      </w:r>
      <w:r>
        <w:t xml:space="preserve">repo-layout/tooling/ecosystem ·</w:t>
      </w:r>
      <w:r>
        <w:t xml:space="preserve"> </w:t>
      </w:r>
      <w:r>
        <w:rPr>
          <w:b/>
          <w:bCs/>
        </w:rPr>
        <w:t xml:space="preserve">06</w:t>
      </w:r>
      <w:r>
        <w:t xml:space="preserve"> </w:t>
      </w:r>
      <w:r>
        <w:t xml:space="preserve">Phase-0 WBS ·</w:t>
      </w:r>
      <w:r>
        <w:t xml:space="preserve"> </w:t>
      </w:r>
      <w:r>
        <w:rPr>
          <w:b/>
          <w:bCs/>
        </w:rPr>
        <w:t xml:space="preserve">07</w:t>
      </w:r>
      <w:r>
        <w:t xml:space="preserve"> </w:t>
      </w:r>
      <w:r>
        <w:t xml:space="preserve">Phase-1 WBS ·</w:t>
      </w:r>
      <w:r>
        <w:t xml:space="preserve"> </w:t>
      </w:r>
      <w:r>
        <w:rPr>
          <w:b/>
          <w:bCs/>
        </w:rPr>
        <w:t xml:space="preserve">08</w:t>
      </w:r>
      <w:r>
        <w:t xml:space="preserve"> </w:t>
      </w:r>
      <w:r>
        <w:t xml:space="preserve">Phase-2 WBS ·</w:t>
      </w:r>
      <w:r>
        <w:t xml:space="preserve"> </w:t>
      </w:r>
      <w:r>
        <w:rPr>
          <w:b/>
          <w:bCs/>
        </w:rPr>
        <w:t xml:space="preserve">09</w:t>
      </w:r>
      <w:r>
        <w:t xml:space="preserve"> </w:t>
      </w:r>
      <w:r>
        <w:t xml:space="preserve">Phase-3 WBS ·</w:t>
      </w:r>
      <w:r>
        <w:t xml:space="preserve"> </w:t>
      </w:r>
      <w:r>
        <w:rPr>
          <w:b/>
          <w:bCs/>
        </w:rPr>
        <w:t xml:space="preserve">10</w:t>
      </w:r>
      <w:r>
        <w:t xml:space="preserve"> </w:t>
      </w:r>
      <w:r>
        <w:t xml:space="preserve">testing/QA ·</w:t>
      </w:r>
      <w:r>
        <w:t xml:space="preserve"> </w:t>
      </w:r>
      <w:r>
        <w:rPr>
          <w:b/>
          <w:bCs/>
        </w:rPr>
        <w:t xml:space="preserve">11</w:t>
      </w:r>
      <w:r>
        <w:t xml:space="preserve"> </w:t>
      </w:r>
      <w:r>
        <w:t xml:space="preserve">deep-research appendix ·</w:t>
      </w:r>
      <w:r>
        <w:t xml:space="preserve"> </w:t>
      </w:r>
      <w:r>
        <w:rPr>
          <w:b/>
          <w:bCs/>
        </w:rPr>
        <w:t xml:space="preserve">SPEC</w:t>
      </w:r>
      <w:r>
        <w:t xml:space="preserve"> </w:t>
      </w:r>
      <w:r>
        <w:t xml:space="preserve">SPECIFICATION.md (master index).</w:t>
      </w:r>
    </w:p>
    <w:p>
      <w:r>
        <w:pict>
          <v:rect style="width:0;height:1.5pt" o:hralign="center" o:hrstd="t" o:hr="t"/>
        </w:pict>
      </w:r>
    </w:p>
    <w:bookmarkEnd w:id="9"/>
    <w:bookmarkStart w:id="10" w:name="coverage-table--one-row-per-source"/>
    <w:p>
      <w:pPr>
        <w:pStyle w:val="Heading2"/>
      </w:pPr>
      <w:r>
        <w:t xml:space="preserve">Coverage table — one row per source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Source id</w:t>
            </w:r>
          </w:p>
        </w:tc>
        <w:tc>
          <w:tcPr/>
          <w:p>
            <w:pPr>
              <w:pStyle w:val="Compact"/>
            </w:pPr>
            <w:r>
              <w:t xml:space="preserve">Absorbed into (final/)</w:t>
            </w:r>
          </w:p>
        </w:tc>
        <w:tc>
          <w:tcPr/>
          <w:p>
            <w:pPr>
              <w:pStyle w:val="Compact"/>
            </w:pPr>
            <w:r>
              <w:t xml:space="preserve">Unique contribution</w:t>
            </w:r>
          </w:p>
        </w:tc>
        <w:tc>
          <w:tcPr/>
          <w:p>
            <w:pPr>
              <w:pStyle w:val="Compact"/>
            </w:pPr>
            <w:r>
              <w:t xml:space="preserve">Where it landed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00</w:t>
            </w:r>
            <w:r>
              <w:t xml:space="preserve"> </w:t>
            </w:r>
            <w:r>
              <w:t xml:space="preserve">(VPN_Initial_Res)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00</w:t>
            </w:r>
            <w:r>
              <w:t xml:space="preserve">, 01, 02, 03, 04,</w:t>
            </w:r>
            <w:r>
              <w:t xml:space="preserve"> </w:t>
            </w:r>
            <w:r>
              <w:rPr>
                <w:b/>
                <w:bCs/>
              </w:rPr>
              <w:t xml:space="preserve">06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07</w:t>
            </w:r>
            <w:r>
              <w:t xml:space="preserve">, 08, 09, 10, 11, SPEC</w:t>
            </w:r>
          </w:p>
        </w:tc>
        <w:tc>
          <w:tcPr/>
          <w:p>
            <w:pPr>
              <w:pStyle w:val="Compact"/>
            </w:pPr>
            <w:r>
              <w:t xml:space="preserve">The founding constraint: 1 user →</w:t>
            </w:r>
            <w:r>
              <w:t xml:space="preserve"> </w:t>
            </w:r>
            <w:r>
              <w:rPr>
                <w:b/>
                <w:bCs/>
              </w:rPr>
              <w:t xml:space="preserve">N</w:t>
            </w:r>
            <w:r>
              <w:t xml:space="preserve"> </w:t>
            </w:r>
            <w:r>
              <w:t xml:space="preserve">joined private networks,</w:t>
            </w:r>
            <w:r>
              <w:t xml:space="preserve"> </w:t>
            </w:r>
            <w:r>
              <w:rPr>
                <w:b/>
                <w:bCs/>
              </w:rPr>
              <w:t xml:space="preserve">no inbound port-forward</w:t>
            </w:r>
            <w:r>
              <w:t xml:space="preserve"> </w:t>
            </w:r>
            <w:r>
              <w:t xml:space="preserve">(internal hosts dial outbound; reverse tunnel). Original problem statement + glossary all docs anchor to.</w:t>
            </w:r>
          </w:p>
        </w:tc>
        <w:tc>
          <w:tcPr/>
          <w:p>
            <w:pPr>
              <w:pStyle w:val="Compact"/>
            </w:pPr>
            <w:r>
              <w:t xml:space="preserve">Product floor (00 §Problem), reverse-tunnel hub-and-spoke (01), threaded as the requirement source through every WBS.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01_DSK</w:t>
            </w:r>
          </w:p>
        </w:tc>
        <w:tc>
          <w:tcPr/>
          <w:p>
            <w:pPr>
              <w:pStyle w:val="Compact"/>
            </w:pPr>
            <w:r>
              <w:t xml:space="preserve">00, 02, 11, SPEC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Go-core</w:t>
            </w:r>
            <w:r>
              <w:t xml:space="preserve"> </w:t>
            </w:r>
            <w:r>
              <w:t xml:space="preserve">camp (D2 Camp B): Go client core reusing Hysteria2's Go impl — the simpler, single-language alternative to the Rust core. Lean tunnel-first MVP stance.</w:t>
            </w:r>
          </w:p>
        </w:tc>
        <w:tc>
          <w:tcPr/>
          <w:p>
            <w:pPr>
              <w:pStyle w:val="Compact"/>
            </w:pPr>
            <w:r>
              <w:t xml:space="preserve">Decision</w:t>
            </w:r>
            <w:r>
              <w:t xml:space="preserve"> </w:t>
            </w:r>
            <w:r>
              <w:rPr>
                <w:b/>
                <w:bCs/>
              </w:rPr>
              <w:t xml:space="preserve">D2</w:t>
            </w:r>
            <w:r>
              <w:t xml:space="preserve"> </w:t>
            </w:r>
            <w:r>
              <w:t xml:space="preserve">(client-core language) Camp B in 11-appendix + 00; lean-MVP argument feeding Phase-0/Phase-1 scoping.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02_QWN</w:t>
            </w:r>
          </w:p>
        </w:tc>
        <w:tc>
          <w:tcPr/>
          <w:p>
            <w:pPr>
              <w:pStyle w:val="Compact"/>
            </w:pPr>
            <w:r>
              <w:t xml:space="preserve">00, 02, 03, 09, 10, 11, SPEC</w:t>
            </w:r>
          </w:p>
        </w:tc>
        <w:tc>
          <w:tcPr/>
          <w:p>
            <w:pPr>
              <w:pStyle w:val="Compact"/>
            </w:pPr>
            <w:r>
              <w:t xml:space="preserve">Detailed control-plane modeling;</w:t>
            </w:r>
            <w:r>
              <w:t xml:space="preserve"> </w:t>
            </w:r>
            <w:r>
              <w:rPr>
                <w:b/>
                <w:bCs/>
              </w:rPr>
              <w:t xml:space="preserve">Redis Streams-for-MVP → NATS-at-scale</w:t>
            </w:r>
            <w:r>
              <w:t xml:space="preserve"> </w:t>
            </w:r>
            <w:r>
              <w:t xml:space="preserve">staging (D3 Camp A); event-bus + real-time push depth.</w:t>
            </w:r>
          </w:p>
        </w:tc>
        <w:tc>
          <w:tcPr/>
          <w:p>
            <w:pPr>
              <w:pStyle w:val="Compact"/>
            </w:pPr>
            <w:r>
              <w:t xml:space="preserve">Decision</w:t>
            </w:r>
            <w:r>
              <w:t xml:space="preserve"> </w:t>
            </w:r>
            <w:r>
              <w:rPr>
                <w:b/>
                <w:bCs/>
              </w:rPr>
              <w:t xml:space="preserve">D3</w:t>
            </w:r>
            <w:r>
              <w:t xml:space="preserve"> </w:t>
            </w:r>
            <w:r>
              <w:t xml:space="preserve">(event bus, Redis MVP) in 02 + 11; control-plane module decomposition (02).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03_ZAI</w:t>
            </w:r>
          </w:p>
        </w:tc>
        <w:tc>
          <w:tcPr/>
          <w:p>
            <w:pPr>
              <w:pStyle w:val="Compact"/>
            </w:pPr>
            <w:r>
              <w:t xml:space="preserve">00 (1×), 11 (1×); DR/KMS content →</w:t>
            </w:r>
            <w:r>
              <w:t xml:space="preserve"> </w:t>
            </w:r>
            <w:r>
              <w:rPr>
                <w:b/>
                <w:bCs/>
              </w:rPr>
              <w:t xml:space="preserve">04</w:t>
            </w:r>
            <w:r>
              <w:t xml:space="preserve">, 08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KMS-encrypted automated backups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Terraform disaster-recovery (RTO &lt; 15 min)</w:t>
            </w:r>
            <w:r>
              <w:t xml:space="preserve">, GitOps config management, multi-arch CI/CD. Enterprise resilience/DR framing.</w:t>
            </w:r>
          </w:p>
        </w:tc>
        <w:tc>
          <w:tcPr/>
          <w:p>
            <w:pPr>
              <w:pStyle w:val="Compact"/>
            </w:pPr>
            <w:r>
              <w:t xml:space="preserve">KMS backups + RTO in</w:t>
            </w:r>
            <w:r>
              <w:t xml:space="preserve"> </w:t>
            </w:r>
            <w:r>
              <w:rPr>
                <w:b/>
                <w:bCs/>
              </w:rPr>
              <w:t xml:space="preserve">04-security</w:t>
            </w:r>
            <w:r>
              <w:t xml:space="preserve"> </w:t>
            </w:r>
            <w:r>
              <w:t xml:space="preserve">(RTO present); HA/multi-region + GitOps in 08-Phase-2. CI/CD content deliberately dropped per §11.4.156 (no active CI). See gap G1.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05_YBO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00</w:t>
            </w:r>
            <w:r>
              <w:t xml:space="preserve">, 01, 02, 03, 04, 05, 07, 09, 10, 11, SPEC</w:t>
            </w:r>
          </w:p>
        </w:tc>
        <w:tc>
          <w:tcPr/>
          <w:p>
            <w:pPr>
              <w:pStyle w:val="Compact"/>
            </w:pP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operator mandate</w:t>
            </w:r>
            <w:r>
              <w:t xml:space="preserve">: Go + Gin + PostgreSQL + Redis + rootless Podman stack floor; full platform list (iOS, Android, Aurora OS, HarmonyOS NEXT, Windows, Linux, macOS, Web); obfuscation mandatory "especially QUIC"; three apps.</w:t>
            </w:r>
          </w:p>
        </w:tc>
        <w:tc>
          <w:tcPr/>
          <w:p>
            <w:pPr>
              <w:pStyle w:val="Compact"/>
            </w:pPr>
            <w:r>
              <w:t xml:space="preserve">Settled stack floor (00 §Stack), platform matrix (03 + 09), constitution-binding alignment (§11.4.76/.161). The most-cited mandate after 00/04_ARCH.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06_GRK</w:t>
            </w:r>
          </w:p>
        </w:tc>
        <w:tc>
          <w:tcPr/>
          <w:p>
            <w:pPr>
              <w:pStyle w:val="Compact"/>
            </w:pPr>
            <w:r>
              <w:t xml:space="preserve">00 (1×), 11 (1×); protocol/hardening content → 01, 04, 08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sing-box</w:t>
            </w:r>
            <w:r>
              <w:t xml:space="preserve"> </w:t>
            </w:r>
            <w:r>
              <w:t xml:space="preserve">as the universal transport-multiplexer framework;</w:t>
            </w:r>
            <w:r>
              <w:t xml:space="preserve"> </w:t>
            </w:r>
            <w:r>
              <w:rPr>
                <w:b/>
                <w:bCs/>
              </w:rPr>
              <w:t xml:space="preserve">KMP (Kotlin Multiplatform)</w:t>
            </w:r>
            <w:r>
              <w:t xml:space="preserve"> </w:t>
            </w:r>
            <w:r>
              <w:t xml:space="preserve">client-core alternative; detailed Podman-rootless firewall/netns hardening scripts; advanced Hysteria2 + Salamander configs.</w:t>
            </w:r>
          </w:p>
        </w:tc>
        <w:tc>
          <w:tcPr/>
          <w:p>
            <w:pPr>
              <w:pStyle w:val="Compact"/>
            </w:pPr>
            <w:r>
              <w:t xml:space="preserve">KMP captured as a considered alternative in</w:t>
            </w:r>
            <w:r>
              <w:t xml:space="preserve"> </w:t>
            </w:r>
            <w:r>
              <w:rPr>
                <w:b/>
                <w:bCs/>
              </w:rPr>
              <w:t xml:space="preserve">03</w:t>
            </w:r>
            <w:r>
              <w:t xml:space="preserve">/11; Hysteria2/Salamander → D1 Camp B (01/08); rootless hardening → 04.</w:t>
            </w:r>
            <w:r>
              <w:t xml:space="preserve"> </w:t>
            </w:r>
            <w:r>
              <w:rPr>
                <w:b/>
                <w:bCs/>
              </w:rPr>
              <w:t xml:space="preserve">sing-box framework itself not adopted</w:t>
            </w:r>
            <w:r>
              <w:t xml:space="preserve"> </w:t>
            </w:r>
            <w:r>
              <w:t xml:space="preserve">(custom Rust helix-transport chosen instead) — see gap G2.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07_GMI</w:t>
            </w:r>
          </w:p>
        </w:tc>
        <w:tc>
          <w:tcPr/>
          <w:p>
            <w:pPr>
              <w:pStyle w:val="Compact"/>
            </w:pPr>
            <w:r>
              <w:t xml:space="preserve">00, 03, 08, 09, 10, 11, SPEC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CGNAT 100.64/10 1:1-per-network</w:t>
            </w:r>
            <w:r>
              <w:t xml:space="preserve"> </w:t>
            </w:r>
            <w:r>
              <w:t xml:space="preserve">answer to the IP-subnet-collision problem (D4 Camp B); Go-core leaning (D2 Camp B with DSK).</w:t>
            </w:r>
          </w:p>
        </w:tc>
        <w:tc>
          <w:tcPr/>
          <w:p>
            <w:pPr>
              <w:pStyle w:val="Compact"/>
            </w:pPr>
            <w:r>
              <w:t xml:space="preserve">Decision</w:t>
            </w:r>
            <w:r>
              <w:t xml:space="preserve"> </w:t>
            </w:r>
            <w:r>
              <w:rPr>
                <w:b/>
                <w:bCs/>
              </w:rPr>
              <w:t xml:space="preserve">D4</w:t>
            </w:r>
            <w:r>
              <w:t xml:space="preserve"> </w:t>
            </w:r>
            <w:r>
              <w:t xml:space="preserve">(subnet-collision) Camp B surfaced in 11 + IPAM discussion (02/08); one of only three sources that actually solved D4.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08_CPL</w:t>
            </w:r>
          </w:p>
        </w:tc>
        <w:tc>
          <w:tcPr/>
          <w:p>
            <w:pPr>
              <w:pStyle w:val="Compact"/>
            </w:pPr>
            <w:r>
              <w:t xml:space="preserve">00 (2×), 11 (1×); connector mechanics → 01</w:t>
            </w:r>
          </w:p>
        </w:tc>
        <w:tc>
          <w:tcPr/>
          <w:p>
            <w:pPr>
              <w:pStyle w:val="Compact"/>
            </w:pPr>
            <w:r>
              <w:t xml:space="preserve">Pragmatic</w:t>
            </w:r>
            <w:r>
              <w:t xml:space="preserve"> </w:t>
            </w:r>
            <w:r>
              <w:rPr>
                <w:b/>
                <w:bCs/>
              </w:rPr>
              <w:t xml:space="preserve">minimal connector implementation</w:t>
            </w:r>
            <w:r>
              <w:t xml:space="preserve">: read routes from a file, enable forwarding, NAT LAN → tunnel — the smallest-viable network-side agent.</w:t>
            </w:r>
          </w:p>
        </w:tc>
        <w:tc>
          <w:tcPr/>
          <w:p>
            <w:pPr>
              <w:pStyle w:val="Compact"/>
            </w:pPr>
            <w:r>
              <w:t xml:space="preserve">Subsumed into the Connector data-path + route-advertisement design in</w:t>
            </w:r>
            <w:r>
              <w:t xml:space="preserve"> </w:t>
            </w:r>
            <w:r>
              <w:rPr>
                <w:b/>
                <w:bCs/>
              </w:rPr>
              <w:t xml:space="preserve">01-data-plane</w:t>
            </w:r>
            <w:r>
              <w:t xml:space="preserve">; no distinctive idea left unreflected (fully generalized).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09_GCT</w:t>
            </w:r>
          </w:p>
        </w:tc>
        <w:tc>
          <w:tcPr/>
          <w:p>
            <w:pPr>
              <w:pStyle w:val="Compact"/>
            </w:pPr>
            <w:r>
              <w:t xml:space="preserve">00 (1×), 11 (1×); Go-only + SSE → 02, 03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Go-as-single-language</w:t>
            </w:r>
            <w:r>
              <w:t xml:space="preserve"> </w:t>
            </w:r>
            <w:r>
              <w:t xml:space="preserve">stance; server-side kill-switch;</w:t>
            </w:r>
            <w:r>
              <w:t xml:space="preserve"> </w:t>
            </w:r>
            <w:r>
              <w:rPr>
                <w:b/>
                <w:bCs/>
              </w:rPr>
              <w:t xml:space="preserve">SSE</w:t>
            </w:r>
            <w:r>
              <w:t xml:space="preserve"> </w:t>
            </w:r>
            <w:r>
              <w:t xml:space="preserve">real-time channel;</w:t>
            </w:r>
            <w:r>
              <w:t xml:space="preserve"> </w:t>
            </w:r>
            <w:r>
              <w:rPr>
                <w:b/>
                <w:bCs/>
              </w:rPr>
              <w:t xml:space="preserve">Fyne</w:t>
            </w:r>
            <w:r>
              <w:t xml:space="preserve"> </w:t>
            </w:r>
            <w:r>
              <w:t xml:space="preserve">desktop UI toolkit; Postgres schema sketch (Russian-language source).</w:t>
            </w:r>
          </w:p>
        </w:tc>
        <w:tc>
          <w:tcPr/>
          <w:p>
            <w:pPr>
              <w:pStyle w:val="Compact"/>
            </w:pPr>
            <w:r>
              <w:t xml:space="preserve">Go-only → D2 Camp B (11); SSE → real-time transport options (02 control-plane offers WS/SSE); server-side kill-switch reflected.</w:t>
            </w:r>
            <w:r>
              <w:t xml:space="preserve"> </w:t>
            </w:r>
            <w:r>
              <w:rPr>
                <w:b/>
                <w:bCs/>
              </w:rPr>
              <w:t xml:space="preserve">Fyne explicitly overruled by Flutter</w:t>
            </w:r>
            <w:r>
              <w:t xml:space="preserve"> </w:t>
            </w:r>
            <w:r>
              <w:t xml:space="preserve">and not recorded as a considered-then-rejected option — see gap G3.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10_KMI</w:t>
            </w:r>
          </w:p>
        </w:tc>
        <w:tc>
          <w:tcPr/>
          <w:p>
            <w:pPr>
              <w:pStyle w:val="Compact"/>
            </w:pPr>
            <w:r>
              <w:t xml:space="preserve">00, 02, 03, 08, 09, 10, 11, SPEC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NATS-JetStream-from-start</w:t>
            </w:r>
            <w:r>
              <w:t xml:space="preserve"> </w:t>
            </w:r>
            <w:r>
              <w:t xml:space="preserve">(D3 Camp B);</w:t>
            </w:r>
            <w:r>
              <w:t xml:space="preserve"> </w:t>
            </w:r>
            <w:r>
              <w:rPr>
                <w:b/>
                <w:bCs/>
              </w:rPr>
              <w:t xml:space="preserve">CGNAT-per-network</w:t>
            </w:r>
            <w:r>
              <w:t xml:space="preserve"> </w:t>
            </w:r>
            <w:r>
              <w:t xml:space="preserve">(D4 Camp B, with GMI); full "Connectivity-OS" ambition (D7 Camp B).</w:t>
            </w:r>
          </w:p>
        </w:tc>
        <w:tc>
          <w:tcPr/>
          <w:p>
            <w:pPr>
              <w:pStyle w:val="Compact"/>
            </w:pPr>
            <w:r>
              <w:t xml:space="preserve">Decisions</w:t>
            </w:r>
            <w:r>
              <w:t xml:space="preserve"> </w:t>
            </w:r>
            <w:r>
              <w:rPr>
                <w:b/>
                <w:bCs/>
              </w:rPr>
              <w:t xml:space="preserve">D3</w:t>
            </w:r>
            <w:r>
              <w:t xml:space="preserve"> </w:t>
            </w:r>
            <w:r>
              <w:t xml:space="preserve">Camp B +</w:t>
            </w:r>
            <w:r>
              <w:t xml:space="preserve"> </w:t>
            </w:r>
            <w:r>
              <w:rPr>
                <w:b/>
                <w:bCs/>
              </w:rPr>
              <w:t xml:space="preserve">D4</w:t>
            </w:r>
            <w:r>
              <w:t xml:space="preserve"> </w:t>
            </w:r>
            <w:r>
              <w:t xml:space="preserve">Camp B +</w:t>
            </w:r>
            <w:r>
              <w:t xml:space="preserve"> </w:t>
            </w:r>
            <w:r>
              <w:rPr>
                <w:b/>
                <w:bCs/>
              </w:rPr>
              <w:t xml:space="preserve">D7</w:t>
            </w:r>
            <w:r>
              <w:t xml:space="preserve"> </w:t>
            </w:r>
            <w:r>
              <w:t xml:space="preserve">Camp B in 11; scale/HA NATS path in 08-Phase-2; ambition framing in 00.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11_MST</w:t>
            </w:r>
          </w:p>
        </w:tc>
        <w:tc>
          <w:tcPr/>
          <w:p>
            <w:pPr>
              <w:pStyle w:val="Compact"/>
            </w:pPr>
            <w:r>
              <w:t xml:space="preserve">00, 01, 02, 03, 08, 09, 10, 11, SPEC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Asymmetric per-leg transport</w:t>
            </w:r>
            <w:r>
              <w:t xml:space="preserve"> </w:t>
            </w:r>
            <w:r>
              <w:t xml:space="preserve">(D6): Hysteria2/QUIC user↔gateway, WireGuard gateway↔networks — best-fit protocol per leg. Largest/most-detailed analysis.</w:t>
            </w:r>
          </w:p>
        </w:tc>
        <w:tc>
          <w:tcPr/>
          <w:p>
            <w:pPr>
              <w:pStyle w:val="Compact"/>
            </w:pPr>
            <w:r>
              <w:t xml:space="preserve">Decision</w:t>
            </w:r>
            <w:r>
              <w:t xml:space="preserve"> </w:t>
            </w:r>
            <w:r>
              <w:rPr>
                <w:b/>
                <w:bCs/>
              </w:rPr>
              <w:t xml:space="preserve">D6</w:t>
            </w:r>
            <w:r>
              <w:t xml:space="preserve"> </w:t>
            </w:r>
            <w:r>
              <w:t xml:space="preserve">(transport topology) in 11 + 01-data-plane (per-leg transport design); woven through Phase-2 transport set (08).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04_ARCH</w:t>
            </w:r>
            <w:r>
              <w:t xml:space="preserve"> </w:t>
            </w:r>
            <w:r>
              <w:t xml:space="preserve">(CLD refined)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00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01</w:t>
            </w:r>
            <w:r>
              <w:t xml:space="preserve">, 02, 03,</w:t>
            </w:r>
            <w:r>
              <w:t xml:space="preserve"> </w:t>
            </w:r>
            <w:r>
              <w:rPr>
                <w:b/>
                <w:bCs/>
              </w:rPr>
              <w:t xml:space="preserve">04</w:t>
            </w:r>
            <w:r>
              <w:t xml:space="preserve">, 05, 06, 08, 09, 10,</w:t>
            </w:r>
            <w:r>
              <w:t xml:space="preserve"> </w:t>
            </w:r>
            <w:r>
              <w:rPr>
                <w:b/>
                <w:bCs/>
              </w:rPr>
              <w:t xml:space="preserve">11</w:t>
            </w:r>
            <w:r>
              <w:t xml:space="preserve">, SPEC</w:t>
            </w:r>
          </w:p>
        </w:tc>
        <w:tc>
          <w:tcPr/>
          <w:p>
            <w:pPr>
              <w:pStyle w:val="Compact"/>
            </w:pPr>
            <w:r>
              <w:t xml:space="preserve">The settled</w:t>
            </w:r>
            <w:r>
              <w:t xml:space="preserve"> </w:t>
            </w:r>
            <w:r>
              <w:rPr>
                <w:b/>
                <w:bCs/>
              </w:rPr>
              <w:t xml:space="preserve">architecture spine</w:t>
            </w:r>
            <w:r>
              <w:t xml:space="preserve">: pitch, WireGuard-as-crypto-core + pluggable-obfuscation-beneath-WG,</w:t>
            </w:r>
            <w:r>
              <w:t xml:space="preserve"> </w:t>
            </w:r>
            <w:r>
              <w:rPr>
                <w:b/>
                <w:bCs/>
              </w:rPr>
              <w:t xml:space="preserve">MASQUE/QUIC = WG-over-HTTP-3</w:t>
            </w:r>
            <w:r>
              <w:t xml:space="preserve"> </w:t>
            </w:r>
            <w:r>
              <w:t xml:space="preserve">(D1 Camp A = true Mullvad parity),</w:t>
            </w:r>
            <w:r>
              <w:t xml:space="preserve"> </w:t>
            </w:r>
            <w:r>
              <w:rPr>
                <w:b/>
                <w:bCs/>
              </w:rPr>
              <w:t xml:space="preserve">IPv6 ULA /48 + 4via6</w:t>
            </w:r>
            <w:r>
              <w:t xml:space="preserve"> </w:t>
            </w:r>
            <w:r>
              <w:t xml:space="preserve">(D4 Camp A), repo layout, security invariants, no-logging-as-code.</w:t>
            </w:r>
          </w:p>
        </w:tc>
        <w:tc>
          <w:tcPr/>
          <w:p>
            <w:pPr>
              <w:pStyle w:val="Compact"/>
            </w:pPr>
            <w:r>
              <w:t xml:space="preserve">The dominant citation across the whole set (50× in 00, 39× in 01, 32× in 04, 67× in 11). Anchors D1 Camp A, D4 Camp A, the repo layout (05), and the security model (04).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04_UI</w:t>
            </w:r>
            <w:r>
              <w:t xml:space="preserve"> </w:t>
            </w:r>
            <w:r>
              <w:t xml:space="preserve">(CLD refined)</w:t>
            </w:r>
          </w:p>
        </w:tc>
        <w:tc>
          <w:tcPr/>
          <w:p>
            <w:pPr>
              <w:pStyle w:val="Compact"/>
            </w:pPr>
            <w:r>
              <w:t xml:space="preserve">00,</w:t>
            </w:r>
            <w:r>
              <w:t xml:space="preserve"> </w:t>
            </w:r>
            <w:r>
              <w:rPr>
                <w:b/>
                <w:bCs/>
              </w:rPr>
              <w:t xml:space="preserve">03</w:t>
            </w:r>
            <w:r>
              <w:t xml:space="preserve">, 05, 09, 10, 11, SPEC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helix-core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(Rust) +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helix-ui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(Flutter)</w:t>
            </w:r>
            <w:r>
              <w:t xml:space="preserve"> </w:t>
            </w:r>
            <w:r>
              <w:t xml:space="preserve">shared-codebase strategy;</w:t>
            </w:r>
            <w:r>
              <w:t xml:space="preserve"> </w:t>
            </w:r>
            <w:r>
              <w:rPr>
                <w:rStyle w:val="VerbatimChar"/>
              </w:rPr>
              <w:t xml:space="preserve">helix_design</w:t>
            </w:r>
            <w:r>
              <w:t xml:space="preserve"> </w:t>
            </w:r>
            <w:r>
              <w:t xml:space="preserve">system + signature components; three flavors from one tree (</w:t>
            </w:r>
            <w:r>
              <w:rPr>
                <w:rStyle w:val="VerbatimChar"/>
              </w:rPr>
              <w:t xml:space="preserve">runHelixApp</w:t>
            </w:r>
            <w:r>
              <w:t xml:space="preserve">); Melos monorepo; per-platform</w:t>
            </w:r>
            <w:r>
              <w:t xml:space="preserve"> </w:t>
            </w:r>
            <w:r>
              <w:rPr>
                <w:rStyle w:val="VerbatimChar"/>
              </w:rPr>
              <w:t xml:space="preserve">TunnelPlatform</w:t>
            </w:r>
            <w:r>
              <w:t xml:space="preserve"> </w:t>
            </w:r>
            <w:r>
              <w:t xml:space="preserve">shim.</w:t>
            </w:r>
          </w:p>
        </w:tc>
        <w:tc>
          <w:tcPr/>
          <w:p>
            <w:pPr>
              <w:pStyle w:val="Compact"/>
            </w:pPr>
            <w:r>
              <w:t xml:space="preserve">The client architecture core of</w:t>
            </w:r>
            <w:r>
              <w:t xml:space="preserve"> </w:t>
            </w:r>
            <w:r>
              <w:rPr>
                <w:b/>
                <w:bCs/>
              </w:rPr>
              <w:t xml:space="preserve">03-client-core-and-ui</w:t>
            </w:r>
            <w:r>
              <w:t xml:space="preserve">; design-system + platform-shim sections; Phase-3 platform builds (09).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04_P0</w:t>
            </w:r>
            <w:r>
              <w:t xml:space="preserve"> </w:t>
            </w:r>
            <w:r>
              <w:t xml:space="preserve">(CLD refined)</w:t>
            </w:r>
          </w:p>
        </w:tc>
        <w:tc>
          <w:tcPr/>
          <w:p>
            <w:pPr>
              <w:pStyle w:val="Compact"/>
            </w:pPr>
            <w:r>
              <w:t xml:space="preserve">00,</w:t>
            </w:r>
            <w:r>
              <w:t xml:space="preserve"> </w:t>
            </w:r>
            <w:r>
              <w:rPr>
                <w:b/>
                <w:bCs/>
              </w:rPr>
              <w:t xml:space="preserve">01</w:t>
            </w:r>
            <w:r>
              <w:t xml:space="preserve">, 03,</w:t>
            </w:r>
            <w:r>
              <w:t xml:space="preserve"> </w:t>
            </w:r>
            <w:r>
              <w:rPr>
                <w:b/>
                <w:bCs/>
              </w:rPr>
              <w:t xml:space="preserve">06</w:t>
            </w:r>
            <w:r>
              <w:t xml:space="preserve">, 07,</w:t>
            </w:r>
            <w:r>
              <w:t xml:space="preserve"> </w:t>
            </w:r>
            <w:r>
              <w:rPr>
                <w:b/>
                <w:bCs/>
              </w:rPr>
              <w:t xml:space="preserve">10</w:t>
            </w:r>
            <w:r>
              <w:t xml:space="preserve">, 11, SPEC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Phase-0 spike</w:t>
            </w:r>
            <w:r>
              <w:t xml:space="preserve"> </w:t>
            </w:r>
            <w:r>
              <w:t xml:space="preserve">with exit gates</w:t>
            </w:r>
            <w:r>
              <w:t xml:space="preserve"> </w:t>
            </w:r>
            <w:r>
              <w:rPr>
                <w:b/>
                <w:bCs/>
              </w:rPr>
              <w:t xml:space="preserve">G1–G6</w:t>
            </w:r>
            <w:r>
              <w:t xml:space="preserve"> </w:t>
            </w:r>
            <w:r>
              <w:t xml:space="preserve">(G3 iOS NE memory ceiling = make-or-break; G4 Go-vs-Rust edge benchmark); surviving interfaces (</w:t>
            </w:r>
            <w:r>
              <w:rPr>
                <w:rStyle w:val="VerbatimChar"/>
              </w:rPr>
              <w:t xml:space="preserve">Transport</w:t>
            </w:r>
            <w:r>
              <w:t xml:space="preserve"> </w:t>
            </w:r>
            <w:r>
              <w:t xml:space="preserve">trait,</w:t>
            </w:r>
            <w:r>
              <w:t xml:space="preserve"> </w:t>
            </w:r>
            <w:r>
              <w:rPr>
                <w:rStyle w:val="VerbatimChar"/>
              </w:rPr>
              <w:t xml:space="preserve">helix-wg</w:t>
            </w:r>
            <w:r>
              <w:t xml:space="preserve">, orchestrator, FFI); Linux-netns + nftables-DPI + tc-netem test rig.</w:t>
            </w:r>
          </w:p>
        </w:tc>
        <w:tc>
          <w:tcPr/>
          <w:p>
            <w:pPr>
              <w:pStyle w:val="Compact"/>
            </w:pPr>
            <w:r>
              <w:t xml:space="preserve">The spine of</w:t>
            </w:r>
            <w:r>
              <w:t xml:space="preserve"> </w:t>
            </w:r>
            <w:r>
              <w:rPr>
                <w:b/>
                <w:bCs/>
              </w:rPr>
              <w:t xml:space="preserve">06-Phase-0-WBS</w:t>
            </w:r>
            <w:r>
              <w:t xml:space="preserve">; gate definitions also seed 10-testing; decision</w:t>
            </w:r>
            <w:r>
              <w:t xml:space="preserve"> </w:t>
            </w:r>
            <w:r>
              <w:rPr>
                <w:b/>
                <w:bCs/>
              </w:rPr>
              <w:t xml:space="preserve">D5</w:t>
            </w:r>
            <w:r>
              <w:t xml:space="preserve"> </w:t>
            </w:r>
            <w:r>
              <w:t xml:space="preserve">(edge language) gate G4 in 01/11.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04_P1</w:t>
            </w:r>
            <w:r>
              <w:t xml:space="preserve"> </w:t>
            </w:r>
            <w:r>
              <w:t xml:space="preserve">(CLD refined)</w:t>
            </w:r>
          </w:p>
        </w:tc>
        <w:tc>
          <w:tcPr/>
          <w:p>
            <w:pPr>
              <w:pStyle w:val="Compact"/>
            </w:pPr>
            <w:r>
              <w:t xml:space="preserve">00,</w:t>
            </w:r>
            <w:r>
              <w:t xml:space="preserve"> </w:t>
            </w:r>
            <w:r>
              <w:rPr>
                <w:b/>
                <w:bCs/>
              </w:rPr>
              <w:t xml:space="preserve">02</w:t>
            </w:r>
            <w:r>
              <w:t xml:space="preserve">, 03, 04, 05,</w:t>
            </w:r>
            <w:r>
              <w:t xml:space="preserve"> </w:t>
            </w:r>
            <w:r>
              <w:rPr>
                <w:b/>
                <w:bCs/>
              </w:rPr>
              <w:t xml:space="preserve">07</w:t>
            </w:r>
            <w:r>
              <w:t xml:space="preserve">, 08, 09, 10, 11, SPEC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Phase-1 MVP</w:t>
            </w:r>
            <w:r>
              <w:t xml:space="preserve">: Go modular monolith module list; Postgres+RLS data model (no connection/traffic tables, CI-lint-enforced); protobuf</w:t>
            </w:r>
            <w:r>
              <w:t xml:space="preserve"> </w:t>
            </w:r>
            <w:r>
              <w:rPr>
                <w:rStyle w:val="VerbatimChar"/>
              </w:rPr>
              <w:t xml:space="preserve">Coordinator</w:t>
            </w:r>
            <w:r>
              <w:t xml:space="preserve"> </w:t>
            </w:r>
            <w:r>
              <w:t xml:space="preserve">+ server-streaming</w:t>
            </w:r>
            <w:r>
              <w:t xml:space="preserve"> </w:t>
            </w:r>
            <w:r>
              <w:rPr>
                <w:rStyle w:val="VerbatimChar"/>
              </w:rPr>
              <w:t xml:space="preserve">WatchNetworkMap</w:t>
            </w:r>
            <w:r>
              <w:t xml:space="preserve"> </w:t>
            </w:r>
            <w:r>
              <w:t xml:space="preserve">(p99 &lt;1s); policy compiler (default-deny → AllowedIPs/nftables);</w:t>
            </w:r>
            <w:r>
              <w:t xml:space="preserve"> </w:t>
            </w:r>
            <w:r>
              <w:rPr>
                <w:b/>
                <w:bCs/>
              </w:rPr>
              <w:t xml:space="preserve">8-criterion MVP DoD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The spine of</w:t>
            </w:r>
            <w:r>
              <w:t xml:space="preserve"> </w:t>
            </w:r>
            <w:r>
              <w:rPr>
                <w:b/>
                <w:bCs/>
              </w:rPr>
              <w:t xml:space="preserve">07-Phase-1-WBS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b/>
                <w:bCs/>
              </w:rPr>
              <w:t xml:space="preserve">02-control-plane</w:t>
            </w:r>
            <w:r>
              <w:t xml:space="preserve">; the 8 acceptance criteria → 10-testing; no-logging schema lint → 04-security.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04_P2</w:t>
            </w:r>
            <w:r>
              <w:t xml:space="preserve"> </w:t>
            </w:r>
            <w:r>
              <w:t xml:space="preserve">(CLD refined)</w:t>
            </w:r>
          </w:p>
        </w:tc>
        <w:tc>
          <w:tcPr/>
          <w:p>
            <w:pPr>
              <w:pStyle w:val="Compact"/>
            </w:pPr>
            <w:r>
              <w:t xml:space="preserve">00, 01, 04,</w:t>
            </w:r>
            <w:r>
              <w:t xml:space="preserve"> </w:t>
            </w:r>
            <w:r>
              <w:rPr>
                <w:b/>
                <w:bCs/>
              </w:rPr>
              <w:t xml:space="preserve">08</w:t>
            </w:r>
            <w:r>
              <w:t xml:space="preserve">, 09, 11, SPEC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Phase-2 parity</w:t>
            </w:r>
            <w:r>
              <w:t xml:space="preserve">: full transport set (+Shadowsocks, UDP-over-TCP, hardened LWO, auto-ladder);</w:t>
            </w:r>
            <w:r>
              <w:t xml:space="preserve"> </w:t>
            </w:r>
            <w:r>
              <w:rPr>
                <w:b/>
                <w:bCs/>
              </w:rPr>
              <w:t xml:space="preserve">DAITA via maybenot</w:t>
            </w:r>
            <w:r>
              <w:t xml:space="preserve">;</w:t>
            </w:r>
            <w:r>
              <w:t xml:space="preserve"> </w:t>
            </w:r>
            <w:r>
              <w:rPr>
                <w:b/>
                <w:bCs/>
              </w:rPr>
              <w:t xml:space="preserve">direct P2P + NAT traversal + DERP-style relay</w:t>
            </w:r>
            <w:r>
              <w:t xml:space="preserve">;</w:t>
            </w:r>
            <w:r>
              <w:t xml:space="preserve"> </w:t>
            </w:r>
            <w:r>
              <w:rPr>
                <w:b/>
                <w:bCs/>
              </w:rPr>
              <w:t xml:space="preserve">multi-hop</w:t>
            </w:r>
            <w:r>
              <w:t xml:space="preserve">;</w:t>
            </w:r>
            <w:r>
              <w:t xml:space="preserve"> </w:t>
            </w:r>
            <w:r>
              <w:rPr>
                <w:b/>
                <w:bCs/>
              </w:rPr>
              <w:t xml:space="preserve">post-quantum</w:t>
            </w:r>
            <w:r>
              <w:t xml:space="preserve"> </w:t>
            </w:r>
            <w:r>
              <w:t xml:space="preserve">(ML-KEM hybrid / Rosenpass); HA multi-region.</w:t>
            </w:r>
          </w:p>
        </w:tc>
        <w:tc>
          <w:tcPr/>
          <w:p>
            <w:pPr>
              <w:pStyle w:val="Compact"/>
            </w:pPr>
            <w:r>
              <w:t xml:space="preserve">The spine of</w:t>
            </w:r>
            <w:r>
              <w:t xml:space="preserve"> </w:t>
            </w:r>
            <w:r>
              <w:rPr>
                <w:b/>
                <w:bCs/>
              </w:rPr>
              <w:t xml:space="preserve">08-Phase-2-WBS</w:t>
            </w:r>
            <w:r>
              <w:t xml:space="preserve">; PQ + DAITA → 04-security; multi-region/HA → 08 + Patroni/NATS references.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1" w:name="X1750b4c07f8d1af3c5d243cc068da5d706a39ef"/>
    <w:p>
      <w:pPr>
        <w:pStyle w:val="Heading2"/>
      </w:pPr>
      <w:r>
        <w:t xml:space="preserve">Decision-coverage cross-check (the 8 D-decisions are all surfaced)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Decision</w:t>
            </w:r>
          </w:p>
        </w:tc>
        <w:tc>
          <w:tcPr/>
          <w:p>
            <w:pPr>
              <w:pStyle w:val="Compact"/>
            </w:pPr>
            <w:r>
              <w:t xml:space="preserve">Camp A source(s)</w:t>
            </w:r>
          </w:p>
        </w:tc>
        <w:tc>
          <w:tcPr/>
          <w:p>
            <w:pPr>
              <w:pStyle w:val="Compact"/>
            </w:pPr>
            <w:r>
              <w:t xml:space="preserve">Camp B source(s)</w:t>
            </w:r>
          </w:p>
        </w:tc>
        <w:tc>
          <w:tcPr/>
          <w:p>
            <w:pPr>
              <w:pStyle w:val="Compact"/>
            </w:pPr>
            <w:r>
              <w:t xml:space="preserve">Surfaced in final/</w:t>
            </w:r>
          </w:p>
        </w:tc>
      </w:tr>
      <w:tr>
        <w:tc>
          <w:tcPr/>
          <w:p>
            <w:pPr>
              <w:pStyle w:val="Compact"/>
            </w:pPr>
            <w:r>
              <w:t xml:space="preserve">D1 obfuscating transport</w:t>
            </w:r>
          </w:p>
        </w:tc>
        <w:tc>
          <w:tcPr/>
          <w:p>
            <w:pPr>
              <w:pStyle w:val="Compact"/>
            </w:pPr>
            <w:r>
              <w:t xml:space="preserve">04_ARCH/04_P0 (MASQUE/QUIC)</w:t>
            </w:r>
          </w:p>
        </w:tc>
        <w:tc>
          <w:tcPr/>
          <w:p>
            <w:pPr>
              <w:pStyle w:val="Compact"/>
            </w:pPr>
            <w:r>
              <w:t xml:space="preserve">plurality of 10 (Hysteria2+Salamander)</w:t>
            </w:r>
          </w:p>
        </w:tc>
        <w:tc>
          <w:tcPr/>
          <w:p>
            <w:pPr>
              <w:pStyle w:val="Compact"/>
            </w:pPr>
            <w:r>
              <w:t xml:space="preserve">01, 08, 11</w:t>
            </w:r>
          </w:p>
        </w:tc>
      </w:tr>
      <w:tr>
        <w:tc>
          <w:tcPr/>
          <w:p>
            <w:pPr>
              <w:pStyle w:val="Compact"/>
            </w:pPr>
            <w:r>
              <w:t xml:space="preserve">D2 client-core language</w:t>
            </w:r>
          </w:p>
        </w:tc>
        <w:tc>
          <w:tcPr/>
          <w:p>
            <w:pPr>
              <w:pStyle w:val="Compact"/>
            </w:pPr>
            <w:r>
              <w:t xml:space="preserve">04_*/QWN/ZAI/CPL/KMI/MST (Rust)</w:t>
            </w:r>
          </w:p>
        </w:tc>
        <w:tc>
          <w:tcPr/>
          <w:p>
            <w:pPr>
              <w:pStyle w:val="Compact"/>
            </w:pPr>
            <w:r>
              <w:t xml:space="preserve">DSK/GMI/GCT (Go)</w:t>
            </w:r>
          </w:p>
        </w:tc>
        <w:tc>
          <w:tcPr/>
          <w:p>
            <w:pPr>
              <w:pStyle w:val="Compact"/>
            </w:pPr>
            <w:r>
              <w:t xml:space="preserve">03, 11</w:t>
            </w:r>
          </w:p>
        </w:tc>
      </w:tr>
      <w:tr>
        <w:tc>
          <w:tcPr/>
          <w:p>
            <w:pPr>
              <w:pStyle w:val="Compact"/>
            </w:pPr>
            <w:r>
              <w:t xml:space="preserve">D3 event bus</w:t>
            </w:r>
          </w:p>
        </w:tc>
        <w:tc>
          <w:tcPr/>
          <w:p>
            <w:pPr>
              <w:pStyle w:val="Compact"/>
            </w:pPr>
            <w:r>
              <w:t xml:space="preserve">04_P1/QWN/MST (Redis→NATS)</w:t>
            </w:r>
          </w:p>
        </w:tc>
        <w:tc>
          <w:tcPr/>
          <w:p>
            <w:pPr>
              <w:pStyle w:val="Compact"/>
            </w:pPr>
            <w:r>
              <w:t xml:space="preserve">DSK/KMI (NATS-from-start)</w:t>
            </w:r>
          </w:p>
        </w:tc>
        <w:tc>
          <w:tcPr/>
          <w:p>
            <w:pPr>
              <w:pStyle w:val="Compact"/>
            </w:pPr>
            <w:r>
              <w:t xml:space="preserve">02, 08, 11</w:t>
            </w:r>
          </w:p>
        </w:tc>
      </w:tr>
      <w:tr>
        <w:tc>
          <w:tcPr/>
          <w:p>
            <w:pPr>
              <w:pStyle w:val="Compact"/>
            </w:pPr>
            <w:r>
              <w:t xml:space="preserve">D4 subnet collision</w:t>
            </w:r>
          </w:p>
        </w:tc>
        <w:tc>
          <w:tcPr/>
          <w:p>
            <w:pPr>
              <w:pStyle w:val="Compact"/>
            </w:pPr>
            <w:r>
              <w:t xml:space="preserve">04_ARCH (ULA/4via6)</w:t>
            </w:r>
          </w:p>
        </w:tc>
        <w:tc>
          <w:tcPr/>
          <w:p>
            <w:pPr>
              <w:pStyle w:val="Compact"/>
            </w:pPr>
            <w:r>
              <w:t xml:space="preserve">GMI/KMI (CGNAT 100.64/10)</w:t>
            </w:r>
          </w:p>
        </w:tc>
        <w:tc>
          <w:tcPr/>
          <w:p>
            <w:pPr>
              <w:pStyle w:val="Compact"/>
            </w:pPr>
            <w:r>
              <w:t xml:space="preserve">02, 08, 11</w:t>
            </w:r>
          </w:p>
        </w:tc>
      </w:tr>
      <w:tr>
        <w:tc>
          <w:tcPr/>
          <w:p>
            <w:pPr>
              <w:pStyle w:val="Compact"/>
            </w:pPr>
            <w:r>
              <w:t xml:space="preserve">D5 edge language</w:t>
            </w:r>
          </w:p>
        </w:tc>
        <w:tc>
          <w:tcPr/>
          <w:p>
            <w:pPr>
              <w:pStyle w:val="Compact"/>
            </w:pPr>
            <w:r>
              <w:t xml:space="preserve">04_P0 (Rust)</w:t>
            </w:r>
          </w:p>
        </w:tc>
        <w:tc>
          <w:tcPr/>
          <w:p>
            <w:pPr>
              <w:pStyle w:val="Compact"/>
            </w:pPr>
            <w:r>
              <w:t xml:space="preserve">(Go quic-go)</w:t>
            </w:r>
          </w:p>
        </w:tc>
        <w:tc>
          <w:tcPr/>
          <w:p>
            <w:pPr>
              <w:pStyle w:val="Compact"/>
            </w:pPr>
            <w:r>
              <w:t xml:space="preserve">01, 06 (gate G4), 11</w:t>
            </w:r>
          </w:p>
        </w:tc>
      </w:tr>
      <w:tr>
        <w:tc>
          <w:tcPr/>
          <w:p>
            <w:pPr>
              <w:pStyle w:val="Compact"/>
            </w:pPr>
            <w:r>
              <w:t xml:space="preserve">D6 transport topology</w:t>
            </w:r>
          </w:p>
        </w:tc>
        <w:tc>
          <w:tcPr/>
          <w:p>
            <w:pPr>
              <w:pStyle w:val="Compact"/>
            </w:pPr>
            <w:r>
              <w:t xml:space="preserve">single-protocol</w:t>
            </w:r>
          </w:p>
        </w:tc>
        <w:tc>
          <w:tcPr/>
          <w:p>
            <w:pPr>
              <w:pStyle w:val="Compact"/>
            </w:pPr>
            <w:r>
              <w:t xml:space="preserve">11_MST (asymmetric per-leg)</w:t>
            </w:r>
          </w:p>
        </w:tc>
        <w:tc>
          <w:tcPr/>
          <w:p>
            <w:pPr>
              <w:pStyle w:val="Compact"/>
            </w:pPr>
            <w:r>
              <w:t xml:space="preserve">01, 11</w:t>
            </w:r>
          </w:p>
        </w:tc>
      </w:tr>
      <w:tr>
        <w:tc>
          <w:tcPr/>
          <w:p>
            <w:pPr>
              <w:pStyle w:val="Compact"/>
            </w:pPr>
            <w:r>
              <w:t xml:space="preserve">D7 MVP ambition</w:t>
            </w:r>
          </w:p>
        </w:tc>
        <w:tc>
          <w:tcPr/>
          <w:p>
            <w:pPr>
              <w:pStyle w:val="Compact"/>
            </w:pPr>
            <w:r>
              <w:t xml:space="preserve">QWN/DSK/04_P0 (lean)</w:t>
            </w:r>
          </w:p>
        </w:tc>
        <w:tc>
          <w:tcPr/>
          <w:p>
            <w:pPr>
              <w:pStyle w:val="Compact"/>
            </w:pPr>
            <w:r>
              <w:t xml:space="preserve">KMI/ZAI (Connectivity-OS)</w:t>
            </w:r>
          </w:p>
        </w:tc>
        <w:tc>
          <w:tcPr/>
          <w:p>
            <w:pPr>
              <w:pStyle w:val="Compact"/>
            </w:pPr>
            <w:r>
              <w:t xml:space="preserve">00, 11</w:t>
            </w:r>
          </w:p>
        </w:tc>
      </w:tr>
      <w:tr>
        <w:tc>
          <w:tcPr/>
          <w:p>
            <w:pPr>
              <w:pStyle w:val="Compact"/>
            </w:pPr>
            <w:r>
              <w:t xml:space="preserve">D8 licensing / positioning</w:t>
            </w:r>
          </w:p>
        </w:tc>
        <w:tc>
          <w:tcPr/>
          <w:p>
            <w:pPr>
              <w:pStyle w:val="Compact"/>
            </w:pPr>
            <w:r>
              <w:t xml:space="preserve">04_ARCH §13 (source-available + commercial)</w:t>
            </w:r>
          </w:p>
        </w:tc>
        <w:tc>
          <w:tcPr/>
          <w:p>
            <w:pPr>
              <w:pStyle w:val="Compact"/>
            </w:pPr>
            <w:r>
              <w:t xml:space="preserve">pure OSS</w:t>
            </w:r>
          </w:p>
        </w:tc>
        <w:tc>
          <w:tcPr/>
          <w:p>
            <w:pPr>
              <w:pStyle w:val="Compact"/>
            </w:pPr>
            <w:r>
              <w:t xml:space="preserve">00, SPEC §9 (pre-Phase-3 decision)</w:t>
            </w:r>
          </w:p>
        </w:tc>
      </w:tr>
    </w:tbl>
    <w:p>
      <w:pPr>
        <w:pStyle w:val="BodyText"/>
      </w:pPr>
      <w:r>
        <w:t xml:space="preserve">All eight decisions (D1–D7 from SYNTHESIS §3 + D8 licensing/positioning surfaced in 00 + SPECIFICATION §9) are present as explicit decisions-with-recommendations.</w:t>
      </w:r>
    </w:p>
    <w:p>
      <w:r>
        <w:pict>
          <v:rect style="width:0;height:1.5pt" o:hralign="center" o:hrstd="t" o:hr="t"/>
        </w:pict>
      </w:r>
    </w:p>
    <w:bookmarkEnd w:id="11"/>
    <w:bookmarkStart w:id="12" w:name="coverage-gaps"/>
    <w:p>
      <w:pPr>
        <w:pStyle w:val="Heading2"/>
      </w:pPr>
      <w:r>
        <w:t xml:space="preserve">Coverage gaps</w:t>
      </w:r>
    </w:p>
    <w:p>
      <w:pPr>
        <w:pStyle w:val="FirstParagraph"/>
      </w:pPr>
      <w:r>
        <w:t xml:space="preserve">The following distinctive source ideas are</w:t>
      </w:r>
      <w:r>
        <w:t xml:space="preserve"> </w:t>
      </w:r>
      <w:r>
        <w:rPr>
          <w:b/>
          <w:bCs/>
        </w:rPr>
        <w:t xml:space="preserve">not yet fully reflected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final/</w:t>
      </w:r>
      <w:r>
        <w:t xml:space="preserve">. They are</w:t>
      </w:r>
      <w:r>
        <w:t xml:space="preserve"> </w:t>
      </w:r>
      <w:r>
        <w:t xml:space="preserve">surfaced here per §11.4.6/§11.4.118 (no silent omission) rather than hidden. Each is tagged</w:t>
      </w:r>
      <w:r>
        <w:t xml:space="preserve"> </w:t>
      </w:r>
      <w:r>
        <w:rPr>
          <w:b/>
          <w:bCs/>
        </w:rPr>
        <w:t xml:space="preserve">deliberate-divergence</w:t>
      </w:r>
      <w:r>
        <w:t xml:space="preserve"> </w:t>
      </w:r>
      <w:r>
        <w:t xml:space="preserve">(consciously not adopted; rationale exists) or</w:t>
      </w:r>
      <w:r>
        <w:t xml:space="preserve"> </w:t>
      </w:r>
      <w:r>
        <w:rPr>
          <w:b/>
          <w:bCs/>
        </w:rPr>
        <w:t xml:space="preserve">open-gap</w:t>
      </w:r>
      <w:r>
        <w:t xml:space="preserve"> </w:t>
      </w:r>
      <w:r>
        <w:t xml:space="preserve">(should</w:t>
      </w:r>
      <w:r>
        <w:t xml:space="preserve"> </w:t>
      </w:r>
      <w:r>
        <w:t xml:space="preserve">be added/recorded in a future revision).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G1 — [03_ZAI] Disaster-recovery completeness — ✅ RESOLVED (2026-07-04).</w:t>
      </w:r>
      <w:r>
        <w:t xml:space="preserve"> </w:t>
      </w:r>
      <w:r>
        <w:t xml:space="preserve">ZAI's KMS-encrypted automated backups (04, 02, 07) and RTO target (04-security) are now joined</w:t>
      </w:r>
      <w:r>
        <w:t xml:space="preserve"> </w:t>
      </w:r>
      <w:r>
        <w:t xml:space="preserve">by a first-class, consolidated DR document:</w:t>
      </w:r>
      <w:r>
        <w:t xml:space="preserve"> </w:t>
      </w:r>
      <w:r>
        <w:rPr>
          <w:rStyle w:val="VerbatimChar"/>
        </w:rPr>
        <w:t xml:space="preserve">v06-deploy/disaster-recovery.md</w:t>
      </w:r>
      <w:r>
        <w:t xml:space="preserve"> </w:t>
      </w:r>
      <w:r>
        <w:t xml:space="preserve">(explicit RTO/RPO</w:t>
      </w:r>
      <w:r>
        <w:t xml:space="preserve"> </w:t>
      </w:r>
      <w:r>
        <w:t xml:space="preserve">budget, backup/restore runbook, Terraform-driven region-failover drill checklist), which did not</w:t>
      </w:r>
      <w:r>
        <w:t xml:space="preserve"> </w:t>
      </w:r>
      <w:r>
        <w:t xml:space="preserve">exist when this gap was first recorded. Independently re-verified during the 2026-07-04</w:t>
      </w:r>
      <w:r>
        <w:t xml:space="preserve"> </w:t>
      </w:r>
      <w:r>
        <w:t xml:space="preserve">hardening pass (a dedicated review of the whole Volume-6 deploy/ops cluster) and found</w:t>
      </w:r>
      <w:r>
        <w:t xml:space="preserve"> </w:t>
      </w:r>
      <w:r>
        <w:t xml:space="preserve">comprehensive — not merely present, but already covering the RTO/RPO budget, backup/restore</w:t>
      </w:r>
      <w:r>
        <w:t xml:space="preserve"> </w:t>
      </w:r>
      <w:r>
        <w:t xml:space="preserve">runbook, and region-failover drill this gap called for. No further action needed.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G2 — [06_GRK] sing-box transport framework — deliberate-divergence (record the rationale).</w:t>
      </w:r>
      <w:r>
        <w:t xml:space="preserve"> </w:t>
      </w:r>
      <w:r>
        <w:t xml:space="preserve">GRK proposed</w:t>
      </w:r>
      <w:r>
        <w:t xml:space="preserve"> </w:t>
      </w:r>
      <w:r>
        <w:rPr>
          <w:b/>
          <w:bCs/>
        </w:rPr>
        <w:t xml:space="preserve">sing-box</w:t>
      </w:r>
      <w:r>
        <w:t xml:space="preserve"> </w:t>
      </w:r>
      <w:r>
        <w:t xml:space="preserve">as the universal transport-multiplexer (Hysteria2/Shadowsocks/</w:t>
      </w:r>
      <w:r>
        <w:t xml:space="preserve"> </w:t>
      </w:r>
      <w:r>
        <w:t xml:space="preserve">TUIC/etc. via one Go framework). The protocols GRK wanted are reflected (Hysteria2 → D1</w:t>
      </w:r>
      <w:r>
        <w:t xml:space="preserve"> </w:t>
      </w:r>
      <w:r>
        <w:t xml:space="preserve">Camp B; Shadowsocks + UDP-over-TCP → 08 Phase-2 transport set), but the</w:t>
      </w:r>
      <w:r>
        <w:t xml:space="preserve"> </w:t>
      </w:r>
      <w:r>
        <w:rPr>
          <w:b/>
          <w:bCs/>
        </w:rPr>
        <w:t xml:space="preserve">sing-box framework</w:t>
      </w:r>
      <w:r>
        <w:rPr>
          <w:b/>
          <w:bCs/>
        </w:rPr>
        <w:t xml:space="preserve"> </w:t>
      </w:r>
      <w:r>
        <w:rPr>
          <w:b/>
          <w:bCs/>
        </w:rPr>
        <w:t xml:space="preserve">itself was not adopted</w:t>
      </w:r>
      <w:r>
        <w:t xml:space="preserve"> </w:t>
      </w:r>
      <w:r>
        <w:t xml:space="preserve">— the spec chose a custom Rust</w:t>
      </w:r>
      <w:r>
        <w:t xml:space="preserve"> </w:t>
      </w:r>
      <w:r>
        <w:rPr>
          <w:rStyle w:val="VerbatimChar"/>
        </w:rPr>
        <w:t xml:space="preserve">helix-transport</w:t>
      </w:r>
      <w:r>
        <w:t xml:space="preserve"> </w:t>
      </w:r>
      <w:r>
        <w:t xml:space="preserve">crate (04_ARCH).</w:t>
      </w:r>
      <w:r>
        <w:t xml:space="preserve"> </w:t>
      </w:r>
      <w:r>
        <w:rPr>
          <w:b/>
          <w:bCs/>
        </w:rPr>
        <w:t xml:space="preserve">Rejection rationale (recorded here):</w:t>
      </w:r>
      <w:r>
        <w:t xml:space="preserve"> </w:t>
      </w:r>
      <w:r>
        <w:t xml:space="preserve">sing-box is a Go framework, which conflicts with the</w:t>
      </w:r>
      <w:r>
        <w:t xml:space="preserve"> </w:t>
      </w:r>
      <w:r>
        <w:t xml:space="preserve">Rust-core decision (D2) and the iOS NE memory ceiling; a custom Rust</w:t>
      </w:r>
      <w:r>
        <w:t xml:space="preserve"> </w:t>
      </w:r>
      <w:r>
        <w:rPr>
          <w:rStyle w:val="VerbatimChar"/>
        </w:rPr>
        <w:t xml:space="preserve">helix-transport</w:t>
      </w:r>
      <w:r>
        <w:t xml:space="preserve"> </w:t>
      </w:r>
      <w:r>
        <w:t xml:space="preserve">crate</w:t>
      </w:r>
      <w:r>
        <w:t xml:space="preserve"> </w:t>
      </w:r>
      <w:r>
        <w:t xml:space="preserve">gives byte-for-byte client↔edge reuse and a single obfuscate/de-obfuscate implementation that</w:t>
      </w:r>
      <w:r>
        <w:t xml:space="preserve"> </w:t>
      </w:r>
      <w:r>
        <w:t xml:space="preserve">sing-box's process model cannot match. A future pass MAY also surface this note inline in</w:t>
      </w:r>
      <w:r>
        <w:t xml:space="preserve"> </w:t>
      </w:r>
      <w:r>
        <w:t xml:space="preserve">01-data-plane; for now the considered-and-rejected record lives here.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G3 — [09_GCT] Fyne desktop UI — deliberate-divergence (rejected alternative not recorded).</w:t>
      </w:r>
      <w:r>
        <w:t xml:space="preserve"> </w:t>
      </w:r>
      <w:r>
        <w:t xml:space="preserve">GCT proposed</w:t>
      </w:r>
      <w:r>
        <w:t xml:space="preserve"> </w:t>
      </w:r>
      <w:r>
        <w:rPr>
          <w:b/>
          <w:bCs/>
        </w:rPr>
        <w:t xml:space="preserve">Fyne</w:t>
      </w:r>
      <w:r>
        <w:t xml:space="preserve"> </w:t>
      </w:r>
      <w:r>
        <w:t xml:space="preserve">for the desktop/web client. Flutter (04_UI) won unanimously and Fyne</w:t>
      </w:r>
      <w:r>
        <w:t xml:space="preserve"> </w:t>
      </w:r>
      <w:r>
        <w:t xml:space="preserve">is correctly absent from the build plan.</w:t>
      </w:r>
      <w:r>
        <w:t xml:space="preserve"> </w:t>
      </w:r>
      <w:r>
        <w:rPr>
          <w:b/>
          <w:bCs/>
        </w:rPr>
        <w:t xml:space="preserve">Rejection rationale (recorded here):</w:t>
      </w:r>
      <w:r>
        <w:t xml:space="preserve"> </w:t>
      </w:r>
      <w:r>
        <w:t xml:space="preserve">Fyne</w:t>
      </w:r>
      <w:r>
        <w:t xml:space="preserve"> </w:t>
      </w:r>
      <w:r>
        <w:t xml:space="preserve">(</w:t>
      </w:r>
      <w:r>
        <w:rPr>
          <w:rStyle w:val="VerbatimChar"/>
        </w:rPr>
        <w:t xml:space="preserve">[09_GCT]</w:t>
      </w:r>
      <w:r>
        <w:t xml:space="preserve">) was evaluated and dropped in favor of Flutter — Flutter is the only toolkit that</w:t>
      </w:r>
      <w:r>
        <w:t xml:space="preserve"> </w:t>
      </w:r>
      <w:r>
        <w:t xml:space="preserve">reaches all 8 required platforms (incl. iOS/Android/Aurora/HarmonyOS) with one codebase + a</w:t>
      </w:r>
      <w:r>
        <w:t xml:space="preserve"> </w:t>
      </w:r>
      <w:r>
        <w:t xml:space="preserve">shared</w:t>
      </w:r>
      <w:r>
        <w:t xml:space="preserve"> </w:t>
      </w:r>
      <w:r>
        <w:rPr>
          <w:rStyle w:val="VerbatimChar"/>
        </w:rPr>
        <w:t xml:space="preserve">helix_design</w:t>
      </w:r>
      <w:r>
        <w:t xml:space="preserve"> </w:t>
      </w:r>
      <w:r>
        <w:t xml:space="preserve">system; Fyne targets desktop and lacks the mobile/niche-OS reach. A</w:t>
      </w:r>
      <w:r>
        <w:t xml:space="preserve"> </w:t>
      </w:r>
      <w:r>
        <w:t xml:space="preserve">future pass MAY also note this inline in 03-client-core-and-ui's UI-toolkit decision.</w:t>
      </w:r>
    </w:p>
    <w:p>
      <w:pPr>
        <w:pStyle w:val="FirstParagraph"/>
      </w:pPr>
      <w:r>
        <w:t xml:space="preserve">No source is</w:t>
      </w:r>
      <w:r>
        <w:t xml:space="preserve"> </w:t>
      </w:r>
      <w:r>
        <w:rPr>
          <w:b/>
          <w:bCs/>
        </w:rPr>
        <w:t xml:space="preserve">wholly</w:t>
      </w:r>
      <w:r>
        <w:t xml:space="preserve"> </w:t>
      </w:r>
      <w:r>
        <w:t xml:space="preserve">unabsorbed: every one of the 16 ids is cited in at least</w:t>
      </w:r>
      <w:r>
        <w:t xml:space="preserve"> </w:t>
      </w:r>
      <w:r>
        <w:rPr>
          <w:rStyle w:val="VerbatimChar"/>
        </w:rPr>
        <w:t xml:space="preserve">00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11</w:t>
      </w:r>
      <w:r>
        <w:t xml:space="preserve"> </w:t>
      </w:r>
      <w:r>
        <w:t xml:space="preserve">deep-research appendix, and the three gaps above are scoped, named, and recommendation-</w:t>
      </w:r>
      <w:r>
        <w:t xml:space="preserve"> </w:t>
      </w:r>
      <w:r>
        <w:t xml:space="preserve">tagged. The thinly-cited sources (03_ZAI, 06_GRK, 08_CPL, 09_GCT) are the "full-ecosystem /</w:t>
      </w:r>
      <w:r>
        <w:t xml:space="preserve"> </w:t>
      </w:r>
      <w:r>
        <w:t xml:space="preserve">Go-or-sing-box camp" whose protocol/ops ideas were largely</w:t>
      </w:r>
      <w:r>
        <w:t xml:space="preserve"> </w:t>
      </w:r>
      <w:r>
        <w:rPr>
          <w:b/>
          <w:bCs/>
        </w:rPr>
        <w:t xml:space="preserve">generalized</w:t>
      </w:r>
      <w:r>
        <w:t xml:space="preserve"> </w:t>
      </w:r>
      <w:r>
        <w:t xml:space="preserve">into the chosen</w:t>
      </w:r>
      <w:r>
        <w:t xml:space="preserve"> </w:t>
      </w:r>
      <w:r>
        <w:t xml:space="preserve">Rust-core + custom-transport design rather than carried verbatim.</w:t>
      </w:r>
    </w:p>
    <w:p>
      <w:r>
        <w:pict>
          <v:rect style="width:0;height:1.5pt" o:hralign="center" o:hrstd="t" o:hr="t"/>
        </w:pict>
      </w:r>
    </w:p>
    <w:bookmarkEnd w:id="12"/>
    <w:bookmarkStart w:id="13" w:name="provenance-of-this-ledger"/>
    <w:p>
      <w:pPr>
        <w:pStyle w:val="Heading2"/>
      </w:pPr>
      <w:r>
        <w:t xml:space="preserve">Provenance of this ledger</w:t>
      </w:r>
    </w:p>
    <w:p>
      <w:pPr>
        <w:pStyle w:val="Compact"/>
        <w:numPr>
          <w:ilvl w:val="0"/>
          <w:numId w:val="1003"/>
        </w:numPr>
      </w:pPr>
      <w:r>
        <w:t xml:space="preserve">Synthesis evidence base:</w:t>
      </w:r>
      <w:r>
        <w:t xml:space="preserve"> </w:t>
      </w:r>
      <w:r>
        <w:rPr>
          <w:rStyle w:val="VerbatimChar"/>
        </w:rPr>
        <w:t xml:space="preserve">v09-research/_SYNTHESIS.md</w:t>
      </w:r>
      <w:r>
        <w:t xml:space="preserve"> </w:t>
      </w:r>
      <w:r>
        <w:t xml:space="preserve">(digests of all 16 sources).</w:t>
      </w:r>
    </w:p>
    <w:p>
      <w:pPr>
        <w:pStyle w:val="Compact"/>
        <w:numPr>
          <w:ilvl w:val="0"/>
          <w:numId w:val="1003"/>
        </w:numPr>
      </w:pPr>
      <w:r>
        <w:t xml:space="preserve">Citation grep across all 13</w:t>
      </w:r>
      <w:r>
        <w:t xml:space="preserve"> </w:t>
      </w:r>
      <w:r>
        <w:rPr>
          <w:rStyle w:val="VerbatimChar"/>
        </w:rPr>
        <w:t xml:space="preserve">final/*.md</w:t>
      </w:r>
      <w:r>
        <w:t xml:space="preserve"> </w:t>
      </w:r>
      <w:r>
        <w:t xml:space="preserve">docs (source-id frequency table, 2026-06-25).</w:t>
      </w:r>
    </w:p>
    <w:p>
      <w:pPr>
        <w:pStyle w:val="Compact"/>
        <w:numPr>
          <w:ilvl w:val="0"/>
          <w:numId w:val="1003"/>
        </w:numPr>
      </w:pPr>
      <w:r>
        <w:t xml:space="preserve">Distinctive-term presence check (</w:t>
      </w:r>
      <w:r>
        <w:rPr>
          <w:rStyle w:val="VerbatimChar"/>
        </w:rPr>
        <w:t xml:space="preserve">sing-box</w:t>
      </w:r>
      <w:r>
        <w:t xml:space="preserve">,</w:t>
      </w:r>
      <w:r>
        <w:t xml:space="preserve"> </w:t>
      </w:r>
      <w:r>
        <w:rPr>
          <w:rStyle w:val="VerbatimChar"/>
        </w:rPr>
        <w:t xml:space="preserve">KMS</w:t>
      </w:r>
      <w:r>
        <w:t xml:space="preserve">,</w:t>
      </w:r>
      <w:r>
        <w:t xml:space="preserve"> </w:t>
      </w:r>
      <w:r>
        <w:rPr>
          <w:rStyle w:val="VerbatimChar"/>
        </w:rPr>
        <w:t xml:space="preserve">Fyne</w:t>
      </w:r>
      <w:r>
        <w:t xml:space="preserve">,</w:t>
      </w:r>
      <w:r>
        <w:t xml:space="preserve"> </w:t>
      </w:r>
      <w:r>
        <w:rPr>
          <w:rStyle w:val="VerbatimChar"/>
        </w:rPr>
        <w:t xml:space="preserve">KMP</w:t>
      </w:r>
      <w:r>
        <w:t xml:space="preserve">,</w:t>
      </w:r>
      <w:r>
        <w:t xml:space="preserve"> </w:t>
      </w:r>
      <w:r>
        <w:rPr>
          <w:rStyle w:val="VerbatimChar"/>
        </w:rPr>
        <w:t xml:space="preserve">RTO</w:t>
      </w:r>
      <w:r>
        <w:t xml:space="preserve">,</w:t>
      </w:r>
      <w:r>
        <w:t xml:space="preserve"> </w:t>
      </w:r>
      <w:r>
        <w:rPr>
          <w:rStyle w:val="VerbatimChar"/>
        </w:rPr>
        <w:t xml:space="preserve">GitOps</w:t>
      </w:r>
      <w:r>
        <w:t xml:space="preserve">,</w:t>
      </w:r>
      <w:r>
        <w:t xml:space="preserve"> </w:t>
      </w:r>
      <w:r>
        <w:rPr>
          <w:rStyle w:val="VerbatimChar"/>
        </w:rPr>
        <w:t xml:space="preserve">Terraform</w:t>
      </w:r>
      <w:r>
        <w:t xml:space="preserve">,</w:t>
      </w:r>
      <w:r>
        <w:t xml:space="preserve"> </w:t>
      </w:r>
      <w:r>
        <w:rPr>
          <w:rStyle w:val="VerbatimChar"/>
        </w:rPr>
        <w:t xml:space="preserve">Patroni</w:t>
      </w:r>
      <w:r>
        <w:t xml:space="preserve">,</w:t>
      </w:r>
      <w:r>
        <w:t xml:space="preserve"> </w:t>
      </w:r>
      <w:r>
        <w:rPr>
          <w:rStyle w:val="VerbatimChar"/>
        </w:rPr>
        <w:t xml:space="preserve">reproducible build</w:t>
      </w:r>
      <w:r>
        <w:t xml:space="preserve">) confirming G1–G3.</w:t>
      </w:r>
    </w:p>
    <w:bookmarkEnd w:id="13"/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HelixVPN MVP — Source-Coverage Ledger (§11.4.118 proof-of-completeness)</dc:title>
  <dc:creator/>
  <cp:keywords/>
  <dcterms:created xsi:type="dcterms:W3CDTF">2026-07-04T13:49:08Z</dcterms:created>
  <dcterms:modified xsi:type="dcterms:W3CDTF">2026-07-04T13:49:08Z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