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12 — Appendix: Research</w:t>
      </w:r>
    </w:p>
    <w:bookmarkStart w:id="28" w:name="X1bf79a46802e345938c3d5ef79bb08d0904517c"/>
    <w:p>
      <w:pPr>
        <w:pStyle w:val="Heading1"/>
      </w:pPr>
      <w:r>
        <w:t xml:space="preserve">12 — Appendix: Research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2026-07-05T14:20:00Z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 — consolidated from</w:t>
      </w:r>
      <w:r>
        <w:t xml:space="preserve"> </w:t>
      </w:r>
      <w:r>
        <w:rPr>
          <w:rStyle w:val="VerbatimChar"/>
        </w:rPr>
        <w:t xml:space="preserve">11-deep-research-appendix.md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v09-research/*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0" w:name="X28271128f2cb80b986bc9367facd835b2666a4d"/>
    <w:p>
      <w:pPr>
        <w:pStyle w:val="Heading2"/>
      </w:pPr>
      <w:r>
        <w:t xml:space="preserve">1. Position</w:t>
      </w:r>
    </w:p>
    <w:p>
      <w:pPr>
        <w:pStyle w:val="FirstParagraph"/>
      </w:pPr>
      <w:r>
        <w:t xml:space="preserve">This appendix indexes the</w:t>
      </w:r>
      <w:r>
        <w:t xml:space="preserve"> </w:t>
      </w:r>
      <w:r>
        <w:rPr>
          <w:b/>
          <w:bCs/>
        </w:rPr>
        <w:t xml:space="preserve">external, citable findings</w:t>
      </w:r>
      <w:r>
        <w:t xml:space="preserve"> </w:t>
      </w:r>
      <w:r>
        <w:t xml:space="preserve">that shaped the HelixVPN master specification. Every research angle was investigated with live web access (2026-06-25) and is recorded in its own dossier under</w:t>
      </w:r>
      <w:r>
        <w:t xml:space="preserve"> </w:t>
      </w:r>
      <w:r>
        <w:rPr>
          <w:rStyle w:val="VerbatimChar"/>
        </w:rPr>
        <w:t xml:space="preserve">v09-research/</w:t>
      </w:r>
      <w:r>
        <w:t xml:space="preserve">. This README is a navigable summary; the dossiers and</w:t>
      </w:r>
      <w:r>
        <w:t xml:space="preserve"> </w:t>
      </w:r>
      <w:hyperlink r:id="rId9">
        <w:r>
          <w:rPr>
            <w:rStyle w:val="VerbatimChar"/>
          </w:rPr>
          <w:t xml:space="preserve">11-deep-research-appendix.md</w:t>
        </w:r>
      </w:hyperlink>
      <w:r>
        <w:t xml:space="preserve"> </w:t>
      </w:r>
      <w:r>
        <w:t xml:space="preserve">retain the full sources and verbatim URLs.</w:t>
      </w:r>
    </w:p>
    <w:p>
      <w:r>
        <w:pict>
          <v:rect style="width:0;height:1.5pt" o:hralign="center" o:hrstd="t" o:hr="t"/>
        </w:pict>
      </w:r>
    </w:p>
    <w:bookmarkEnd w:id="10"/>
    <w:bookmarkStart w:id="21" w:name="X2df1f0e1ef9e10feb41a4ea1f38887972653075"/>
    <w:p>
      <w:pPr>
        <w:pStyle w:val="Heading2"/>
      </w:pPr>
      <w:r>
        <w:t xml:space="preserve">2. Research angles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Dossier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Key finding</w:t>
            </w:r>
          </w:p>
        </w:tc>
        <w:tc>
          <w:tcPr/>
          <w:p>
            <w:pPr>
              <w:pStyle w:val="Compact"/>
            </w:pPr>
            <w:r>
              <w:t xml:space="preserve">Surfaced in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VerbatimChar"/>
                </w:rPr>
                <w:t xml:space="preserve">research-masque.md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MASQUE / CONNECT-UDP / HTTP Datagrams</w:t>
            </w:r>
          </w:p>
        </w:tc>
        <w:tc>
          <w:tcPr/>
          <w:p>
            <w:pPr>
              <w:pStyle w:val="Compact"/>
            </w:pPr>
            <w:r>
              <w:t xml:space="preserve">WG-over-HTTP/3 is a stack of stable RFCs (9298, 9297, 9221, 9220); Mullvad shipped QUIC obfuscation in 2025.9 using</w:t>
            </w:r>
            <w:r>
              <w:t xml:space="preserve"> </w:t>
            </w:r>
            <w:r>
              <w:rPr>
                <w:rStyle w:val="VerbatimChar"/>
              </w:rPr>
              <w:t xml:space="preserve">quinn</w:t>
            </w:r>
            <w:r>
              <w:t xml:space="preserve"> </w:t>
            </w:r>
            <w:r>
              <w:t xml:space="preserve">+ MASQUE.</w:t>
            </w:r>
          </w:p>
        </w:tc>
        <w:tc>
          <w:tcPr/>
          <w:p>
            <w:pPr>
              <w:pStyle w:val="Compact"/>
            </w:pPr>
            <w:r>
              <w:t xml:space="preserve">D1 Camp A,</w:t>
            </w:r>
            <w:r>
              <w:t xml:space="preserve"> </w:t>
            </w:r>
            <w:r>
              <w:rPr>
                <w:rStyle w:val="VerbatimChar"/>
              </w:rPr>
              <w:t xml:space="preserve">01-data-plane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08-phase2-parity-wbs.md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VerbatimChar"/>
                </w:rPr>
                <w:t xml:space="preserve">research-hysteria2.md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Hysteria2 + Salamander / Gecko, sing-box</w:t>
            </w:r>
          </w:p>
        </w:tc>
        <w:tc>
          <w:tcPr/>
          <w:p>
            <w:pPr>
              <w:pStyle w:val="Compact"/>
            </w:pPr>
            <w:r>
              <w:t xml:space="preserve">Hysteria2 v2.9.2 adds Gecko handshake fragmentation;</w:t>
            </w:r>
            <w:r>
              <w:t xml:space="preserve"> </w:t>
            </w:r>
            <w:r>
              <w:rPr>
                <w:rStyle w:val="VerbatimChar"/>
              </w:rPr>
              <w:t xml:space="preserve">masque-go</w:t>
            </w:r>
            <w:r>
              <w:t xml:space="preserve"> </w:t>
            </w:r>
            <w:r>
              <w:t xml:space="preserve">is turnkey in Go; sing-box is a universal multiplexer but</w:t>
            </w:r>
            <w:r>
              <w:t xml:space="preserve"> </w:t>
            </w:r>
            <w:r>
              <w:rPr>
                <w:b/>
                <w:bCs/>
              </w:rPr>
              <w:t xml:space="preserve">not adopted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D1 Camp B, Phase-2 transport set, source gap G2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VerbatimChar"/>
                </w:rPr>
                <w:t xml:space="preserve">research-wireguard.md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WireGuard protocol + implementations</w:t>
            </w:r>
          </w:p>
        </w:tc>
        <w:tc>
          <w:tcPr/>
          <w:p>
            <w:pPr>
              <w:pStyle w:val="Compact"/>
            </w:pPr>
            <w:r>
              <w:t xml:space="preserve">Noise IK 1-RTT; fixed primitives (Curve25519, ChaCha20Poly1305, BLAKE2s, HKDF, SipHash24, XChaCha20Poly1305); exact wire sizes confirmed (148/92/64/32 B).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01-data-plane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v02-data-plane/wireguard-core.md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VerbatimChar"/>
                </w:rPr>
                <w:t xml:space="preserve">research-mullvad.md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Mullvad parity feature set</w:t>
            </w:r>
          </w:p>
        </w:tc>
        <w:tc>
          <w:tcPr/>
          <w:p>
            <w:pPr>
              <w:pStyle w:val="Compact"/>
            </w:pPr>
            <w:r>
              <w:t xml:space="preserve">DAITA v1/v2 built on maybenot; constant packet size + cover traffic + pattern distortion; server-driven defenses in v2.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04-security-privacy-pki</w:t>
            </w:r>
            <w:r>
              <w:t xml:space="preserve">, Phase-2 DAITA track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VerbatimChar"/>
                </w:rPr>
                <w:t xml:space="preserve">research-daita_test.md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maybenot + VPN testing rigs</w:t>
            </w:r>
          </w:p>
        </w:tc>
        <w:tc>
          <w:tcPr/>
          <w:p>
            <w:pPr>
              <w:pStyle w:val="Compact"/>
            </w:pPr>
            <w:r>
              <w:t xml:space="preserve">maybenot 2.2.2 core, MIT, used by Mullvad; Linux netns + nftables + tc netem is the standard test harness.</w:t>
            </w:r>
          </w:p>
        </w:tc>
        <w:tc>
          <w:tcPr/>
          <w:p>
            <w:pPr>
              <w:pStyle w:val="Compact"/>
            </w:pPr>
            <w:r>
              <w:t xml:space="preserve">DAITA design,</w:t>
            </w:r>
            <w:r>
              <w:t xml:space="preserve"> </w:t>
            </w:r>
            <w:r>
              <w:rPr>
                <w:rStyle w:val="VerbatimChar"/>
              </w:rPr>
              <w:t xml:space="preserve">10-testing-acceptance-and-qa.md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VerbatimChar"/>
                </w:rPr>
                <w:t xml:space="preserve">research-pki_pq_nat.md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PKI, post-quantum, NAT traversal</w:t>
            </w:r>
          </w:p>
        </w:tc>
        <w:tc>
          <w:tcPr/>
          <w:p>
            <w:pPr>
              <w:pStyle w:val="Compact"/>
            </w:pPr>
            <w:r>
              <w:t xml:space="preserve">SPIFFE/SPIRE-style short-lived mTLS over WG; ML-KEM hybrid PSK (Mullvad/Rosenpass); Tailscale-style STUN+hole-punch+DERP relay.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04-security-privacy-pki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08-phase2-parity-wbs.md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VerbatimChar"/>
                </w:rPr>
                <w:t xml:space="preserve">research-ios_android.md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Mobile native constraints</w:t>
            </w:r>
          </w:p>
        </w:tc>
        <w:tc>
          <w:tcPr/>
          <w:p>
            <w:pPr>
              <w:pStyle w:val="Compact"/>
            </w:pPr>
            <w:r>
              <w:t xml:space="preserve">iOS NEPacketTunnelProvider limit ≈ 50 MiB (unofficial), plan to ~12–15 MB working set; Rust staticlib size optimizations mandatory.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03-client-core-and-ui</w:t>
            </w:r>
            <w:r>
              <w:t xml:space="preserve">, G3 gate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VerbatimChar"/>
                </w:rPr>
                <w:t xml:space="preserve">research-go_cp.md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Go control-plane stack</w:t>
            </w:r>
          </w:p>
        </w:tc>
        <w:tc>
          <w:tcPr/>
          <w:p>
            <w:pPr>
              <w:pStyle w:val="Compact"/>
            </w:pPr>
            <w:r>
              <w:t xml:space="preserve">Gin 1.12.0, Connect-RPC 1.20.0, sqlc 1.31.1, protovalidate v1.0 — versions and best practices.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02-control-plane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08-api-contracts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VerbatimChar"/>
                </w:rPr>
                <w:t xml:space="preserve">research-flutter_ffi.md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Rust ↔ Flutter / native bridges</w:t>
            </w:r>
          </w:p>
        </w:tc>
        <w:tc>
          <w:tcPr/>
          <w:p>
            <w:pPr>
              <w:pStyle w:val="Compact"/>
            </w:pPr>
            <w:r>
              <w:t xml:space="preserve">flutter_rust_bridge 2.12.0 recommended; UniFFI-Dart experimental; per-platform staticlib/cdylib packaging.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03-client-core-and-ui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VerbatimChar"/>
                </w:rPr>
                <w:t xml:space="preserve">research-podman_k8s.md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Rootless Podman, quadlets, K8s</w:t>
            </w:r>
          </w:p>
        </w:tc>
        <w:tc>
          <w:tcPr/>
          <w:p>
            <w:pPr>
              <w:pStyle w:val="Compact"/>
            </w:pPr>
            <w:r>
              <w:t xml:space="preserve">Quadlet is core in Podman 5.x; rootless unit search paths;</w:t>
            </w:r>
            <w:r>
              <w:t xml:space="preserve"> </w:t>
            </w:r>
            <w:r>
              <w:rPr>
                <w:rStyle w:val="VerbatimChar"/>
              </w:rPr>
              <w:t xml:space="preserve">DropCapability=ALL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AddCapability=NET_ADMIN NET_RAW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/dev/net/tun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07-infrastructure-devops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3" w:name="Xdb45b01263e0f61a269e296e35bbf4c60518e07"/>
    <w:p>
      <w:pPr>
        <w:pStyle w:val="Heading2"/>
      </w:pPr>
      <w:r>
        <w:t xml:space="preserve">3. Cross-doc synthesis</w:t>
      </w:r>
    </w:p>
    <w:p>
      <w:pPr>
        <w:pStyle w:val="FirstParagraph"/>
      </w:pPr>
      <w:r>
        <w:t xml:space="preserve">The high-level synthesis in</w:t>
      </w:r>
      <w:r>
        <w:t xml:space="preserve"> </w:t>
      </w:r>
      <w:hyperlink r:id="rId22">
        <w:r>
          <w:rPr>
            <w:rStyle w:val="VerbatimChar"/>
          </w:rPr>
          <w:t xml:space="preserve">v09-research/_SYNTHESIS.md</w:t>
        </w:r>
      </w:hyperlink>
      <w:r>
        <w:t xml:space="preserve"> </w:t>
      </w:r>
      <w:r>
        <w:t xml:space="preserve">distills the 16 original source documents into:</w:t>
      </w:r>
    </w:p>
    <w:p>
      <w:pPr>
        <w:pStyle w:val="Compact"/>
        <w:numPr>
          <w:ilvl w:val="0"/>
          <w:numId w:val="1001"/>
        </w:numPr>
      </w:pPr>
      <w:r>
        <w:t xml:space="preserve">The settled product floor (self-hostable overlay network + privacy-VPN front end).</w:t>
      </w:r>
    </w:p>
    <w:p>
      <w:pPr>
        <w:pStyle w:val="Compact"/>
        <w:numPr>
          <w:ilvl w:val="0"/>
          <w:numId w:val="1001"/>
        </w:numPr>
      </w:pPr>
      <w:r>
        <w:t xml:space="preserve">The near-unanimous stack floor (Go + Gin + Postgres + Redis + rootless Podman; WireGuard; Flutter).</w:t>
      </w:r>
    </w:p>
    <w:p>
      <w:pPr>
        <w:pStyle w:val="Compact"/>
        <w:numPr>
          <w:ilvl w:val="0"/>
          <w:numId w:val="1001"/>
        </w:numPr>
      </w:pPr>
      <w:r>
        <w:t xml:space="preserve">The eight key decisions D1–D8 (obfuscation transport, client-core language, event bus, subnet collision, edge language, transport topology, MVP ambition, licensing).</w:t>
      </w:r>
    </w:p>
    <w:p>
      <w:pPr>
        <w:pStyle w:val="Compact"/>
        <w:numPr>
          <w:ilvl w:val="0"/>
          <w:numId w:val="1001"/>
        </w:numPr>
      </w:pPr>
      <w:r>
        <w:t xml:space="preserve">The four-phase roadmap used by the WBS docs.</w:t>
      </w:r>
    </w:p>
    <w:p>
      <w:r>
        <w:pict>
          <v:rect style="width:0;height:1.5pt" o:hralign="center" o:hrstd="t" o:hr="t"/>
        </w:pict>
      </w:r>
    </w:p>
    <w:bookmarkEnd w:id="23"/>
    <w:bookmarkStart w:id="24" w:name="X17ce5087b1f76a61049a4247bafee36fca20f2c"/>
    <w:p>
      <w:pPr>
        <w:pStyle w:val="Heading2"/>
      </w:pPr>
      <w:r>
        <w:t xml:space="preserve">4. Decision coverage check</w:t>
      </w:r>
    </w:p>
    <w:p>
      <w:pPr>
        <w:pStyle w:val="FirstParagraph"/>
      </w:pPr>
      <w:r>
        <w:t xml:space="preserve">All eight decisions are surfaced explicitly somewhere in</w:t>
      </w:r>
      <w:r>
        <w:t xml:space="preserve"> </w:t>
      </w:r>
      <w:r>
        <w:rPr>
          <w:rStyle w:val="VerbatimChar"/>
        </w:rPr>
        <w:t xml:space="preserve">final/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Camp A</w:t>
            </w:r>
          </w:p>
        </w:tc>
        <w:tc>
          <w:tcPr/>
          <w:p>
            <w:pPr>
              <w:pStyle w:val="Compact"/>
            </w:pPr>
            <w:r>
              <w:t xml:space="preserve">Camp B</w:t>
            </w:r>
          </w:p>
        </w:tc>
        <w:tc>
          <w:tcPr/>
          <w:p>
            <w:pPr>
              <w:pStyle w:val="Compact"/>
            </w:pPr>
            <w:r>
              <w:t xml:space="preserve">Surfaced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 obfuscation</w:t>
            </w:r>
          </w:p>
        </w:tc>
        <w:tc>
          <w:tcPr/>
          <w:p>
            <w:pPr>
              <w:pStyle w:val="Compact"/>
            </w:pPr>
            <w:r>
              <w:t xml:space="preserve">MASQUE/QUIC (Mullvad parity)</w:t>
            </w:r>
          </w:p>
        </w:tc>
        <w:tc>
          <w:tcPr/>
          <w:p>
            <w:pPr>
              <w:pStyle w:val="Compact"/>
            </w:pPr>
            <w:r>
              <w:t xml:space="preserve">Hysteria2 + Salamander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01-data-plane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08-phase2-parity-wbs.md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11-deep-research-appendix.md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 client core</w:t>
            </w:r>
          </w:p>
        </w:tc>
        <w:tc>
          <w:tcPr/>
          <w:p>
            <w:pPr>
              <w:pStyle w:val="Compact"/>
            </w:pPr>
            <w:r>
              <w:t xml:space="preserve">Rust + Flutter</w:t>
            </w:r>
          </w:p>
        </w:tc>
        <w:tc>
          <w:tcPr/>
          <w:p>
            <w:pPr>
              <w:pStyle w:val="Compact"/>
            </w:pPr>
            <w:r>
              <w:t xml:space="preserve">Go + Flutter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03-client-core-and-ui.md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11-deep-research-appendix.md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 event bus</w:t>
            </w:r>
          </w:p>
        </w:tc>
        <w:tc>
          <w:tcPr/>
          <w:p>
            <w:pPr>
              <w:pStyle w:val="Compact"/>
            </w:pPr>
            <w:r>
              <w:t xml:space="preserve">Redis Streams → NATS</w:t>
            </w:r>
          </w:p>
        </w:tc>
        <w:tc>
          <w:tcPr/>
          <w:p>
            <w:pPr>
              <w:pStyle w:val="Compact"/>
            </w:pPr>
            <w:r>
              <w:t xml:space="preserve">NATS from start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02-control-plane.md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08-phase2-parity-wbs.md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 subnet collision</w:t>
            </w:r>
          </w:p>
        </w:tc>
        <w:tc>
          <w:tcPr/>
          <w:p>
            <w:pPr>
              <w:pStyle w:val="Compact"/>
            </w:pPr>
            <w:r>
              <w:t xml:space="preserve">IPv6 ULA /48 + 4via6</w:t>
            </w:r>
          </w:p>
        </w:tc>
        <w:tc>
          <w:tcPr/>
          <w:p>
            <w:pPr>
              <w:pStyle w:val="Compact"/>
            </w:pPr>
            <w:r>
              <w:t xml:space="preserve">CGNAT 100.64/10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02-control-plane.md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08-phase2-parity-wbs.md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 edge language</w:t>
            </w:r>
          </w:p>
        </w:tc>
        <w:tc>
          <w:tcPr/>
          <w:p>
            <w:pPr>
              <w:pStyle w:val="Compact"/>
            </w:pPr>
            <w:r>
              <w:t xml:space="preserve">Rust (quinn+h3)</w:t>
            </w:r>
          </w:p>
        </w:tc>
        <w:tc>
          <w:tcPr/>
          <w:p>
            <w:pPr>
              <w:pStyle w:val="Compact"/>
            </w:pPr>
            <w:r>
              <w:t xml:space="preserve">Go (quic-go)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01-data-plane.md</w:t>
            </w:r>
            <w:r>
              <w:t xml:space="preserve">, G4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 transport topology</w:t>
            </w:r>
          </w:p>
        </w:tc>
        <w:tc>
          <w:tcPr/>
          <w:p>
            <w:pPr>
              <w:pStyle w:val="Compact"/>
            </w:pPr>
            <w:r>
              <w:t xml:space="preserve">single protocol</w:t>
            </w:r>
          </w:p>
        </w:tc>
        <w:tc>
          <w:tcPr/>
          <w:p>
            <w:pPr>
              <w:pStyle w:val="Compact"/>
            </w:pPr>
            <w:r>
              <w:t xml:space="preserve">asymmetric per-leg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01-data-plane.md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11-deep-research-appendix.md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 ambition</w:t>
            </w:r>
          </w:p>
        </w:tc>
        <w:tc>
          <w:tcPr/>
          <w:p>
            <w:pPr>
              <w:pStyle w:val="Compact"/>
            </w:pPr>
            <w:r>
              <w:t xml:space="preserve">lean tunnel-first</w:t>
            </w:r>
          </w:p>
        </w:tc>
        <w:tc>
          <w:tcPr/>
          <w:p>
            <w:pPr>
              <w:pStyle w:val="Compact"/>
            </w:pPr>
            <w:r>
              <w:t xml:space="preserve">full Connectivity-OS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00-product-scope-and-principles.md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SPECIFICATION.md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D8 licensing</w:t>
            </w:r>
          </w:p>
        </w:tc>
        <w:tc>
          <w:tcPr/>
          <w:p>
            <w:pPr>
              <w:pStyle w:val="Compact"/>
            </w:pPr>
            <w:r>
              <w:t xml:space="preserve">source-available + commercial</w:t>
            </w:r>
          </w:p>
        </w:tc>
        <w:tc>
          <w:tcPr/>
          <w:p>
            <w:pPr>
              <w:pStyle w:val="Compact"/>
            </w:pPr>
            <w:r>
              <w:t xml:space="preserve">pure OSS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SPECIFICATION.md</w:t>
            </w:r>
            <w:r>
              <w:t xml:space="preserve"> </w:t>
            </w:r>
            <w:r>
              <w:t xml:space="preserve">§9 (pre-Phase-3)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084d4e97bde1bb2c3b1b8aaf3db142e3ea1aacc"/>
    <w:p>
      <w:pPr>
        <w:pStyle w:val="Heading2"/>
      </w:pPr>
      <w:r>
        <w:t xml:space="preserve">5. Honest boundaries</w:t>
      </w:r>
    </w:p>
    <w:p>
      <w:pPr>
        <w:pStyle w:val="Compact"/>
        <w:numPr>
          <w:ilvl w:val="0"/>
          <w:numId w:val="1002"/>
        </w:numPr>
      </w:pPr>
      <w:r>
        <w:t xml:space="preserve">This appendix is an</w:t>
      </w:r>
      <w:r>
        <w:t xml:space="preserve"> </w:t>
      </w:r>
      <w:r>
        <w:rPr>
          <w:b/>
          <w:bCs/>
        </w:rPr>
        <w:t xml:space="preserve">index</w:t>
      </w:r>
      <w:r>
        <w:t xml:space="preserve">; every factual claim is backed by the cited dossier and its sources.</w:t>
      </w:r>
    </w:p>
    <w:p>
      <w:pPr>
        <w:pStyle w:val="Compact"/>
        <w:numPr>
          <w:ilvl w:val="0"/>
          <w:numId w:val="1002"/>
        </w:numPr>
      </w:pPr>
      <w:r>
        <w:t xml:space="preserve">Some values (e.g. exact iOS NE memory limit, future OpenDesign exporter shapes) are marked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in the source dossiers per §11.4.6.</w:t>
      </w:r>
    </w:p>
    <w:p>
      <w:pPr>
        <w:pStyle w:val="Compact"/>
        <w:numPr>
          <w:ilvl w:val="0"/>
          <w:numId w:val="1002"/>
        </w:numPr>
      </w:pPr>
      <w:r>
        <w:t xml:space="preserve">Tool versions are pinned to the access date (2026-06-25) and should be re-verified before procurement.</w:t>
      </w:r>
    </w:p>
    <w:p>
      <w:r>
        <w:pict>
          <v:rect style="width:0;height:1.5pt" o:hralign="center" o:hrstd="t" o:hr="t"/>
        </w:pict>
      </w:r>
    </w:p>
    <w:bookmarkEnd w:id="25"/>
    <w:bookmarkStart w:id="27" w:name="Xc3f093e31e6b6471624b0f36b2f77420b419de7"/>
    <w:p>
      <w:pPr>
        <w:pStyle w:val="Heading2"/>
      </w:pPr>
      <w:r>
        <w:t xml:space="preserve">6. Cross-references</w:t>
      </w:r>
    </w:p>
    <w:p>
      <w:pPr>
        <w:pStyle w:val="Compact"/>
        <w:numPr>
          <w:ilvl w:val="0"/>
          <w:numId w:val="1003"/>
        </w:numPr>
      </w:pPr>
      <w:r>
        <w:t xml:space="preserve">Deep-research appendix →</w:t>
      </w:r>
      <w:r>
        <w:t xml:space="preserve"> </w:t>
      </w:r>
      <w:hyperlink r:id="rId9">
        <w:r>
          <w:rPr>
            <w:rStyle w:val="VerbatimChar"/>
          </w:rPr>
          <w:t xml:space="preserve">../../11-deep-research-appendix.md</w:t>
        </w:r>
      </w:hyperlink>
    </w:p>
    <w:p>
      <w:pPr>
        <w:pStyle w:val="Compact"/>
        <w:numPr>
          <w:ilvl w:val="0"/>
          <w:numId w:val="1003"/>
        </w:numPr>
      </w:pPr>
      <w:r>
        <w:t xml:space="preserve">Cross-doc synthesis →</w:t>
      </w:r>
      <w:r>
        <w:t xml:space="preserve"> </w:t>
      </w:r>
      <w:hyperlink r:id="rId22">
        <w:r>
          <w:rPr>
            <w:rStyle w:val="VerbatimChar"/>
          </w:rPr>
          <w:t xml:space="preserve">../../v09-research/_SYNTHESIS.md</w:t>
        </w:r>
      </w:hyperlink>
    </w:p>
    <w:p>
      <w:pPr>
        <w:pStyle w:val="Compact"/>
        <w:numPr>
          <w:ilvl w:val="0"/>
          <w:numId w:val="1003"/>
        </w:numPr>
      </w:pPr>
      <w:r>
        <w:t xml:space="preserve">Source coverage ledger →</w:t>
      </w:r>
      <w:r>
        <w:t xml:space="preserve"> </w:t>
      </w:r>
      <w:hyperlink r:id="rId26">
        <w:r>
          <w:rPr>
            <w:rStyle w:val="Hyperlink"/>
          </w:rPr>
          <w:t xml:space="preserve">99 — Source Coverage Ledger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Sources: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11-deep-research-appendix.md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v09-research/*.md</w:t>
      </w:r>
      <w:r>
        <w:rPr>
          <w:i/>
          <w:iCs/>
        </w:rPr>
        <w:t xml:space="preserve">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../11-deep-research-appendix.md" TargetMode="External" /><Relationship Type="http://schemas.openxmlformats.org/officeDocument/2006/relationships/hyperlink" Id="rId22" Target="../../v09-research/_SYNTHESIS.md" TargetMode="External" /><Relationship Type="http://schemas.openxmlformats.org/officeDocument/2006/relationships/hyperlink" Id="rId15" Target="../../v09-research/research-daita_test.md" TargetMode="External" /><Relationship Type="http://schemas.openxmlformats.org/officeDocument/2006/relationships/hyperlink" Id="rId19" Target="../../v09-research/research-flutter_ffi.md" TargetMode="External" /><Relationship Type="http://schemas.openxmlformats.org/officeDocument/2006/relationships/hyperlink" Id="rId18" Target="../../v09-research/research-go_cp.md" TargetMode="External" /><Relationship Type="http://schemas.openxmlformats.org/officeDocument/2006/relationships/hyperlink" Id="rId12" Target="../../v09-research/research-hysteria2.md" TargetMode="External" /><Relationship Type="http://schemas.openxmlformats.org/officeDocument/2006/relationships/hyperlink" Id="rId17" Target="../../v09-research/research-ios_android.md" TargetMode="External" /><Relationship Type="http://schemas.openxmlformats.org/officeDocument/2006/relationships/hyperlink" Id="rId11" Target="../../v09-research/research-masque.md" TargetMode="External" /><Relationship Type="http://schemas.openxmlformats.org/officeDocument/2006/relationships/hyperlink" Id="rId14" Target="../../v09-research/research-mullvad.md" TargetMode="External" /><Relationship Type="http://schemas.openxmlformats.org/officeDocument/2006/relationships/hyperlink" Id="rId16" Target="../../v09-research/research-pki_pq_nat.md" TargetMode="External" /><Relationship Type="http://schemas.openxmlformats.org/officeDocument/2006/relationships/hyperlink" Id="rId20" Target="../../v09-research/research-podman_k8s.md" TargetMode="External" /><Relationship Type="http://schemas.openxmlformats.org/officeDocument/2006/relationships/hyperlink" Id="rId13" Target="../../v09-research/research-wireguard.md" TargetMode="External" /><Relationship Type="http://schemas.openxmlformats.org/officeDocument/2006/relationships/hyperlink" Id="rId26" Target="../99-source-coverage-ledger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../11-deep-research-appendix.md" TargetMode="External" /><Relationship Type="http://schemas.openxmlformats.org/officeDocument/2006/relationships/hyperlink" Id="rId22" Target="../../v09-research/_SYNTHESIS.md" TargetMode="External" /><Relationship Type="http://schemas.openxmlformats.org/officeDocument/2006/relationships/hyperlink" Id="rId15" Target="../../v09-research/research-daita_test.md" TargetMode="External" /><Relationship Type="http://schemas.openxmlformats.org/officeDocument/2006/relationships/hyperlink" Id="rId19" Target="../../v09-research/research-flutter_ffi.md" TargetMode="External" /><Relationship Type="http://schemas.openxmlformats.org/officeDocument/2006/relationships/hyperlink" Id="rId18" Target="../../v09-research/research-go_cp.md" TargetMode="External" /><Relationship Type="http://schemas.openxmlformats.org/officeDocument/2006/relationships/hyperlink" Id="rId12" Target="../../v09-research/research-hysteria2.md" TargetMode="External" /><Relationship Type="http://schemas.openxmlformats.org/officeDocument/2006/relationships/hyperlink" Id="rId17" Target="../../v09-research/research-ios_android.md" TargetMode="External" /><Relationship Type="http://schemas.openxmlformats.org/officeDocument/2006/relationships/hyperlink" Id="rId11" Target="../../v09-research/research-masque.md" TargetMode="External" /><Relationship Type="http://schemas.openxmlformats.org/officeDocument/2006/relationships/hyperlink" Id="rId14" Target="../../v09-research/research-mullvad.md" TargetMode="External" /><Relationship Type="http://schemas.openxmlformats.org/officeDocument/2006/relationships/hyperlink" Id="rId16" Target="../../v09-research/research-pki_pq_nat.md" TargetMode="External" /><Relationship Type="http://schemas.openxmlformats.org/officeDocument/2006/relationships/hyperlink" Id="rId20" Target="../../v09-research/research-podman_k8s.md" TargetMode="External" /><Relationship Type="http://schemas.openxmlformats.org/officeDocument/2006/relationships/hyperlink" Id="rId13" Target="../../v09-research/research-wireguard.md" TargetMode="External" /><Relationship Type="http://schemas.openxmlformats.org/officeDocument/2006/relationships/hyperlink" Id="rId26" Target="../99-source-coverage-ledger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 — Appendix: Research</dc:title>
  <dc:creator/>
  <cp:keywords/>
  <dcterms:created xsi:type="dcterms:W3CDTF">2026-07-05T15:06:56Z</dcterms:created>
  <dcterms:modified xsi:type="dcterms:W3CDTF">2026-07-05T15:06:56Z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