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99 — Source Coverage Ledger</w:t>
      </w:r>
    </w:p>
    <w:bookmarkStart w:id="36" w:name="X20a7b7e57a6f70d17980f95c8e0b89e812a4216"/>
    <w:p>
      <w:pPr>
        <w:pStyle w:val="Heading1"/>
      </w:pPr>
      <w:r>
        <w:t xml:space="preserve">99 — Source Coverage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2026-07-05T14:20:00Z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 — consolidated from</w:t>
      </w:r>
      <w:r>
        <w:t xml:space="preserve"> </w:t>
      </w:r>
      <w:r>
        <w:rPr>
          <w:rStyle w:val="VerbatimChar"/>
        </w:rPr>
        <w:t xml:space="preserve">99-source-coverage-ledger.md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X28271128f2cb80b986bc9367facd835b2666a4d"/>
    <w:p>
      <w:pPr>
        <w:pStyle w:val="Heading2"/>
      </w:pPr>
      <w:r>
        <w:t xml:space="preserve">1. Position</w:t>
      </w:r>
    </w:p>
    <w:p>
      <w:pPr>
        <w:pStyle w:val="FirstParagraph"/>
      </w:pPr>
      <w:r>
        <w:t xml:space="preserve">This section is the §11.4.118 proof-of-completeness for the MVP documentation consolidation. It maps every canonical source document in</w:t>
      </w:r>
      <w:r>
        <w:t xml:space="preserve"> </w:t>
      </w:r>
      <w:r>
        <w:rPr>
          <w:rStyle w:val="VerbatimChar"/>
        </w:rPr>
        <w:t xml:space="preserve">docs/research/mvp/final/</w:t>
      </w:r>
      <w:r>
        <w:t xml:space="preserve"> </w:t>
      </w:r>
      <w:r>
        <w:t xml:space="preserve">to the implementation section that carries its distinctive content, and it surfaces any source ideas that are not yet fully reflected.</w:t>
      </w:r>
    </w:p>
    <w:p>
      <w:pPr>
        <w:pStyle w:val="BodyText"/>
      </w:pPr>
      <w:r>
        <w:t xml:space="preserve">The authoritative version lives at</w:t>
      </w:r>
      <w:r>
        <w:t xml:space="preserve"> </w:t>
      </w:r>
      <w:hyperlink r:id="rId9">
        <w:r>
          <w:rPr>
            <w:rStyle w:val="VerbatimChar"/>
          </w:rPr>
          <w:t xml:space="preserve">../../99-source-coverage-ledger.md</w:t>
        </w:r>
      </w:hyperlink>
      <w:r>
        <w:t xml:space="preserve">; this README is the navigable consolidation.</w:t>
      </w:r>
    </w:p>
    <w:p>
      <w:r>
        <w:pict>
          <v:rect style="width:0;height:1.5pt" o:hralign="center" o:hrstd="t" o:hr="t"/>
        </w:pict>
      </w:r>
    </w:p>
    <w:bookmarkEnd w:id="10"/>
    <w:bookmarkStart w:id="26" w:name="X78660b988bf00094096f1fdacaea848a380c4e3"/>
    <w:p>
      <w:pPr>
        <w:pStyle w:val="Heading2"/>
      </w:pPr>
      <w:r>
        <w:t xml:space="preserve">2. Source → implementation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Implementation section(s)</w:t>
            </w:r>
          </w:p>
        </w:tc>
        <w:tc>
          <w:tcPr/>
          <w:p>
            <w:pPr>
              <w:pStyle w:val="Compact"/>
            </w:pPr>
            <w:r>
              <w:t xml:space="preserve">Distinctive contribution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SPECIFICATION.md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 — Executive Summary</w:t>
              </w:r>
            </w:hyperlink>
            <w:r>
              <w:t xml:space="preserve">,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02 — System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Architectural spine, roles, principles, roadmap, decision 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00-product-scope-and-principles.md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01 — Product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Product definition, personas, scope, parity matrix, decisions D1–D8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01-data-plane.md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— Data Plane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trait, transports, routing, multihop, MTU, DAITA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02-control-plane.md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— Control Plane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08 — API Contracts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Go monolith, data model, events, coordinator, API, reconciliation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03-client-core-and-ui.md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05 — Client Core &amp; UI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FFI surface, Flutter UI, platform shims, state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04-security-privacy-pki.md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06 — Security, Privacy &amp; PKI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Zero-trust, identity, PKI, no-logging, kill-switch, PQ, threat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05-repo-layout-tooling-and-helix-ecosystem.md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07 — Infrastructure &amp; DevOps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 layout, codegen,</w:t>
            </w:r>
            <w:r>
              <w:t xml:space="preserve"> </w:t>
            </w:r>
            <w:r>
              <w:rPr>
                <w:rStyle w:val="VerbatimChar"/>
              </w:rPr>
              <w:t xml:space="preserve">helixvpnctl</w:t>
            </w:r>
            <w:r>
              <w:t xml:space="preserve">, substrates, ecosystem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06-phase0-spike-wbs.md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11 — Guides &amp; FAQs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Phase-0 gates G1–G6, milestones S0–S8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07-phase1-mvp-wbs.md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11 — Guides &amp; FAQs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Phase-1 MVP WBS, 8-criteria DoD, SLOs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08-phase2-parity-wbs.md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11 — Guides &amp; FAQs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Phase-2 parity WBS, P2-AC + SLOs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09-phase3-reach-wbs.md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11 — Guides &amp; FAQs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Phase-3 extended-reach WBS, gates G20–G26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10-testing-acceptance-and-qa.md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09 — Testing &amp; QA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§11.4.169 test types, evidence model, acceptance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11-deep-research-appendix.md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12 — Appendix: 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Consolidated cited research (10 angles)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99-source-coverage-ledger.md</w:t>
            </w:r>
          </w:p>
        </w:tc>
        <w:tc>
          <w:tcPr/>
          <w:p>
            <w:pPr>
              <w:pStyle w:val="Compact"/>
            </w:pPr>
            <w:r>
              <w:t xml:space="preserve">this section</w:t>
            </w:r>
          </w:p>
        </w:tc>
        <w:tc>
          <w:tcPr/>
          <w:p>
            <w:pPr>
              <w:pStyle w:val="Compact"/>
            </w:pPr>
            <w:r>
              <w:t xml:space="preserve">Source-coverage proof and residual gaps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MASTER_INDEX.md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 — Executive 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document tree, statuses, quality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REFINEMENT_NOTES.md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 — Executive 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Pass-1→pass-N punch-list</w:t>
            </w:r>
          </w:p>
        </w:tc>
      </w:tr>
    </w:tbl>
    <w:bookmarkStart w:id="24" w:name="nano-detail-volumes"/>
    <w:p>
      <w:pPr>
        <w:pStyle w:val="Heading3"/>
      </w:pPr>
      <w:r>
        <w:t xml:space="preserve">Nano-detail volumes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Implementation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 Meta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v00-meta/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</w:t>
              </w:r>
            </w:hyperlink>
            <w:r>
              <w:t xml:space="preserve">, this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Product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v01-product/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01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08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V2 Data Plane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V3 Control Plane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v03-control-plane/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08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V4 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v04-client/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V5 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v05-security/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V6 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v06-deploy/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V7 Execution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v07-execution/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V8 Testing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v08-testing/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V9 Research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v09-research/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V10 Design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v10-design/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10</w:t>
              </w:r>
            </w:hyperlink>
          </w:p>
        </w:tc>
      </w:tr>
    </w:tbl>
    <w:bookmarkEnd w:id="24"/>
    <w:bookmarkStart w:id="25" w:name="external-design-system-index"/>
    <w:p>
      <w:pPr>
        <w:pStyle w:val="Heading3"/>
      </w:pPr>
      <w:r>
        <w:t xml:space="preserve">External design-system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Implementation 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docs/design/README.md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10 — Design System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1" w:name="X36bcf0ccfb09c4efe820d2f406cbf951e32b695"/>
    <w:p>
      <w:pPr>
        <w:pStyle w:val="Heading2"/>
      </w:pPr>
      <w:r>
        <w:t xml:space="preserve">3. Residual coverage gaps</w:t>
      </w:r>
    </w:p>
    <w:p>
      <w:pPr>
        <w:pStyle w:val="FirstParagraph"/>
      </w:pPr>
      <w:r>
        <w:t xml:space="preserve">The following distinctive source ideas are deliberately not adopted or are recorded as open.</w:t>
      </w:r>
    </w:p>
    <w:bookmarkStart w:id="27" w:name="X6762078a9ce6aa0798f304aed195ef5d37429c7"/>
    <w:p>
      <w:pPr>
        <w:pStyle w:val="Heading3"/>
      </w:pPr>
      <w:r>
        <w:t xml:space="preserve">G1 —</w:t>
      </w:r>
      <w:r>
        <w:t xml:space="preserve"> </w:t>
      </w:r>
      <w:r>
        <w:rPr>
          <w:rStyle w:val="VerbatimChar"/>
        </w:rPr>
        <w:t xml:space="preserve">[03_ZAI]</w:t>
      </w:r>
      <w:r>
        <w:t xml:space="preserve"> </w:t>
      </w:r>
      <w:r>
        <w:t xml:space="preserve">disaster-recovery completeness — ✅ RESOLVED</w:t>
      </w:r>
    </w:p>
    <w:p>
      <w:pPr>
        <w:pStyle w:val="FirstParagraph"/>
      </w:pP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now consolidates the RTO/RPO budget, KMS-encrypted backups, and Terraform-driven region-failover runbook that the original ledger called for. Independently re-verified 2026-07-04. No further action.</w:t>
      </w:r>
    </w:p>
    <w:p>
      <w:pPr>
        <w:pStyle w:val="BlockText"/>
      </w:pPr>
      <w:r>
        <w:rPr>
          <w:b/>
          <w:bCs/>
        </w:rPr>
        <w:t xml:space="preserve">Traceability note:</w:t>
      </w:r>
      <w:r>
        <w:t xml:space="preserve"> </w:t>
      </w:r>
      <w:r>
        <w:t xml:space="preserve">This resolves the documentation side of requirements-traceability</w:t>
      </w:r>
      <w:r>
        <w:t xml:space="preserve"> </w:t>
      </w:r>
      <w:r>
        <w:rPr>
          <w:b/>
          <w:bCs/>
        </w:rPr>
        <w:t xml:space="preserve">GAP-3</w:t>
      </w:r>
      <w:r>
        <w:t xml:space="preserve"> </w:t>
      </w:r>
      <w:r>
        <w:t xml:space="preserve">(NFR-205 DR RTO/RPO targets are still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pending the first</w:t>
      </w:r>
      <w:r>
        <w:t xml:space="preserve"> </w:t>
      </w:r>
      <w:r>
        <w:rPr>
          <w:b/>
          <w:bCs/>
        </w:rPr>
        <w:t xml:space="preserve">CHAOS region-failover drill in Phase 2</w:t>
      </w:r>
      <w:r>
        <w:t xml:space="preserve"> </w:t>
      </w:r>
      <w:r>
        <w:t xml:space="preserve">— a measurement deferral, not a missing doc).</w:t>
      </w:r>
    </w:p>
    <w:bookmarkEnd w:id="27"/>
    <w:bookmarkStart w:id="28" w:name="X1cbceaa80dea5427f9d4a9512adac4b7ba0aee7"/>
    <w:p>
      <w:pPr>
        <w:pStyle w:val="Heading3"/>
      </w:pPr>
      <w:r>
        <w:t xml:space="preserve">G2 —</w:t>
      </w:r>
      <w:r>
        <w:t xml:space="preserve"> </w:t>
      </w:r>
      <w:r>
        <w:rPr>
          <w:rStyle w:val="VerbatimChar"/>
        </w:rPr>
        <w:t xml:space="preserve">[06_GRK]</w:t>
      </w:r>
      <w:r>
        <w:t xml:space="preserve"> </w:t>
      </w:r>
      <w:r>
        <w:t xml:space="preserve">sing-box transport framework — deliberate divergence</w:t>
      </w:r>
    </w:p>
    <w:p>
      <w:pPr>
        <w:pStyle w:val="FirstParagraph"/>
      </w:pPr>
      <w:r>
        <w:rPr>
          <w:b/>
          <w:bCs/>
        </w:rPr>
        <w:t xml:space="preserve">Proposed:</w:t>
      </w:r>
      <w:r>
        <w:t xml:space="preserve"> </w:t>
      </w:r>
      <w:r>
        <w:t xml:space="preserve">use sing-box as the universal transport multiplexer.</w:t>
      </w:r>
      <w:r>
        <w:t xml:space="preserve"> </w:t>
      </w:r>
      <w:r>
        <w:rPr>
          <w:b/>
          <w:bCs/>
        </w:rPr>
        <w:t xml:space="preserve">Decision:</w:t>
      </w:r>
      <w:r>
        <w:t xml:space="preserve"> </w:t>
      </w:r>
      <w:r>
        <w:rPr>
          <w:b/>
          <w:bCs/>
        </w:rPr>
        <w:t xml:space="preserve">not adopted</w:t>
      </w:r>
      <w:r>
        <w:t xml:space="preserve">. The protocols it carries (Hysteria2, Shadowsocks, UDP-over-TCP) are reflected in the Phase-2 transport set, but the framework itself conflicts with the Rust-core decision and the iOS NE memory ceiling. The custom Rust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crate gives byte-for-byte client↔edge reuse.</w:t>
      </w:r>
    </w:p>
    <w:p>
      <w:pPr>
        <w:pStyle w:val="BodyText"/>
      </w:pPr>
      <w:r>
        <w:rPr>
          <w:b/>
          <w:bCs/>
        </w:rPr>
        <w:t xml:space="preserve">Rationale recorded:</w:t>
      </w:r>
      <w:r>
        <w:t xml:space="preserve"> </w:t>
      </w:r>
      <w:r>
        <w:rPr>
          <w:rStyle w:val="VerbatimChar"/>
        </w:rPr>
        <w:t xml:space="preserve">99-source-coverage-ledger.md</w:t>
      </w:r>
      <w:r>
        <w:t xml:space="preserve"> </w:t>
      </w:r>
      <w:r>
        <w:t xml:space="preserve">§G2 and</w:t>
      </w:r>
      <w:r>
        <w:t xml:space="preserve"> </w:t>
      </w:r>
      <w:hyperlink r:id="rId14">
        <w:r>
          <w:rPr>
            <w:rStyle w:val="Hyperlink"/>
          </w:rPr>
          <w:t xml:space="preserve">`03 — Data Plane</w:t>
        </w:r>
      </w:hyperlink>
      <w:r>
        <w:t xml:space="preserve">.</w:t>
      </w:r>
    </w:p>
    <w:bookmarkEnd w:id="28"/>
    <w:bookmarkStart w:id="29" w:name="X2157701e48bc9ef8a44362783d497452b72eadd"/>
    <w:p>
      <w:pPr>
        <w:pStyle w:val="Heading3"/>
      </w:pPr>
      <w:r>
        <w:t xml:space="preserve">G3 —</w:t>
      </w:r>
      <w:r>
        <w:t xml:space="preserve"> </w:t>
      </w:r>
      <w:r>
        <w:rPr>
          <w:rStyle w:val="VerbatimChar"/>
        </w:rPr>
        <w:t xml:space="preserve">[09_GCT]</w:t>
      </w:r>
      <w:r>
        <w:t xml:space="preserve"> </w:t>
      </w:r>
      <w:r>
        <w:t xml:space="preserve">Fyne desktop UI — deliberate divergence</w:t>
      </w:r>
    </w:p>
    <w:p>
      <w:pPr>
        <w:pStyle w:val="FirstParagraph"/>
      </w:pPr>
      <w:r>
        <w:rPr>
          <w:b/>
          <w:bCs/>
        </w:rPr>
        <w:t xml:space="preserve">Proposed:</w:t>
      </w:r>
      <w:r>
        <w:t xml:space="preserve"> </w:t>
      </w:r>
      <w:r>
        <w:t xml:space="preserve">use Fyne for desktop/web client.</w:t>
      </w:r>
      <w:r>
        <w:t xml:space="preserve"> </w:t>
      </w:r>
      <w:r>
        <w:rPr>
          <w:b/>
          <w:bCs/>
        </w:rPr>
        <w:t xml:space="preserve">Decision:</w:t>
      </w:r>
      <w:r>
        <w:t xml:space="preserve"> </w:t>
      </w:r>
      <w:r>
        <w:rPr>
          <w:b/>
          <w:bCs/>
        </w:rPr>
        <w:t xml:space="preserve">not adopted</w:t>
      </w:r>
      <w:r>
        <w:t xml:space="preserve">. Flutter reaches all 8 required platforms (including Aurora OS and HarmonyOS NEXT) with one codebase and a shared</w:t>
      </w:r>
      <w:r>
        <w:t xml:space="preserve"> </w:t>
      </w:r>
      <w:r>
        <w:rPr>
          <w:rStyle w:val="VerbatimChar"/>
        </w:rPr>
        <w:t xml:space="preserve">helix_design</w:t>
      </w:r>
      <w:r>
        <w:t xml:space="preserve"> </w:t>
      </w:r>
      <w:r>
        <w:t xml:space="preserve">system. Fyne lacks mobile/niche-OS reach.</w:t>
      </w:r>
    </w:p>
    <w:p>
      <w:pPr>
        <w:pStyle w:val="BodyText"/>
      </w:pPr>
      <w:r>
        <w:rPr>
          <w:b/>
          <w:bCs/>
        </w:rPr>
        <w:t xml:space="preserve">Rationale recorded:</w:t>
      </w:r>
      <w:r>
        <w:t xml:space="preserve"> </w:t>
      </w:r>
      <w:r>
        <w:rPr>
          <w:rStyle w:val="VerbatimChar"/>
        </w:rPr>
        <w:t xml:space="preserve">99-source-coverage-ledger.md</w:t>
      </w:r>
      <w:r>
        <w:t xml:space="preserve"> </w:t>
      </w:r>
      <w:r>
        <w:t xml:space="preserve">§G3 and</w:t>
      </w:r>
      <w:r>
        <w:t xml:space="preserve"> </w:t>
      </w:r>
      <w:hyperlink r:id="rId17">
        <w:r>
          <w:rPr>
            <w:rStyle w:val="Hyperlink"/>
          </w:rPr>
          <w:t xml:space="preserve">`05 — Client Core &amp; UI</w:t>
        </w:r>
      </w:hyperlink>
      <w:r>
        <w:t xml:space="preserve">.</w:t>
      </w:r>
    </w:p>
    <w:bookmarkEnd w:id="29"/>
    <w:bookmarkStart w:id="30" w:name="X2d269caef2d065ef66060a32c893f18e0b9ea28"/>
    <w:p>
      <w:pPr>
        <w:pStyle w:val="Heading3"/>
      </w:pPr>
      <w:r>
        <w:t xml:space="preserve">GAP cross-check (</w:t>
      </w:r>
      <w:r>
        <w:rPr>
          <w:rStyle w:val="VerbatimChar"/>
        </w:rPr>
        <w:t xml:space="preserve">requirements-traceability.md</w:t>
      </w:r>
      <w:r>
        <w:t xml:space="preserve"> </w:t>
      </w:r>
      <w:r>
        <w:t xml:space="preserve">register)</w:t>
      </w:r>
    </w:p>
    <w:p>
      <w:pPr>
        <w:pStyle w:val="FirstParagraph"/>
      </w:pPr>
      <w:r>
        <w:t xml:space="preserve">The independent GAP-1..GAP-6 register in</w:t>
      </w:r>
      <w:r>
        <w:t xml:space="preserve"> </w:t>
      </w:r>
      <w:r>
        <w:rPr>
          <w:rStyle w:val="VerbatimChar"/>
        </w:rPr>
        <w:t xml:space="preserve">v00-meta/requirements-traceability.md</w:t>
      </w:r>
      <w:r>
        <w:t xml:space="preserve"> </w:t>
      </w:r>
      <w:r>
        <w:t xml:space="preserve">is kept current with this consolidation: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GAP-1</w:t>
            </w:r>
          </w:p>
        </w:tc>
        <w:tc>
          <w:tcPr/>
          <w:p>
            <w:pPr>
              <w:pStyle w:val="Compact"/>
            </w:pPr>
            <w:r>
              <w:t xml:space="preserve">Closed in source docs</w:t>
            </w:r>
          </w:p>
        </w:tc>
        <w:tc>
          <w:tcPr/>
          <w:p>
            <w:pPr>
              <w:pStyle w:val="Compact"/>
            </w:pPr>
            <w:r>
              <w:t xml:space="preserve">local-ACL × central-policy precedence pinned in</w:t>
            </w:r>
            <w:r>
              <w:t xml:space="preserve"> </w:t>
            </w:r>
            <w:r>
              <w:rPr>
                <w:rStyle w:val="VerbatimChar"/>
              </w:rPr>
              <w:t xml:space="preserve">v03-control-plane/svc-policy.md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GAP-2</w:t>
            </w:r>
          </w:p>
        </w:tc>
        <w:tc>
          <w:tcPr/>
          <w:p>
            <w:pPr>
              <w:pStyle w:val="Compact"/>
            </w:pPr>
            <w:r>
              <w:t xml:space="preserve">Intentional / documented</w:t>
            </w:r>
          </w:p>
        </w:tc>
        <w:tc>
          <w:tcPr/>
          <w:p>
            <w:pPr>
              <w:pStyle w:val="Compact"/>
            </w:pPr>
            <w:r>
              <w:t xml:space="preserve">FR-1103 (Rosenpass) is an evaluation, not a runtime capability; no runtime test type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GAP-3</w:t>
            </w:r>
          </w:p>
        </w:tc>
        <w:tc>
          <w:tcPr/>
          <w:p>
            <w:pPr>
              <w:pStyle w:val="Compact"/>
            </w:pPr>
            <w:r>
              <w:t xml:space="preserve">Doc-level closed</w:t>
            </w:r>
          </w:p>
        </w:tc>
        <w:tc>
          <w:tcPr/>
          <w:p>
            <w:pPr>
              <w:pStyle w:val="Compact"/>
            </w:pPr>
            <w:r>
              <w:t xml:space="preserve">NFR-205 RTO/RPO targets remain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until the first Phase-2 CHAOS region-failover drill measures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GAP-4</w:t>
            </w:r>
          </w:p>
        </w:tc>
        <w:tc>
          <w:tcPr/>
          <w:p>
            <w:pPr>
              <w:pStyle w:val="Compact"/>
            </w:pPr>
            <w:r>
              <w:t xml:space="preserve">Closed in source docs</w:t>
            </w:r>
          </w:p>
        </w:tc>
        <w:tc>
          <w:tcPr/>
          <w:p>
            <w:pPr>
              <w:pStyle w:val="Compact"/>
            </w:pPr>
            <w:r>
              <w:t xml:space="preserve">Single owning doc created:</w:t>
            </w:r>
            <w:r>
              <w:t xml:space="preserve"> </w:t>
            </w:r>
            <w:r>
              <w:rPr>
                <w:rStyle w:val="VerbatimChar"/>
              </w:rPr>
              <w:t xml:space="preserve">v04-client/connector.md</w:t>
            </w:r>
            <w:r>
              <w:t xml:space="preserve"> </w:t>
            </w:r>
            <w:r>
              <w:t xml:space="preserve">consolidates FR-701..707 and the advertise/route/registry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GAP-5</w:t>
            </w:r>
          </w:p>
        </w:tc>
        <w:tc>
          <w:tcPr/>
          <w:p>
            <w:pPr>
              <w:pStyle w:val="Compact"/>
            </w:pPr>
            <w:r>
              <w:t xml:space="preserve">Closed at doc level</w:t>
            </w:r>
          </w:p>
        </w:tc>
        <w:tc>
          <w:tcPr/>
          <w:p>
            <w:pPr>
              <w:pStyle w:val="Compact"/>
            </w:pPr>
            <w:r>
              <w:t xml:space="preserve">All 15</w:t>
            </w:r>
            <w:r>
              <w:t xml:space="preserve"> </w:t>
            </w:r>
            <w:r>
              <w:rPr>
                <w:rStyle w:val="VerbatimChar"/>
              </w:rPr>
              <w:t xml:space="preserve">v08-testing/</w:t>
            </w:r>
            <w:r>
              <w:t xml:space="preserve"> </w:t>
            </w:r>
            <w:r>
              <w:t xml:space="preserve">docs +</w:t>
            </w:r>
            <w:r>
              <w:t xml:space="preserve"> </w:t>
            </w:r>
            <w:r>
              <w:rPr>
                <w:rStyle w:val="VerbatimChar"/>
              </w:rPr>
              <w:t xml:space="preserve">coverage-ledger-schema.md</w:t>
            </w:r>
            <w:r>
              <w:t xml:space="preserve"> </w:t>
            </w:r>
            <w:r>
              <w:t xml:space="preserve">authored; evidence states are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in spec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GAP-6</w:t>
            </w:r>
          </w:p>
        </w:tc>
        <w:tc>
          <w:tcPr/>
          <w:p>
            <w:pPr>
              <w:pStyle w:val="Compact"/>
            </w:pPr>
            <w:r>
              <w:t xml:space="preserve">Closed in source docs</w:t>
            </w:r>
          </w:p>
        </w:tc>
        <w:tc>
          <w:tcPr/>
          <w:p>
            <w:pPr>
              <w:pStyle w:val="Compact"/>
            </w:pPr>
            <w:r>
              <w:t xml:space="preserve">NFR-413/NFR-414/FR-610 added to pin</w:t>
            </w:r>
            <w:r>
              <w:t xml:space="preserve"> </w:t>
            </w:r>
            <w:r>
              <w:rPr>
                <w:rStyle w:val="VerbatimChar"/>
              </w:rPr>
              <w:t xml:space="preserve">DDOS</w:t>
            </w:r>
            <w:r>
              <w:t xml:space="preserve">/RBAC/rate-limiting owners; quantitative targets remain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until Phase-2 benchmarks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X3ccd0a19cf1f623a3410555d4cdedd8266605ae"/>
    <w:p>
      <w:pPr>
        <w:pStyle w:val="Heading2"/>
      </w:pPr>
      <w:r>
        <w:t xml:space="preserve">4. Decision coverage cross-check</w:t>
      </w:r>
    </w:p>
    <w:p>
      <w:pPr>
        <w:pStyle w:val="FirstParagraph"/>
      </w:pPr>
      <w:r>
        <w:t xml:space="preserve">All eight key decisions are surfaced explicitly in</w:t>
      </w:r>
      <w:r>
        <w:t xml:space="preserve"> </w:t>
      </w:r>
      <w:r>
        <w:rPr>
          <w:rStyle w:val="VerbatimChar"/>
        </w:rPr>
        <w:t xml:space="preserve">final/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Camp A</w:t>
            </w:r>
          </w:p>
        </w:tc>
        <w:tc>
          <w:tcPr/>
          <w:p>
            <w:pPr>
              <w:pStyle w:val="Compact"/>
            </w:pPr>
            <w:r>
              <w:t xml:space="preserve">Camp B</w:t>
            </w:r>
          </w:p>
        </w:tc>
        <w:tc>
          <w:tcPr/>
          <w:p>
            <w:pPr>
              <w:pStyle w:val="Compact"/>
            </w:pPr>
            <w:r>
              <w:t xml:space="preserve">Surfaced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 obfuscation</w:t>
            </w:r>
          </w:p>
        </w:tc>
        <w:tc>
          <w:tcPr/>
          <w:p>
            <w:pPr>
              <w:pStyle w:val="Compact"/>
            </w:pPr>
            <w:r>
              <w:t xml:space="preserve">MASQUE/QUIC</w:t>
            </w:r>
          </w:p>
        </w:tc>
        <w:tc>
          <w:tcPr/>
          <w:p>
            <w:pPr>
              <w:pStyle w:val="Compact"/>
            </w:pPr>
            <w:r>
              <w:t xml:space="preserve">Hysteria2 + Salamander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01-data-plane.md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08-phase2-parity-wbs.md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11-deep-research-appendix.md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client core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03-client-core-and-ui.md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11-deep-research-appendix.md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event bus</w:t>
            </w:r>
          </w:p>
        </w:tc>
        <w:tc>
          <w:tcPr/>
          <w:p>
            <w:pPr>
              <w:pStyle w:val="Compact"/>
            </w:pPr>
            <w:r>
              <w:t xml:space="preserve">Redis → NATS</w:t>
            </w:r>
          </w:p>
        </w:tc>
        <w:tc>
          <w:tcPr/>
          <w:p>
            <w:pPr>
              <w:pStyle w:val="Compact"/>
            </w:pPr>
            <w:r>
              <w:t xml:space="preserve">NATS from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02-control-plane.md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08-phase2-parity-wbs.md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 subnet collision</w:t>
            </w:r>
          </w:p>
        </w:tc>
        <w:tc>
          <w:tcPr/>
          <w:p>
            <w:pPr>
              <w:pStyle w:val="Compact"/>
            </w:pPr>
            <w:r>
              <w:t xml:space="preserve">ULA/4via6</w:t>
            </w:r>
          </w:p>
        </w:tc>
        <w:tc>
          <w:tcPr/>
          <w:p>
            <w:pPr>
              <w:pStyle w:val="Compact"/>
            </w:pPr>
            <w:r>
              <w:t xml:space="preserve">CGNAT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02-control-plane.md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08-phase2-parity-wbs.md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 edge language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01-data-plane.md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06-phase0-spike-wbs.md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 transport topology</w:t>
            </w:r>
          </w:p>
        </w:tc>
        <w:tc>
          <w:tcPr/>
          <w:p>
            <w:pPr>
              <w:pStyle w:val="Compact"/>
            </w:pPr>
            <w:r>
              <w:t xml:space="preserve">single protocol</w:t>
            </w:r>
          </w:p>
        </w:tc>
        <w:tc>
          <w:tcPr/>
          <w:p>
            <w:pPr>
              <w:pStyle w:val="Compact"/>
            </w:pPr>
            <w:r>
              <w:t xml:space="preserve">asymmetric per-leg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01-data-plane.md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11-deep-research-appendix.md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 ambition</w:t>
            </w:r>
          </w:p>
        </w:tc>
        <w:tc>
          <w:tcPr/>
          <w:p>
            <w:pPr>
              <w:pStyle w:val="Compact"/>
            </w:pPr>
            <w: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Connectivity-OS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00-product-scope-and-principles.md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SPECIFICATION.md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 licensing</w:t>
            </w:r>
          </w:p>
        </w:tc>
        <w:tc>
          <w:tcPr/>
          <w:p>
            <w:pPr>
              <w:pStyle w:val="Compact"/>
            </w:pPr>
            <w:r>
              <w:t xml:space="preserve">source-available + commercial</w:t>
            </w:r>
          </w:p>
        </w:tc>
        <w:tc>
          <w:tcPr/>
          <w:p>
            <w:pPr>
              <w:pStyle w:val="Compact"/>
            </w:pPr>
            <w:r>
              <w:t xml:space="preserve">pure OSS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SPECIFICATION.md</w:t>
            </w:r>
            <w:r>
              <w:t xml:space="preserve"> </w:t>
            </w:r>
            <w:r>
              <w:t xml:space="preserve">§9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5" w:name="Xdcd01eeda070e4f23eb97ba942922e37fcb747e"/>
    <w:p>
      <w:pPr>
        <w:pStyle w:val="Heading2"/>
      </w:pPr>
      <w:r>
        <w:t xml:space="preserve">5. Cross-references</w:t>
      </w:r>
    </w:p>
    <w:p>
      <w:pPr>
        <w:pStyle w:val="Compact"/>
        <w:numPr>
          <w:ilvl w:val="0"/>
          <w:numId w:val="1001"/>
        </w:numPr>
      </w:pPr>
      <w:r>
        <w:t xml:space="preserve">Authoritative ledger →</w:t>
      </w:r>
      <w:r>
        <w:t xml:space="preserve"> </w:t>
      </w:r>
      <w:hyperlink r:id="rId9">
        <w:r>
          <w:rPr>
            <w:rStyle w:val="VerbatimChar"/>
          </w:rPr>
          <w:t xml:space="preserve">../../99-source-coverage-ledger.md</w:t>
        </w:r>
      </w:hyperlink>
    </w:p>
    <w:p>
      <w:pPr>
        <w:pStyle w:val="Compact"/>
        <w:numPr>
          <w:ilvl w:val="0"/>
          <w:numId w:val="1001"/>
        </w:numPr>
      </w:pPr>
      <w:r>
        <w:t xml:space="preserve">Synthesis evidence base →</w:t>
      </w:r>
      <w:r>
        <w:t xml:space="preserve"> </w:t>
      </w:r>
      <w:hyperlink r:id="rId33">
        <w:r>
          <w:rPr>
            <w:rStyle w:val="VerbatimChar"/>
          </w:rPr>
          <w:t xml:space="preserve">../../v09-research/_SYNTHESIS.md</w:t>
        </w:r>
      </w:hyperlink>
    </w:p>
    <w:p>
      <w:pPr>
        <w:pStyle w:val="Compact"/>
        <w:numPr>
          <w:ilvl w:val="0"/>
          <w:numId w:val="1001"/>
        </w:numPr>
      </w:pPr>
      <w:r>
        <w:t xml:space="preserve">Gap analysis →</w:t>
      </w:r>
      <w:r>
        <w:t xml:space="preserve"> </w:t>
      </w:r>
      <w:hyperlink r:id="rId34">
        <w:r>
          <w:rPr>
            <w:rStyle w:val="VerbatimChar"/>
          </w:rPr>
          <w:t xml:space="preserve">../../../../../reviews/mvp-final/findings/phase1-docs-gap-analysis.md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docs/research/mvp/final/99-source-coverage-ledger.md</w:t>
      </w:r>
      <w:r>
        <w:rPr>
          <w:i/>
          <w:iCs/>
        </w:rP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../../../../../reviews/mvp-final/findings/phase1-docs-gap-analysis.md" TargetMode="External" /><Relationship Type="http://schemas.openxmlformats.org/officeDocument/2006/relationships/hyperlink" Id="rId9" Target="../../99-source-coverage-ledger.md" TargetMode="External" /><Relationship Type="http://schemas.openxmlformats.org/officeDocument/2006/relationships/hyperlink" Id="rId33" Target="../../v09-research/_SYNTHESIS.md" TargetMode="External" /><Relationship Type="http://schemas.openxmlformats.org/officeDocument/2006/relationships/hyperlink" Id="rId11" Target="../00-executive-summary/README.md" TargetMode="External" /><Relationship Type="http://schemas.openxmlformats.org/officeDocument/2006/relationships/hyperlink" Id="rId13" Target="../01-product-scope/README.md" TargetMode="External" /><Relationship Type="http://schemas.openxmlformats.org/officeDocument/2006/relationships/hyperlink" Id="rId12" Target="../02-system-architecture/README.md" TargetMode="External" /><Relationship Type="http://schemas.openxmlformats.org/officeDocument/2006/relationships/hyperlink" Id="rId14" Target="../03-data-plane/README.md" TargetMode="External" /><Relationship Type="http://schemas.openxmlformats.org/officeDocument/2006/relationships/hyperlink" Id="rId15" Target="../04-control-plane/README.md" TargetMode="External" /><Relationship Type="http://schemas.openxmlformats.org/officeDocument/2006/relationships/hyperlink" Id="rId17" Target="../05-client-core-ui/README.md" TargetMode="External" /><Relationship Type="http://schemas.openxmlformats.org/officeDocument/2006/relationships/hyperlink" Id="rId18" Target="../06-security-privacy-pki/README.md" TargetMode="External" /><Relationship Type="http://schemas.openxmlformats.org/officeDocument/2006/relationships/hyperlink" Id="rId19" Target="../07-infrastructure-devops/README.md" TargetMode="External" /><Relationship Type="http://schemas.openxmlformats.org/officeDocument/2006/relationships/hyperlink" Id="rId16" Target="../08-api-contracts/README.md" TargetMode="External" /><Relationship Type="http://schemas.openxmlformats.org/officeDocument/2006/relationships/hyperlink" Id="rId21" Target="../09-testing-qa/README.md" TargetMode="External" /><Relationship Type="http://schemas.openxmlformats.org/officeDocument/2006/relationships/hyperlink" Id="rId23" Target="../10-design-system/README.md" TargetMode="External" /><Relationship Type="http://schemas.openxmlformats.org/officeDocument/2006/relationships/hyperlink" Id="rId20" Target="../11-guides-faqs/README.md" TargetMode="External" /><Relationship Type="http://schemas.openxmlformats.org/officeDocument/2006/relationships/hyperlink" Id="rId22" Target="../12-appendix-research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../../../../reviews/mvp-final/findings/phase1-docs-gap-analysis.md" TargetMode="External" /><Relationship Type="http://schemas.openxmlformats.org/officeDocument/2006/relationships/hyperlink" Id="rId9" Target="../../99-source-coverage-ledger.md" TargetMode="External" /><Relationship Type="http://schemas.openxmlformats.org/officeDocument/2006/relationships/hyperlink" Id="rId33" Target="../../v09-research/_SYNTHESIS.md" TargetMode="External" /><Relationship Type="http://schemas.openxmlformats.org/officeDocument/2006/relationships/hyperlink" Id="rId11" Target="../00-executive-summary/README.md" TargetMode="External" /><Relationship Type="http://schemas.openxmlformats.org/officeDocument/2006/relationships/hyperlink" Id="rId13" Target="../01-product-scope/README.md" TargetMode="External" /><Relationship Type="http://schemas.openxmlformats.org/officeDocument/2006/relationships/hyperlink" Id="rId12" Target="../02-system-architecture/README.md" TargetMode="External" /><Relationship Type="http://schemas.openxmlformats.org/officeDocument/2006/relationships/hyperlink" Id="rId14" Target="../03-data-plane/README.md" TargetMode="External" /><Relationship Type="http://schemas.openxmlformats.org/officeDocument/2006/relationships/hyperlink" Id="rId15" Target="../04-control-plane/README.md" TargetMode="External" /><Relationship Type="http://schemas.openxmlformats.org/officeDocument/2006/relationships/hyperlink" Id="rId17" Target="../05-client-core-ui/README.md" TargetMode="External" /><Relationship Type="http://schemas.openxmlformats.org/officeDocument/2006/relationships/hyperlink" Id="rId18" Target="../06-security-privacy-pki/README.md" TargetMode="External" /><Relationship Type="http://schemas.openxmlformats.org/officeDocument/2006/relationships/hyperlink" Id="rId19" Target="../07-infrastructure-devops/README.md" TargetMode="External" /><Relationship Type="http://schemas.openxmlformats.org/officeDocument/2006/relationships/hyperlink" Id="rId16" Target="../08-api-contracts/README.md" TargetMode="External" /><Relationship Type="http://schemas.openxmlformats.org/officeDocument/2006/relationships/hyperlink" Id="rId21" Target="../09-testing-qa/README.md" TargetMode="External" /><Relationship Type="http://schemas.openxmlformats.org/officeDocument/2006/relationships/hyperlink" Id="rId23" Target="../10-design-system/README.md" TargetMode="External" /><Relationship Type="http://schemas.openxmlformats.org/officeDocument/2006/relationships/hyperlink" Id="rId20" Target="../11-guides-faqs/README.md" TargetMode="External" /><Relationship Type="http://schemas.openxmlformats.org/officeDocument/2006/relationships/hyperlink" Id="rId22" Target="../12-appendix-research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99 — Source Coverage Ledger</dc:title>
  <dc:creator/>
  <cp:keywords/>
  <dcterms:created xsi:type="dcterms:W3CDTF">2026-07-06T10:55:12Z</dcterms:created>
  <dcterms:modified xsi:type="dcterms:W3CDTF">2026-07-06T10:55:12Z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