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Cross-Phase Dependency Graph — the HelixVPN delivery DAG and critical paths</w:t>
      </w:r>
    </w:p>
    <w:bookmarkStart w:id="38" w:name="X2232ab8dfc1d086a0d30fa77d739a17b02ff0ad"/>
    <w:p>
      <w:pPr>
        <w:pStyle w:val="Heading1"/>
      </w:pPr>
      <w:r>
        <w:t xml:space="preserve">Cross-Phase Dependency Graph — the HelixVPN delivery DAG and critical paths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Corrected §7 master-dependency-table row for</w:t>
      </w:r>
      <w:r>
        <w:t xml:space="preserve"> </w:t>
      </w:r>
      <w:r>
        <w:rPr>
          <w:rStyle w:val="VerbatimChar"/>
        </w:rPr>
        <w:t xml:space="preserve">HVPN-P0-035</w:t>
      </w:r>
      <w:r>
        <w:t xml:space="preserve"> </w:t>
      </w:r>
      <w:r>
        <w:t xml:space="preserve">(G2 DPI-survival)</w:t>
      </w:r>
      <w:r>
        <w:t xml:space="preserve"> </w:t>
      </w:r>
      <w:r>
        <w:t xml:space="preserve">— it listed</w:t>
      </w:r>
      <w:r>
        <w:t xml:space="preserve"> </w:t>
      </w:r>
      <w:r>
        <w:rPr>
          <w:rStyle w:val="VerbatimChar"/>
        </w:rPr>
        <w:t xml:space="preserve">HVPN-P0-039</w:t>
      </w:r>
      <w:r>
        <w:t xml:space="preserve"> </w:t>
      </w:r>
      <w:r>
        <w:t xml:space="preserve">(Rust edge build) in its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 </w:t>
      </w:r>
      <w:r>
        <w:t xml:space="preserve">column, but</w:t>
      </w:r>
      <w:r>
        <w:t xml:space="preserve"> </w:t>
      </w: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HVPN-P0-039</w:t>
      </w:r>
      <w:r>
        <w:t xml:space="preserve"> </w:t>
      </w:r>
      <w:r>
        <w:t xml:space="preserve">depends directly on</w:t>
      </w:r>
      <w:r>
        <w:t xml:space="preserve"> </w:t>
      </w:r>
      <w:r>
        <w:rPr>
          <w:rStyle w:val="VerbatimChar"/>
        </w:rPr>
        <w:t xml:space="preserve">HVPN-P0-031</w:t>
      </w:r>
      <w:r>
        <w:t xml:space="preserve"> </w:t>
      </w:r>
      <w:r>
        <w:t xml:space="preserve">(MASQUE framing), not</w:t>
      </w:r>
      <w:r>
        <w:t xml:space="preserve"> </w:t>
      </w:r>
      <w:r>
        <w:rPr>
          <w:rStyle w:val="VerbatimChar"/>
        </w:rPr>
        <w:t xml:space="preserve">HVPN-P0-035</w:t>
      </w:r>
      <w:r>
        <w:t xml:space="preserve"> </w:t>
      </w:r>
      <w:r>
        <w:t xml:space="preserve">(the later DPI-block-survival proof); both share the common ancestor</w:t>
      </w:r>
      <w:r>
        <w:t xml:space="preserve"> </w:t>
      </w:r>
      <w:r>
        <w:rPr>
          <w:rStyle w:val="VerbatimChar"/>
        </w:rPr>
        <w:t xml:space="preserve">031</w:t>
      </w:r>
      <w:r>
        <w:t xml:space="preserve">, so the edge was</w:t>
      </w:r>
      <w:r>
        <w:t xml:space="preserve"> </w:t>
      </w:r>
      <w:r>
        <w:t xml:space="preserve">transitively-plausible but not a cited</w:t>
      </w:r>
      <w:r>
        <w:t xml:space="preserve"> </w:t>
      </w:r>
      <w:r>
        <w:rPr>
          <w:rStyle w:val="VerbatimChar"/>
        </w:rPr>
        <w:t xml:space="preserve">deps</w:t>
      </w:r>
      <w:r>
        <w:t xml:space="preserve"> </w:t>
      </w:r>
      <w:r>
        <w:t xml:space="preserve">field, violating this doc's own "nothing invented"</w:t>
      </w:r>
      <w:r>
        <w:t xml:space="preserve"> </w:t>
      </w:r>
      <w:r>
        <w:t xml:space="preserve">guarantee (§0). Fixed per gap analysis against</w:t>
      </w:r>
      <w:r>
        <w:t xml:space="preserve"> </w:t>
      </w:r>
      <w:r>
        <w:rPr>
          <w:rStyle w:val="VerbatimChar"/>
        </w:rPr>
        <w:t xml:space="preserve">06-…</w:t>
      </w:r>
      <w:r>
        <w:t xml:space="preserve"> </w:t>
      </w:r>
      <w:r>
        <w:t xml:space="preserve">§6 (reconciled against</w:t>
      </w:r>
      <w:r>
        <w:t xml:space="preserve"> </w:t>
      </w: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as the authoritative WBS for Phase-0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fields, per SPECIFICATION.md's spine-wins rule).</w:t>
      </w:r>
    </w:p>
    <w:p>
      <w:pPr>
        <w:pStyle w:val="BlockText"/>
      </w:pPr>
      <w:r>
        <w:t xml:space="preserve">Volume 7 (Phase Execution), document 2 of 5. This spec consolidates the</w:t>
      </w:r>
      <w:r>
        <w:t xml:space="preserve"> </w:t>
      </w:r>
      <w:r>
        <w:t xml:space="preserve">dependency edges scattered across the four phase WBS documents into one</w:t>
      </w:r>
      <w:r>
        <w:t xml:space="preserve"> </w:t>
      </w:r>
      <w:r>
        <w:rPr>
          <w:b/>
          <w:bCs/>
        </w:rPr>
        <w:t xml:space="preserve">cross-phase directed acyclic graph (DAG)</w:t>
      </w:r>
      <w:r>
        <w:t xml:space="preserve">: which Phase-0 spikes gate which</w:t>
      </w:r>
      <w:r>
        <w:t xml:space="preserve"> </w:t>
      </w:r>
      <w:r>
        <w:t xml:space="preserve">Phase-1 epics, the critical path to the MVP tag, the cross-component</w:t>
      </w:r>
      <w:r>
        <w:t xml:space="preserve"> </w:t>
      </w:r>
      <w:r>
        <w:t xml:space="preserve">dependencies that bind data-plane ↔ control-plane ↔ client, and the parallel</w:t>
      </w:r>
      <w:r>
        <w:t xml:space="preserve"> </w:t>
      </w:r>
      <w:r>
        <w:t xml:space="preserve">fan-outs that compress wall-clock. It is</w:t>
      </w:r>
      <w:r>
        <w:t xml:space="preserve"> </w:t>
      </w:r>
      <w:r>
        <w:rPr>
          <w:b/>
          <w:bCs/>
        </w:rPr>
        <w:t xml:space="preserve">spec-only</w:t>
      </w:r>
      <w:r>
        <w:t xml:space="preserve"> </w:t>
      </w:r>
      <w:r>
        <w:t xml:space="preserve">— every edge is cited to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/</w:t>
      </w:r>
      <w:r>
        <w:rPr>
          <w:rStyle w:val="VerbatimChar"/>
        </w:rPr>
        <w:t xml:space="preserve">deps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HVPN-P0-NNN</w:t>
      </w:r>
      <w:r>
        <w:t xml:space="preserve">),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HVPN-P1-NNN</w:t>
      </w:r>
      <w:r>
        <w:t xml:space="preserve">),</w:t>
      </w:r>
      <w:r>
        <w:t xml:space="preserve"> </w:t>
      </w:r>
      <w:r>
        <w:rPr>
          <w:rStyle w:val="VerbatimChar"/>
        </w:rPr>
        <w:t xml:space="preserve">08-phase2-parity-wbs.md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HVPN-P2-NNN</w:t>
      </w:r>
      <w:r>
        <w:t xml:space="preserve">), or</w:t>
      </w:r>
      <w:r>
        <w:t xml:space="preserve"> </w:t>
      </w:r>
      <w:r>
        <w:rPr>
          <w:rStyle w:val="VerbatimChar"/>
        </w:rPr>
        <w:t xml:space="preserve">09-phase3-reach-wbs.md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HVPN-P3-NNN</w:t>
      </w:r>
      <w:r>
        <w:t xml:space="preserve">); nothing is</w:t>
      </w:r>
      <w:r>
        <w:t xml:space="preserve"> </w:t>
      </w:r>
      <w:r>
        <w:t xml:space="preserve">invented. The DAG is the structure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loader validates for</w:t>
      </w:r>
      <w:r>
        <w:t xml:space="preserve"> </w:t>
      </w:r>
      <w:r>
        <w:t xml:space="preserve">acyclicity (§11.4.93, see</w:t>
      </w:r>
      <w:r>
        <w:t xml:space="preserve"> 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§8). All durations are</w:t>
      </w:r>
      <w:r>
        <w:t xml:space="preserve"> </w:t>
      </w:r>
      <w:r>
        <w:t xml:space="preserve">sizing-only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s — never date commitments (§11.4.6, the phase docs'</w:t>
      </w:r>
      <w:r>
        <w:t xml:space="preserve"> </w:t>
      </w:r>
      <w:r>
        <w:t xml:space="preserve">no-commitment caveat).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f97bf42043d9e9882d15393fa64778213aeaa9">
        <w:r>
          <w:rPr>
            <w:rStyle w:val="Hyperlink"/>
          </w:rPr>
          <w:t xml:space="preserve">0. Reading the DAG</w:t>
        </w:r>
      </w:hyperlink>
    </w:p>
    <w:p>
      <w:pPr>
        <w:pStyle w:val="Compact"/>
        <w:numPr>
          <w:ilvl w:val="0"/>
          <w:numId w:val="1001"/>
        </w:numPr>
      </w:pPr>
      <w:hyperlink w:anchor="X36cc429dbd051227d694dfaa0b44527ba6dd002">
        <w:r>
          <w:rPr>
            <w:rStyle w:val="Hyperlink"/>
          </w:rPr>
          <w:t xml:space="preserve">1. Programme-level phase DAG</w:t>
        </w:r>
      </w:hyperlink>
    </w:p>
    <w:p>
      <w:pPr>
        <w:pStyle w:val="Compact"/>
        <w:numPr>
          <w:ilvl w:val="0"/>
          <w:numId w:val="1001"/>
        </w:numPr>
      </w:pPr>
      <w:hyperlink w:anchor="Xeacac937cb7d8479f1752ef4cda96d1cedc9b37">
        <w:r>
          <w:rPr>
            <w:rStyle w:val="Hyperlink"/>
          </w:rPr>
          <w:t xml:space="preserve">2. Phase 0 → Phase 1 gating (spikes that unblock epics)</w:t>
        </w:r>
      </w:hyperlink>
    </w:p>
    <w:p>
      <w:pPr>
        <w:pStyle w:val="Compact"/>
        <w:numPr>
          <w:ilvl w:val="0"/>
          <w:numId w:val="1001"/>
        </w:numPr>
      </w:pPr>
      <w:hyperlink w:anchor="X863b432da84f0392e0343689919ef6d9998d986">
        <w:r>
          <w:rPr>
            <w:rStyle w:val="Hyperlink"/>
          </w:rPr>
          <w:t xml:space="preserve">3. The Phase-1 MVP critical path</w:t>
        </w:r>
      </w:hyperlink>
    </w:p>
    <w:p>
      <w:pPr>
        <w:pStyle w:val="Compact"/>
        <w:numPr>
          <w:ilvl w:val="0"/>
          <w:numId w:val="1001"/>
        </w:numPr>
      </w:pPr>
      <w:hyperlink w:anchor="Xbfe8237e8e7c956445497a80962f6db7304b62b">
        <w:r>
          <w:rPr>
            <w:rStyle w:val="Hyperlink"/>
          </w:rPr>
          <w:t xml:space="preserve">4. Cross-component dependencies (data ↔ control ↔ client)</w:t>
        </w:r>
      </w:hyperlink>
    </w:p>
    <w:p>
      <w:pPr>
        <w:pStyle w:val="Compact"/>
        <w:numPr>
          <w:ilvl w:val="0"/>
          <w:numId w:val="1001"/>
        </w:numPr>
      </w:pPr>
      <w:hyperlink w:anchor="Xb0304f18b08f02b2b181504fa394265dcf36d5a">
        <w:r>
          <w:rPr>
            <w:rStyle w:val="Hyperlink"/>
          </w:rPr>
          <w:t xml:space="preserve">5. Phase-2 critical path + parallel high-risk tracks</w:t>
        </w:r>
      </w:hyperlink>
    </w:p>
    <w:p>
      <w:pPr>
        <w:pStyle w:val="Compact"/>
        <w:numPr>
          <w:ilvl w:val="0"/>
          <w:numId w:val="1001"/>
        </w:numPr>
      </w:pPr>
      <w:hyperlink w:anchor="Xfc9b47a5f182a4cb7ea3bc274b725d71ea71b0c">
        <w:r>
          <w:rPr>
            <w:rStyle w:val="Hyperlink"/>
          </w:rPr>
          <w:t xml:space="preserve">6. Phase-3 critical path + device-gated parking</w:t>
        </w:r>
      </w:hyperlink>
    </w:p>
    <w:p>
      <w:pPr>
        <w:pStyle w:val="Compact"/>
        <w:numPr>
          <w:ilvl w:val="0"/>
          <w:numId w:val="1001"/>
        </w:numPr>
      </w:pPr>
      <w:hyperlink w:anchor="X1beea61c19110c9b7ad218d909aabad2a15b57e">
        <w:r>
          <w:rPr>
            <w:rStyle w:val="Hyperlink"/>
          </w:rPr>
          <w:t xml:space="preserve">7. Master dependency table (item → depends-on → blocks)</w:t>
        </w:r>
      </w:hyperlink>
    </w:p>
    <w:p>
      <w:pPr>
        <w:pStyle w:val="Compact"/>
        <w:numPr>
          <w:ilvl w:val="0"/>
          <w:numId w:val="1001"/>
        </w:numPr>
      </w:pPr>
      <w:hyperlink w:anchor="Xe5d9a553b9a5cc18616647344c1d3b526eac2ee">
        <w:r>
          <w:rPr>
            <w:rStyle w:val="Hyperlink"/>
          </w:rPr>
          <w:t xml:space="preserve">8. Critical-path call-out + parallelism rules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8f97bf42043d9e9882d15393fa64778213aeaa9"/>
    <w:p>
      <w:pPr>
        <w:pStyle w:val="Heading2"/>
      </w:pPr>
      <w:r>
        <w:t xml:space="preserve">0. Reading the DAG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rStyle w:val="VerbatimChar"/>
        </w:rPr>
        <w:t xml:space="preserve">A → B</w:t>
      </w:r>
      <w:r>
        <w:t xml:space="preserve"> </w:t>
      </w:r>
      <w:r>
        <w:t xml:space="preserve">means</w:t>
      </w:r>
      <w:r>
        <w:t xml:space="preserve"> </w:t>
      </w:r>
      <w:r>
        <w:rPr>
          <w:b/>
          <w:bCs/>
        </w:rPr>
        <w:t xml:space="preserve">B depends on A</w:t>
      </w:r>
      <w:r>
        <w:t xml:space="preserve"> </w:t>
      </w:r>
      <w:r>
        <w:t xml:space="preserve">(A must be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before B starts),</w:t>
      </w:r>
      <w:r>
        <w:t xml:space="preserve"> </w:t>
      </w:r>
      <w:r>
        <w:t xml:space="preserve">sourced from B's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/</w:t>
      </w:r>
      <w:r>
        <w:rPr>
          <w:rStyle w:val="VerbatimChar"/>
        </w:rPr>
        <w:t xml:space="preserve">deps</w:t>
      </w:r>
      <w:r>
        <w:t xml:space="preserve"> </w:t>
      </w:r>
      <w:r>
        <w:t xml:space="preserve">field in its WBS doc. Cross-phase edges cite</w:t>
      </w:r>
      <w:r>
        <w:t xml:space="preserve"> </w:t>
      </w:r>
      <w:r>
        <w:t xml:space="preserve">the full id 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§0). The graph is acyclic by construction;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§8) fails the build on any cycle.</w:t>
      </w:r>
    </w:p>
    <w:p>
      <w:pPr>
        <w:pStyle w:val="BodyText"/>
      </w:pPr>
      <w:r>
        <w:t xml:space="preserve">Risk-ordering (§11.4.132) governs</w:t>
      </w:r>
      <w:r>
        <w:t xml:space="preserve"> </w:t>
      </w:r>
      <w:r>
        <w:rPr>
          <w:i/>
          <w:iCs/>
        </w:rPr>
        <w:t xml:space="preserve">sequencing within</w:t>
      </w:r>
      <w:r>
        <w:t xml:space="preserve"> </w:t>
      </w:r>
      <w:r>
        <w:t xml:space="preserve">the DAG: the irreversible</w:t>
      </w:r>
      <w:r>
        <w:t xml:space="preserve"> </w:t>
      </w:r>
      <w:r>
        <w:t xml:space="preserve">correctness floor (RLS, no-log lint, kill-switch, NAT-traversal honesty, PQ</w:t>
      </w:r>
      <w:r>
        <w:t xml:space="preserve"> </w:t>
      </w:r>
      <w:r>
        <w:t xml:space="preserve">downgrade-safety) leads; convenience UI trails. Red nodes are the critical-path /</w:t>
      </w:r>
      <w:r>
        <w:t xml:space="preserve"> </w:t>
      </w:r>
      <w:r>
        <w:t xml:space="preserve">make-or-break carries each phase doc flags.</w:t>
      </w:r>
    </w:p>
    <w:p>
      <w:r>
        <w:pict>
          <v:rect style="width:0;height:1.5pt" o:hralign="center" o:hrstd="t" o:hr="t"/>
        </w:pict>
      </w:r>
    </w:p>
    <w:bookmarkEnd w:id="10"/>
    <w:bookmarkStart w:id="14" w:name="X36cc429dbd051227d694dfaa0b44527ba6dd002"/>
    <w:p>
      <w:pPr>
        <w:pStyle w:val="Heading2"/>
      </w:pPr>
      <w:r>
        <w:t xml:space="preserve">1. Programme-level phase DAG</w:t>
      </w:r>
    </w:p>
    <w:p>
      <w:pPr>
        <w:pStyle w:val="FirstParagraph"/>
      </w:pPr>
      <w:r>
        <w:drawing>
          <wp:inline>
            <wp:extent cx="5334000" cy="496660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/tmp/.private/milosvasic/tmp.GzV8LyWzeP/img/diagram_001_3d5d2da95480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Each phase boundary is a hard gate 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§5,</w:t>
      </w:r>
      <w:r>
        <w:t xml:space="preserve"> 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§5,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§2.0): the</w:t>
      </w:r>
      <w:r>
        <w:t xml:space="preserve"> </w:t>
      </w:r>
      <w:r>
        <w:t xml:space="preserve">make-or-break Phase-0 carries (G3 iOS memory, G4 edge language) are</w:t>
      </w:r>
      <w:r>
        <w:t xml:space="preserve"> </w:t>
      </w:r>
      <w:r>
        <w:rPr>
          <w:i/>
          <w:iCs/>
        </w:rPr>
        <w:t xml:space="preserve">resolved</w:t>
      </w:r>
      <w:r>
        <w:rPr>
          <w:i/>
          <w:iCs/>
        </w:rP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Phase 1 starts 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§4); Phase 2 assumes the Phase-1 seams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§5 entry gate</w:t>
      </w:r>
      <w:r>
        <w:t xml:space="preserve"> </w:t>
      </w:r>
      <w:r>
        <w:rPr>
          <w:rStyle w:val="VerbatimChar"/>
        </w:rPr>
        <w:t xml:space="preserve">HVPN-P2-190/191/192</w:t>
      </w:r>
      <w:r>
        <w:t xml:space="preserve">); Phase 3 starts only when Phase 2</w:t>
      </w:r>
      <w:r>
        <w:t xml:space="preserve"> </w:t>
      </w:r>
      <w:r>
        <w:t xml:space="preserve">has graduated 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§2.0).</w:t>
      </w:r>
    </w:p>
    <w:p>
      <w:r>
        <w:pict>
          <v:rect style="width:0;height:1.5pt" o:hralign="center" o:hrstd="t" o:hr="t"/>
        </w:pict>
      </w:r>
    </w:p>
    <w:bookmarkEnd w:id="14"/>
    <w:bookmarkStart w:id="18" w:name="Xeacac937cb7d8479f1752ef4cda96d1cedc9b37"/>
    <w:p>
      <w:pPr>
        <w:pStyle w:val="Heading2"/>
      </w:pPr>
      <w:r>
        <w:t xml:space="preserve">2. Phase 0 → Phase 1 gating (spikes that unblock epics)</w:t>
      </w:r>
    </w:p>
    <w:p>
      <w:pPr>
        <w:pStyle w:val="FirstParagraph"/>
      </w:pPr>
      <w:r>
        <w:t xml:space="preserve">The six Phase-0 gates map to Phase-1 entry items</w:t>
      </w:r>
      <w:r>
        <w:t xml:space="preserve"> </w:t>
      </w:r>
      <w:r>
        <w:rPr>
          <w:rStyle w:val="VerbatimChar"/>
        </w:rPr>
        <w:t xml:space="preserve">HVPN-P1-001..006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§5),</w:t>
      </w:r>
      <w:r>
        <w:t xml:space="preserve"> </w:t>
      </w:r>
      <w:r>
        <w:t xml:space="preserve">which in turn gate the Phase-1 epics. The dependency-bearing edges (from the</w:t>
      </w:r>
      <w:r>
        <w:t xml:space="preserve"> </w:t>
      </w:r>
      <w:r>
        <w:t xml:space="preserve">Phase-1</w:t>
      </w:r>
      <w:r>
        <w:t xml:space="preserve"> </w:t>
      </w:r>
      <w:r>
        <w:rPr>
          <w:rStyle w:val="VerbatimChar"/>
        </w:rPr>
        <w:t xml:space="preserve">deps</w:t>
      </w:r>
      <w:r>
        <w:t xml:space="preserve"> </w:t>
      </w:r>
      <w:r>
        <w:t xml:space="preserve">fields):</w:t>
      </w:r>
    </w:p>
    <w:p>
      <w:pPr>
        <w:pStyle w:val="BodyText"/>
      </w:pPr>
      <w:r>
        <w:drawing>
          <wp:inline>
            <wp:extent cx="5334000" cy="1163410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/tmp/.private/milosvasic/tmp.GzV8LyWzeP/img/diagram_002_ed9e9c759dd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Phase-0 gate</w:t>
            </w:r>
          </w:p>
        </w:tc>
        <w:tc>
          <w:tcPr/>
          <w:p>
            <w:pPr>
              <w:pStyle w:val="Compact"/>
            </w:pPr>
            <w:r>
              <w:t xml:space="preserve">Decides</w:t>
            </w:r>
          </w:p>
        </w:tc>
        <w:tc>
          <w:tcPr/>
          <w:p>
            <w:pPr>
              <w:pStyle w:val="Compact"/>
            </w:pPr>
            <w:r>
              <w:t xml:space="preserve">Phase-1 entry item</w:t>
            </w:r>
          </w:p>
        </w:tc>
        <w:tc>
          <w:tcPr/>
          <w:p>
            <w:pPr>
              <w:pStyle w:val="Compact"/>
            </w:pPr>
            <w:r>
              <w:t xml:space="preserve">Phase-1 epic it unblocks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  <w:r>
              <w:t xml:space="preserve"> </w:t>
            </w:r>
            <w:r>
              <w:t xml:space="preserve">plain-UDP slice (</w:t>
            </w:r>
            <w:r>
              <w:rPr>
                <w:rStyle w:val="VerbatimChar"/>
              </w:rPr>
              <w:t xml:space="preserve">HVPN-P0-025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core viability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HVPN-P1-001</w:t>
            </w:r>
          </w:p>
        </w:tc>
        <w:tc>
          <w:tcPr/>
          <w:p>
            <w:pPr>
              <w:pStyle w:val="Compact"/>
            </w:pPr>
            <w:r>
              <w:t xml:space="preserve">E09 (</w:t>
            </w:r>
            <w:r>
              <w:rPr>
                <w:rStyle w:val="VerbatimChar"/>
              </w:rPr>
              <w:t xml:space="preserve">HVPN-P1-090</w:t>
            </w:r>
            <w:r>
              <w:t xml:space="preserve"> </w:t>
            </w:r>
            <w:r>
              <w:t xml:space="preserve">Transport)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  <w:r>
              <w:t xml:space="preserve"> </w:t>
            </w:r>
            <w:r>
              <w:t xml:space="preserve">MASQUE through DPI (</w:t>
            </w:r>
            <w:r>
              <w:rPr>
                <w:rStyle w:val="VerbatimChar"/>
              </w:rPr>
              <w:t xml:space="preserve">HVPN-P0-035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obfuscation 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HVPN-P1-002</w:t>
            </w:r>
          </w:p>
        </w:tc>
        <w:tc>
          <w:tcPr/>
          <w:p>
            <w:pPr>
              <w:pStyle w:val="Compact"/>
            </w:pPr>
            <w:r>
              <w:t xml:space="preserve">E09</w:t>
            </w:r>
            <w:r>
              <w:t xml:space="preserve"> </w:t>
            </w:r>
            <w:r>
              <w:rPr>
                <w:rStyle w:val="VerbatimChar"/>
              </w:rPr>
              <w:t xml:space="preserve">HVPN-P1-090</w:t>
            </w:r>
            <w:r>
              <w:t xml:space="preserve">, E10</w:t>
            </w:r>
            <w:r>
              <w:t xml:space="preserve"> </w:t>
            </w:r>
            <w:r>
              <w:rPr>
                <w:rStyle w:val="VerbatimChar"/>
              </w:rPr>
              <w:t xml:space="preserve">HVPN-P1-100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  <w:r>
              <w:t xml:space="preserve"> </w:t>
            </w:r>
            <w:r>
              <w:t xml:space="preserve">iOS NE memory (</w:t>
            </w:r>
            <w:r>
              <w:rPr>
                <w:rStyle w:val="VerbatimChar"/>
              </w:rPr>
              <w:t xml:space="preserve">HVPN-P0-061..070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Rust-on-every-platform 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HVPN-P1-003</w:t>
            </w:r>
          </w:p>
        </w:tc>
        <w:tc>
          <w:tcPr/>
          <w:p>
            <w:pPr>
              <w:pStyle w:val="Compact"/>
            </w:pPr>
            <w:r>
              <w:t xml:space="preserve">E12</w:t>
            </w:r>
            <w:r>
              <w:t xml:space="preserve"> </w:t>
            </w:r>
            <w:r>
              <w:rPr>
                <w:rStyle w:val="VerbatimChar"/>
              </w:rPr>
              <w:t xml:space="preserve">HVPN-P1-122</w:t>
            </w:r>
            <w:r>
              <w:t xml:space="preserve"> </w:t>
            </w:r>
            <w:r>
              <w:t xml:space="preserve">(iOS shim)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  <w:r>
              <w:t xml:space="preserve"> </w:t>
            </w:r>
            <w:r>
              <w:t xml:space="preserve">Go-vs-Rust edge (</w:t>
            </w:r>
            <w:r>
              <w:rPr>
                <w:rStyle w:val="VerbatimChar"/>
              </w:rPr>
              <w:t xml:space="preserve">HVPN-P0-045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edge language 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HVPN-P1-004</w:t>
            </w:r>
          </w:p>
        </w:tc>
        <w:tc>
          <w:tcPr/>
          <w:p>
            <w:pPr>
              <w:pStyle w:val="Compact"/>
            </w:pPr>
            <w:r>
              <w:t xml:space="preserve">E10</w:t>
            </w:r>
            <w:r>
              <w:t xml:space="preserve"> </w:t>
            </w:r>
            <w:r>
              <w:rPr>
                <w:rStyle w:val="VerbatimChar"/>
              </w:rPr>
              <w:t xml:space="preserve">HVPN-P1-100</w:t>
            </w:r>
            <w:r>
              <w:t xml:space="preserve"> </w:t>
            </w:r>
            <w:r>
              <w:t xml:space="preserve">(fixes edge lang)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  <w:r>
              <w:t xml:space="preserve"> </w:t>
            </w:r>
            <w:r>
              <w:t xml:space="preserve">frb FFI (</w:t>
            </w:r>
            <w:r>
              <w:rPr>
                <w:rStyle w:val="VerbatimChar"/>
              </w:rPr>
              <w:t xml:space="preserve">HVPN-P0-052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FFI boundary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HVPN-P1-005</w:t>
            </w:r>
          </w:p>
        </w:tc>
        <w:tc>
          <w:tcPr/>
          <w:p>
            <w:pPr>
              <w:pStyle w:val="Compact"/>
            </w:pPr>
            <w:r>
              <w:t xml:space="preserve">E01</w:t>
            </w:r>
            <w:r>
              <w:t xml:space="preserve"> </w:t>
            </w:r>
            <w:r>
              <w:rPr>
                <w:rStyle w:val="VerbatimChar"/>
              </w:rPr>
              <w:t xml:space="preserve">HVPN-P1-010</w:t>
            </w:r>
            <w:r>
              <w:t xml:space="preserve"> </w:t>
            </w:r>
            <w:r>
              <w:t xml:space="preserve">(monorepo)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</w:t>
            </w:r>
            <w:r>
              <w:t xml:space="preserve"> </w:t>
            </w:r>
            <w:r>
              <w:t xml:space="preserve">push-reconcile (</w:t>
            </w:r>
            <w:r>
              <w:rPr>
                <w:rStyle w:val="VerbatimChar"/>
              </w:rPr>
              <w:t xml:space="preserve">HVPN-P0-071..076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push model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HVPN-P1-006</w:t>
            </w:r>
          </w:p>
        </w:tc>
        <w:tc>
          <w:tcPr/>
          <w:p>
            <w:pPr>
              <w:pStyle w:val="Compact"/>
            </w:pPr>
            <w:r>
              <w:t xml:space="preserve">E07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seed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G3 fail-path (§11.4.66).</w:t>
      </w:r>
      <w:r>
        <w:t xml:space="preserve"> </w:t>
      </w:r>
      <w:r>
        <w:t xml:space="preserve">If the iOS memory gate fails,</w:t>
      </w:r>
      <w:r>
        <w:t xml:space="preserve"> </w:t>
      </w:r>
      <w:r>
        <w:rPr>
          <w:rStyle w:val="VerbatimChar"/>
        </w:rPr>
        <w:t xml:space="preserve">HVPN-P1-122</w:t>
      </w:r>
      <w:r>
        <w:t xml:space="preserve"> </w:t>
      </w:r>
      <w:r>
        <w:t xml:space="preserve">(iOS</w:t>
      </w:r>
      <w:r>
        <w:t xml:space="preserve"> </w:t>
      </w:r>
      <w:r>
        <w:t xml:space="preserve">shim) re-plans against the §6.4 fallback ladder 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§5 note) — a decision</w:t>
      </w:r>
      <w:r>
        <w:t xml:space="preserve"> </w:t>
      </w:r>
      <w:r>
        <w:t xml:space="preserve">surfaced, not silently resolved.</w:t>
      </w:r>
    </w:p>
    <w:p>
      <w:r>
        <w:pict>
          <v:rect style="width:0;height:1.5pt" o:hralign="center" o:hrstd="t" o:hr="t"/>
        </w:pict>
      </w:r>
    </w:p>
    <w:bookmarkEnd w:id="18"/>
    <w:bookmarkStart w:id="22" w:name="X863b432da84f0392e0343689919ef6d9998d986"/>
    <w:p>
      <w:pPr>
        <w:pStyle w:val="Heading2"/>
      </w:pPr>
      <w:r>
        <w:t xml:space="preserve">3. The Phase-1 MVP critical path</w:t>
      </w:r>
    </w:p>
    <w:p>
      <w:pPr>
        <w:pStyle w:val="FirstParagraph"/>
      </w:pPr>
      <w:r>
        <w:t xml:space="preserve">The longest dependency chain to AC certification 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§22), with the red</w:t>
      </w:r>
      <w:r>
        <w:t xml:space="preserve"> </w:t>
      </w:r>
      <w:r>
        <w:t xml:space="preserve">critical-path epics E02/E03/E07/E09/E14 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§4):</w:t>
      </w:r>
    </w:p>
    <w:p>
      <w:pPr>
        <w:pStyle w:val="BodyText"/>
      </w:pPr>
      <w:r>
        <w:drawing>
          <wp:inline>
            <wp:extent cx="5334000" cy="251732"/>
            <wp:effectExtent b="0" l="0" r="0" t="0"/>
            <wp:docPr descr="diagram" title="" id="20" name="Picture"/>
            <a:graphic>
              <a:graphicData uri="http://schemas.openxmlformats.org/drawingml/2006/picture">
                <pic:pic>
                  <pic:nvPicPr>
                    <pic:cNvPr descr="/tmp/.private/milosvasic/tmp.GzV8LyWzeP/img/diagram_003_8a8c4bb6e8c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Critical path:</w:t>
      </w:r>
      <w:r>
        <w:t xml:space="preserve"> </w:t>
      </w:r>
      <w:r>
        <w:rPr>
          <w:rStyle w:val="VerbatimChar"/>
        </w:rPr>
        <w:t xml:space="preserve">E01(010→011) → E02(020→021→022) → E03(032) → E07(070→071→072→073) → E09(092→093/094) → E10(100→101→102) → E14(140→142→144→145) → E15(151)</w:t>
      </w:r>
      <w:r>
        <w:t xml:space="preserve"> </w:t>
      </w:r>
      <w:r>
        <w:t xml:space="preserve">(</w:t>
      </w:r>
      <w:r>
        <w:rPr>
          <w:rStyle w:val="VerbatimChar"/>
        </w:rPr>
        <w:t xml:space="preserve">07-…</w:t>
      </w:r>
      <w:r>
        <w:t xml:space="preserve"> </w:t>
      </w:r>
      <w:r>
        <w:t xml:space="preserve">§22). The two parallel fan-outs that</w:t>
      </w:r>
      <w:r>
        <w:t xml:space="preserve"> </w:t>
      </w:r>
      <w:r>
        <w:t xml:space="preserve">keep wall-clock down:</w:t>
      </w:r>
      <w:r>
        <w:t xml:space="preserve"> </w:t>
      </w:r>
      <w:r>
        <w:rPr>
          <w:b/>
          <w:bCs/>
        </w:rPr>
        <w:t xml:space="preserve">E04/E05/E06</w:t>
      </w:r>
      <w:r>
        <w:t xml:space="preserve"> </w:t>
      </w:r>
      <w:r>
        <w:t xml:space="preserve">off E02 (disjoint scope → concurrent PWUs</w:t>
      </w:r>
      <w:r>
        <w:t xml:space="preserve"> </w:t>
      </w:r>
      <w:r>
        <w:t xml:space="preserve">§11.4.58), and</w:t>
      </w:r>
      <w:r>
        <w:t xml:space="preserve"> </w:t>
      </w:r>
      <w:r>
        <w:rPr>
          <w:b/>
          <w:bCs/>
        </w:rPr>
        <w:t xml:space="preserve">E11 UI</w:t>
      </w:r>
      <w:r>
        <w:t xml:space="preserve"> </w:t>
      </w:r>
      <w:r>
        <w:t xml:space="preserve">off E08/E09 in parallel with E10/E12.</w:t>
      </w:r>
    </w:p>
    <w:p>
      <w:r>
        <w:pict>
          <v:rect style="width:0;height:1.5pt" o:hralign="center" o:hrstd="t" o:hr="t"/>
        </w:pict>
      </w:r>
    </w:p>
    <w:bookmarkEnd w:id="22"/>
    <w:bookmarkStart w:id="26" w:name="Xbfe8237e8e7c956445497a80962f6db7304b62b"/>
    <w:p>
      <w:pPr>
        <w:pStyle w:val="Heading2"/>
      </w:pPr>
      <w:r>
        <w:t xml:space="preserve">4. Cross-component dependencies (data ↔ control ↔ client)</w:t>
      </w:r>
    </w:p>
    <w:p>
      <w:pPr>
        <w:pStyle w:val="FirstParagraph"/>
      </w:pPr>
      <w:r>
        <w:t xml:space="preserve">The architecture's three planes (data / control / client) are bound by specific</w:t>
      </w:r>
      <w:r>
        <w:t xml:space="preserve"> </w:t>
      </w:r>
      <w:r>
        <w:rPr>
          <w:rStyle w:val="VerbatimChar"/>
        </w:rPr>
        <w:t xml:space="preserve">deps</w:t>
      </w:r>
      <w:r>
        <w:t xml:space="preserve"> </w:t>
      </w:r>
      <w:r>
        <w:t xml:space="preserve">edges. The MVP is hub-and-spoke: the coordinator computes per-node maps,</w:t>
      </w:r>
      <w:r>
        <w:t xml:space="preserve"> </w:t>
      </w:r>
      <w:r>
        <w:t xml:space="preserve">the edge enforces them, the client core reconciles them.</w:t>
      </w:r>
    </w:p>
    <w:p>
      <w:pPr>
        <w:pStyle w:val="BodyText"/>
      </w:pPr>
      <w:r>
        <w:drawing>
          <wp:inline>
            <wp:extent cx="5334000" cy="3980089"/>
            <wp:effectExtent b="0" l="0" r="0" t="0"/>
            <wp:docPr descr="diagram" title="" id="24" name="Picture"/>
            <a:graphic>
              <a:graphicData uri="http://schemas.openxmlformats.org/drawingml/2006/picture">
                <pic:pic>
                  <pic:nvPicPr>
                    <pic:cNvPr descr="/tmp/.private/milosvasic/tmp.GzV8LyWzeP/img/diagram_004_d1e33efc634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load-bearing cross-plane edges (from the</w:t>
      </w:r>
      <w:r>
        <w:t xml:space="preserve"> </w:t>
      </w:r>
      <w:r>
        <w:rPr>
          <w:rStyle w:val="VerbatimChar"/>
        </w:rPr>
        <w:t xml:space="preserve">deps</w:t>
      </w:r>
      <w:r>
        <w:t xml:space="preserve"> </w:t>
      </w:r>
      <w:r>
        <w:t xml:space="preserve">fields):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Cited dep</w:t>
            </w:r>
          </w:p>
        </w:tc>
        <w:tc>
          <w:tcPr/>
          <w:p>
            <w:pPr>
              <w:pStyle w:val="Compact"/>
            </w:pPr>
            <w:r>
              <w:t xml:space="preserve">Why it binds the planes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compiler → coordinator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HVPN-P1-070</w:t>
            </w:r>
            <w:r>
              <w:t xml:space="preserve"> </w:t>
            </w:r>
            <w:r>
              <w:t xml:space="preserve">deps</w:t>
            </w:r>
            <w:r>
              <w:t xml:space="preserve"> </w:t>
            </w:r>
            <w:r>
              <w:rPr>
                <w:rStyle w:val="VerbatimChar"/>
              </w:rPr>
              <w:t xml:space="preserve">HVPN-P1-061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buildMap</w:t>
            </w:r>
            <w:r>
              <w:t xml:space="preserve"> </w:t>
            </w:r>
            <w:r>
              <w:t xml:space="preserve">consumes the compiled</w:t>
            </w:r>
            <w:r>
              <w:t xml:space="preserve"> </w:t>
            </w:r>
            <w:r>
              <w:rPr>
                <w:rStyle w:val="VerbatimChar"/>
              </w:rPr>
              <w:t xml:space="preserve">{visible,allowedIPs,verdict-map}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§11/§12)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→ client reconciler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HVPN-P1-092</w:t>
            </w:r>
            <w:r>
              <w:t xml:space="preserve"> </w:t>
            </w:r>
            <w:r>
              <w:t xml:space="preserve">deps</w:t>
            </w:r>
            <w:r>
              <w:t xml:space="preserve"> </w:t>
            </w:r>
            <w:r>
              <w:rPr>
                <w:rStyle w:val="VerbatimChar"/>
              </w:rPr>
              <w:t xml:space="preserve">HVPN-P1-072</w:t>
            </w:r>
          </w:p>
        </w:tc>
        <w:tc>
          <w:tcPr/>
          <w:p>
            <w:pPr>
              <w:pStyle w:val="Compact"/>
            </w:pPr>
            <w:r>
              <w:t xml:space="preserve">the client converges to streamed</w:t>
            </w:r>
            <w:r>
              <w:t xml:space="preserve"> </w:t>
            </w:r>
            <w:r>
              <w:rPr>
                <w:rStyle w:val="VerbatimChar"/>
              </w:rPr>
              <w:t xml:space="preserve">MapUpdate</w:t>
            </w:r>
            <w:r>
              <w:t xml:space="preserve"> </w:t>
            </w:r>
            <w:r>
              <w:t xml:space="preserve">deltas (</w:t>
            </w: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trait →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HVPN-P1-100</w:t>
            </w:r>
            <w:r>
              <w:t xml:space="preserve"> </w:t>
            </w:r>
            <w:r>
              <w:t xml:space="preserve">deps</w:t>
            </w:r>
            <w:r>
              <w:t xml:space="preserve"> </w:t>
            </w:r>
            <w:r>
              <w:rPr>
                <w:rStyle w:val="VerbatimChar"/>
              </w:rPr>
              <w:t xml:space="preserve">HVPN-P1-090,004</w:t>
            </w:r>
          </w:p>
        </w:tc>
        <w:tc>
          <w:tcPr/>
          <w:p>
            <w:pPr>
              <w:pStyle w:val="Compact"/>
            </w:pPr>
            <w:r>
              <w:t xml:space="preserve">edge reuses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byte-for-byte; G4 fixes language (</w:t>
            </w: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 verdict-map →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HVPN-P1-102</w:t>
            </w:r>
            <w:r>
              <w:t xml:space="preserve"> </w:t>
            </w:r>
            <w:r>
              <w:t xml:space="preserve">deps</w:t>
            </w:r>
            <w:r>
              <w:t xml:space="preserve"> </w:t>
            </w:r>
            <w:r>
              <w:rPr>
                <w:rStyle w:val="VerbatimChar"/>
              </w:rPr>
              <w:t xml:space="preserve">HVPN-P1-061,101,033</w:t>
            </w:r>
          </w:p>
        </w:tc>
        <w:tc>
          <w:tcPr/>
          <w:p>
            <w:pPr>
              <w:pStyle w:val="Compact"/>
            </w:pPr>
            <w:r>
              <w:t xml:space="preserve">edge applies the port-level verdict map WG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lacks (</w:t>
            </w: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PKI cert → API/coordinator authz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HVPN-P1-080</w:t>
            </w:r>
            <w:r>
              <w:t xml:space="preserve"> </w:t>
            </w:r>
            <w:r>
              <w:t xml:space="preserve">deps</w:t>
            </w:r>
            <w:r>
              <w:t xml:space="preserve"> </w:t>
            </w:r>
            <w:r>
              <w:rPr>
                <w:rStyle w:val="VerbatimChar"/>
              </w:rPr>
              <w:t xml:space="preserve">HVPN-P1-032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HVPN-P1-072</w:t>
            </w:r>
            <w:r>
              <w:t xml:space="preserve"> </w:t>
            </w:r>
            <w:r>
              <w:t xml:space="preserve">auth via mTLS</w:t>
            </w:r>
          </w:p>
        </w:tc>
        <w:tc>
          <w:tcPr/>
          <w:p>
            <w:pPr>
              <w:pStyle w:val="Compact"/>
            </w:pPr>
            <w:r>
              <w:t xml:space="preserve">the device cert authenticates the stream (</w:t>
            </w: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§12/§13)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IPAM → enroll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HVPN-P1-031</w:t>
            </w:r>
            <w:r>
              <w:t xml:space="preserve"> </w:t>
            </w:r>
            <w:r>
              <w:t xml:space="preserve">deps</w:t>
            </w:r>
            <w:r>
              <w:t xml:space="preserve"> </w:t>
            </w:r>
            <w:r>
              <w:rPr>
                <w:rStyle w:val="VerbatimChar"/>
              </w:rPr>
              <w:t xml:space="preserve">HVPN-P1-040</w:t>
            </w:r>
          </w:p>
        </w:tc>
        <w:tc>
          <w:tcPr/>
          <w:p>
            <w:pPr>
              <w:pStyle w:val="Compact"/>
            </w:pPr>
            <w:r>
              <w:t xml:space="preserve">enroll allocates the overlay IP before issuing the map (</w:t>
            </w: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Xb0304f18b08f02b2b181504fa394265dcf36d5a"/>
    <w:p>
      <w:pPr>
        <w:pStyle w:val="Heading2"/>
      </w:pPr>
      <w:r>
        <w:t xml:space="preserve">5. Phase-2 critical path + parallel high-risk tracks</w:t>
      </w:r>
    </w:p>
    <w:p>
      <w:pPr>
        <w:pStyle w:val="FirstParagraph"/>
      </w:pPr>
      <w:r>
        <w:t xml:space="preserve">Phase 2 is additive off the shipped MVP 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§4). The networking/reach spine</w:t>
      </w:r>
      <w:r>
        <w:t xml:space="preserve"> </w:t>
      </w:r>
      <w:r>
        <w:t xml:space="preserve">is the critical path; PQ and DAITA are parallel measure-don't-assert tracks.</w:t>
      </w:r>
    </w:p>
    <w:p>
      <w:pPr>
        <w:pStyle w:val="BodyText"/>
      </w:pPr>
      <w:r>
        <w:drawing>
          <wp:inline>
            <wp:extent cx="5334000" cy="2966357"/>
            <wp:effectExtent b="0" l="0" r="0" t="0"/>
            <wp:docPr descr="diagram" title="" id="28" name="Picture"/>
            <a:graphic>
              <a:graphicData uri="http://schemas.openxmlformats.org/drawingml/2006/picture">
                <pic:pic>
                  <pic:nvPicPr>
                    <pic:cNvPr descr="/tmp/.private/milosvasic/tmp.GzV8LyWzeP/img/diagram_005_e68f980d652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6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Critical path:</w:t>
      </w:r>
      <w:r>
        <w:t xml:space="preserve"> </w:t>
      </w:r>
      <w:r>
        <w:rPr>
          <w:rStyle w:val="VerbatimChar"/>
        </w:rPr>
        <w:t xml:space="preserve">E27(270→271→272→273→274) → E22(220→221→222→223→224→225) → E23(230→231→232) → E29(290→295→297) → E30(301)</w:t>
      </w:r>
      <w:r>
        <w:t xml:space="preserve"> </w:t>
      </w:r>
      <w:r>
        <w:t xml:space="preserve">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§19). E27 leads because</w:t>
      </w:r>
      <w:r>
        <w:t xml:space="preserve"> </w:t>
      </w:r>
      <w:r>
        <w:t xml:space="preserve">the STUN endpoints, relay fleet, and NATS mesh that E22/E26/E28 consume are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outputs (</w:t>
      </w:r>
      <w:r>
        <w:rPr>
          <w:rStyle w:val="VerbatimChar"/>
        </w:rPr>
        <w:t xml:space="preserve">08-…</w:t>
      </w:r>
      <w:r>
        <w:t xml:space="preserve"> </w:t>
      </w:r>
      <w:r>
        <w:t xml:space="preserve">§4):</w:t>
      </w:r>
      <w:r>
        <w:t xml:space="preserve"> </w:t>
      </w:r>
      <w:r>
        <w:rPr>
          <w:rStyle w:val="VerbatimChar"/>
        </w:rPr>
        <w:t xml:space="preserve">HVPN-P2-220</w:t>
      </w:r>
      <w:r>
        <w:t xml:space="preserve"> </w:t>
      </w:r>
      <w:r>
        <w:t xml:space="preserve">(STUN discovery) deps</w:t>
      </w:r>
      <w:r>
        <w:t xml:space="preserve"> </w:t>
      </w:r>
      <w:r>
        <w:rPr>
          <w:rStyle w:val="VerbatimChar"/>
        </w:rPr>
        <w:t xml:space="preserve">HVPN-P2-271</w:t>
      </w:r>
      <w:r>
        <w:t xml:space="preserve">;</w:t>
      </w:r>
      <w:r>
        <w:t xml:space="preserve"> </w:t>
      </w:r>
      <w:r>
        <w:rPr>
          <w:rStyle w:val="VerbatimChar"/>
        </w:rPr>
        <w:t xml:space="preserve">HVPN-P2-223</w:t>
      </w:r>
      <w:r>
        <w:t xml:space="preserve"> </w:t>
      </w:r>
      <w:r>
        <w:t xml:space="preserve">(relay) deps</w:t>
      </w:r>
      <w:r>
        <w:t xml:space="preserve"> </w:t>
      </w:r>
      <w:r>
        <w:rPr>
          <w:rStyle w:val="VerbatimChar"/>
        </w:rPr>
        <w:t xml:space="preserve">HVPN-P2-273</w:t>
      </w:r>
      <w:r>
        <w:t xml:space="preserve">. The two high-risk parallel tracks that</w:t>
      </w:r>
      <w:r>
        <w:t xml:space="preserve"> </w:t>
      </w:r>
      <w:r>
        <w:t xml:space="preserve">converge at E29 but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sit on the networking critical path:</w:t>
      </w:r>
      <w:r>
        <w:t xml:space="preserve"> </w:t>
      </w:r>
      <w:r>
        <w:rPr>
          <w:b/>
          <w:bCs/>
        </w:rPr>
        <w:t xml:space="preserve">E24 (PQ)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E21 (DAITA)</w:t>
      </w:r>
      <w:r>
        <w:t xml:space="preserve"> </w:t>
      </w:r>
      <w:r>
        <w:t xml:space="preserve">— each a disjoint-scope PWU (§11.4.58). Per §11.4.132 the</w:t>
      </w:r>
      <w:r>
        <w:t xml:space="preserve"> </w:t>
      </w:r>
      <w:r>
        <w:t xml:space="preserve">correctness-and-downgrade-safety floor leads: NAT-traversal honesty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HVPN-P2-222</w:t>
      </w:r>
      <w:r>
        <w:t xml:space="preserve"> </w:t>
      </w:r>
      <w:r>
        <w:t xml:space="preserve">no-false-direct), PQ never-weaker-than-classical (</w:t>
      </w:r>
      <w:r>
        <w:rPr>
          <w:rStyle w:val="VerbatimChar"/>
        </w:rPr>
        <w:t xml:space="preserve">HVPN-P2-242</w:t>
      </w:r>
      <w:r>
        <w:t xml:space="preserve">),</w:t>
      </w:r>
      <w:r>
        <w:t xml:space="preserve"> </w:t>
      </w:r>
      <w:r>
        <w:t xml:space="preserve">DAITA measured efficacy (</w:t>
      </w:r>
      <w:r>
        <w:rPr>
          <w:rStyle w:val="VerbatimChar"/>
        </w:rPr>
        <w:t xml:space="preserve">HVPN-P2-213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4" w:name="Xfc9b47a5f182a4cb7ea3bc274b725d71ea71b0c"/>
    <w:p>
      <w:pPr>
        <w:pStyle w:val="Heading2"/>
      </w:pPr>
      <w:r>
        <w:t xml:space="preserve">6. Phase-3 critical path + device-gated parking</w:t>
      </w:r>
    </w:p>
    <w:p>
      <w:pPr>
        <w:pStyle w:val="FirstParagraph"/>
      </w:pPr>
      <w:r>
        <w:t xml:space="preserve">Phase 3's two native shims (E21 HarmonyOS, E22 Aurora) are the make-or-break</w:t>
      </w:r>
      <w:r>
        <w:t xml:space="preserve"> </w:t>
      </w:r>
      <w:r>
        <w:t xml:space="preserve">carries; they run as disjoint-scope parallel PWUs the moment E20's fork runners</w:t>
      </w:r>
      <w:r>
        <w:t xml:space="preserve"> </w:t>
      </w:r>
      <w:r>
        <w:t xml:space="preserve">exist, and</w:t>
      </w:r>
      <w:r>
        <w:t xml:space="preserve"> </w:t>
      </w:r>
      <w:r>
        <w:rPr>
          <w:i/>
          <w:iCs/>
        </w:rPr>
        <w:t xml:space="preserve">park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PENDING_DEVICE</w:t>
      </w:r>
      <w:r>
        <w:t xml:space="preserve"> </w:t>
      </w:r>
      <w:r>
        <w:t xml:space="preserve">while host-only work proceeds 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§4).</w:t>
      </w:r>
    </w:p>
    <w:p>
      <w:pPr>
        <w:pStyle w:val="BodyText"/>
      </w:pPr>
      <w:r>
        <w:drawing>
          <wp:inline>
            <wp:extent cx="5334000" cy="1911803"/>
            <wp:effectExtent b="0" l="0" r="0" t="0"/>
            <wp:docPr descr="diagram" title="" id="32" name="Picture"/>
            <a:graphic>
              <a:graphicData uri="http://schemas.openxmlformats.org/drawingml/2006/picture">
                <pic:pic>
                  <pic:nvPicPr>
                    <pic:cNvPr descr="/tmp/.private/milosvasic/tmp.GzV8LyWzeP/img/diagram_006_e48857286ef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Critical path (risk-ordered §11.4.132):</w:t>
      </w:r>
      <w:r>
        <w:t xml:space="preserve"> </w:t>
      </w:r>
      <w:r>
        <w:rPr>
          <w:rStyle w:val="VerbatimChar"/>
        </w:rPr>
        <w:t xml:space="preserve">E20(200/201→203) → {E21(210→211→214) ∥ E22(220→221→223)} → E25(250→252→253→254) → E27(271→272)</w:t>
      </w:r>
      <w:r>
        <w:t xml:space="preserve">. E25 (audit) is a</w:t>
      </w:r>
      <w:r>
        <w:t xml:space="preserve"> </w:t>
      </w:r>
      <w:r>
        <w:rPr>
          <w:b/>
          <w:bCs/>
        </w:rPr>
        <w:t xml:space="preserve">convergence gate</w:t>
      </w:r>
      <w:r>
        <w:t xml:space="preserve"> </w:t>
      </w:r>
      <w:r>
        <w:t xml:space="preserve">— it cannot start until the</w:t>
      </w:r>
      <w:r>
        <w:t xml:space="preserve"> </w:t>
      </w:r>
      <w:r>
        <w:t xml:space="preserve">surfaces it audits (E21–E24) are feature-complete (</w:t>
      </w:r>
      <w:r>
        <w:rPr>
          <w:rStyle w:val="VerbatimChar"/>
        </w:rPr>
        <w:t xml:space="preserve">HVPN-P3-250</w:t>
      </w:r>
      <w:r>
        <w:t xml:space="preserve"> </w:t>
      </w:r>
      <w:r>
        <w:t xml:space="preserve">deps</w:t>
      </w:r>
      <w:r>
        <w:t xml:space="preserve"> </w:t>
      </w:r>
      <w:r>
        <w:rPr>
          <w:rStyle w:val="VerbatimChar"/>
        </w:rPr>
        <w:t xml:space="preserve">214,223,233,244</w:t>
      </w:r>
      <w:r>
        <w:t xml:space="preserve">).</w:t>
      </w:r>
      <w:r>
        <w:t xml:space="preserve"> </w:t>
      </w:r>
      <w:r>
        <w:rPr>
          <w:b/>
          <w:bCs/>
        </w:rPr>
        <w:t xml:space="preserve">E26 (reproducible builds, 260→263→264) runs ∥ E25</w:t>
      </w:r>
      <w:r>
        <w:t xml:space="preserve">, gated</w:t>
      </w:r>
      <w:r>
        <w:t xml:space="preserve"> </w:t>
      </w:r>
      <w:r>
        <w:t xml:space="preserve">only by E20:</w:t>
      </w:r>
      <w:r>
        <w:t xml:space="preserve"> </w:t>
      </w:r>
      <w:r>
        <w:rPr>
          <w:rStyle w:val="VerbatimChar"/>
        </w:rPr>
        <w:t xml:space="preserve">HVPN-P3-260</w:t>
      </w:r>
      <w:r>
        <w:t xml:space="preserve"> </w:t>
      </w:r>
      <w:r>
        <w:t xml:space="preserve">deps</w:t>
      </w:r>
      <w:r>
        <w:t xml:space="preserve"> </w:t>
      </w:r>
      <w:r>
        <w:rPr>
          <w:rStyle w:val="VerbatimChar"/>
        </w:rPr>
        <w:t xml:space="preserve">HVPN-P3-202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200/201</w:t>
      </w:r>
      <w:r>
        <w:t xml:space="preserve">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P3-254</w:t>
      </w:r>
      <w:r>
        <w:t xml:space="preserve"> </w:t>
      </w:r>
      <w:r>
        <w:t xml:space="preserve">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§11). Both E25 (</w:t>
      </w:r>
      <w:r>
        <w:rPr>
          <w:rStyle w:val="VerbatimChar"/>
        </w:rPr>
        <w:t xml:space="preserve">254</w:t>
      </w:r>
      <w:r>
        <w:t xml:space="preserve">) and E26 (</w:t>
      </w:r>
      <w:r>
        <w:rPr>
          <w:rStyle w:val="VerbatimChar"/>
        </w:rPr>
        <w:t xml:space="preserve">264</w:t>
      </w:r>
      <w:r>
        <w:t xml:space="preserve">) converge into the release set at</w:t>
      </w:r>
      <w:r>
        <w:t xml:space="preserve"> </w:t>
      </w:r>
      <w:r>
        <w:rPr>
          <w:rStyle w:val="VerbatimChar"/>
        </w:rPr>
        <w:t xml:space="preserve">HVPN-P3-271</w:t>
      </w:r>
      <w:r>
        <w:t xml:space="preserve"> </w:t>
      </w:r>
      <w:r>
        <w:t xml:space="preserve">(deps</w:t>
      </w:r>
      <w:r>
        <w:t xml:space="preserve"> </w:t>
      </w:r>
      <w:r>
        <w:rPr>
          <w:rStyle w:val="VerbatimChar"/>
        </w:rPr>
        <w:t xml:space="preserve">…,254,264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§14 critical-path note sequences</w:t>
      </w:r>
      <w:r>
        <w:t xml:space="preserve"> </w:t>
      </w:r>
      <w:r>
        <w:t xml:space="preserve">E25→E26; this DAG corrects that to the actual</w:t>
      </w:r>
      <w:r>
        <w:t xml:space="preserve"> </w:t>
      </w:r>
      <w:r>
        <w:rPr>
          <w:rStyle w:val="VerbatimChar"/>
        </w:rPr>
        <w:t xml:space="preserve">deps</w:t>
      </w:r>
      <w:r>
        <w:t xml:space="preserve"> </w:t>
      </w:r>
      <w:r>
        <w:t xml:space="preserve">edges per §0 (nothing</w:t>
      </w:r>
      <w:r>
        <w:t xml:space="preserve"> </w:t>
      </w:r>
      <w:r>
        <w:t xml:space="preserve">invented). While E21/E22 await device access (</w:t>
      </w:r>
      <w:r>
        <w:rPr>
          <w:rStyle w:val="VerbatimChar"/>
        </w:rPr>
        <w:t xml:space="preserve">PENDING_DEVICE</w:t>
      </w:r>
      <w:r>
        <w:t xml:space="preserve">),</w:t>
      </w:r>
      <w:r>
        <w:t xml:space="preserve"> </w:t>
      </w:r>
      <w:r>
        <w:t xml:space="preserve">E23/E24/E26-tooling progress as ≥3 background streams (§11.4.103,</w:t>
      </w:r>
      <w:r>
        <w:t xml:space="preserve"> 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§4).</w:t>
      </w:r>
    </w:p>
    <w:p>
      <w:r>
        <w:pict>
          <v:rect style="width:0;height:1.5pt" o:hralign="center" o:hrstd="t" o:hr="t"/>
        </w:pict>
      </w:r>
    </w:p>
    <w:bookmarkEnd w:id="34"/>
    <w:bookmarkStart w:id="35" w:name="X1beea61c19110c9b7ad218d909aabad2a15b57e"/>
    <w:p>
      <w:pPr>
        <w:pStyle w:val="Heading2"/>
      </w:pPr>
      <w:r>
        <w:t xml:space="preserve">7. Master dependency table (item → depends-on → blocks)</w:t>
      </w:r>
    </w:p>
    <w:p>
      <w:pPr>
        <w:pStyle w:val="FirstParagraph"/>
      </w:pPr>
      <w:r>
        <w:t xml:space="preserve">The load-bearing edges per phase (selected critical/cross-component edges; the</w:t>
      </w:r>
      <w:r>
        <w:t xml:space="preserve"> </w:t>
      </w:r>
      <w:r>
        <w:t xml:space="preserve">full set is every</w:t>
      </w:r>
      <w:r>
        <w:t xml:space="preserve"> </w:t>
      </w:r>
      <w:r>
        <w:rPr>
          <w:rStyle w:val="VerbatimChar"/>
        </w:rPr>
        <w:t xml:space="preserve">deps</w:t>
      </w:r>
      <w:r>
        <w:t xml:space="preserve">/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field in the four WBS docs, which the</w:t>
      </w:r>
      <w:r>
        <w:t xml:space="preserve"> </w:t>
      </w:r>
      <w:r>
        <w:t xml:space="preserve">loader ingests).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 </w:t>
      </w:r>
      <w:r>
        <w:t xml:space="preserve">= the inverse edge (what waits on this item).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Blocks (selected)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HVPN-P0-004</w:t>
            </w:r>
            <w:r>
              <w:t xml:space="preserve"> </w:t>
            </w:r>
            <w:r>
              <w:t xml:space="preserve">Transport trait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HVPN-P0-008</w:t>
            </w:r>
            <w:r>
              <w:t xml:space="preserve">,</w:t>
            </w:r>
            <w:r>
              <w:rPr>
                <w:rStyle w:val="VerbatimChar"/>
              </w:rPr>
              <w:t xml:space="preserve">028</w:t>
            </w:r>
            <w:r>
              <w:t xml:space="preserve">,</w:t>
            </w:r>
            <w:r>
              <w:rPr>
                <w:rStyle w:val="VerbatimChar"/>
              </w:rPr>
              <w:t xml:space="preserve">049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06-…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HVPN-P0-008</w:t>
            </w:r>
            <w:r>
              <w:t xml:space="preserve"> </w:t>
            </w:r>
            <w: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HVPN-P0-018</w:t>
            </w:r>
            <w:r>
              <w:t xml:space="preserve"> </w:t>
            </w:r>
            <w:r>
              <w:t xml:space="preserve">(orchestrator)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06-…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HVPN-P0-025</w:t>
            </w:r>
            <w:r>
              <w:t xml:space="preserve"> </w:t>
            </w:r>
            <w:r>
              <w:t xml:space="preserve">G1 reach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HVPN-P0-020,023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HVPN-P1-001</w:t>
            </w:r>
            <w:r>
              <w:t xml:space="preserve"> </w:t>
            </w:r>
            <w:r>
              <w:t xml:space="preserve">(G1 entry)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06-…</w:t>
            </w:r>
            <w:r>
              <w:t xml:space="preserve"> </w:t>
            </w: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HVPN-P0-035</w:t>
            </w:r>
            <w:r>
              <w:t xml:space="preserve"> </w:t>
            </w:r>
            <w:r>
              <w:t xml:space="preserve">G2 MASQUE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HVPN-P0-031,024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HVPN-P1-002</w:t>
            </w:r>
            <w:r>
              <w:t xml:space="preserve"> </w:t>
            </w:r>
            <w:r>
              <w:t xml:space="preserve">(G2 entry)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06-…</w:t>
            </w:r>
            <w:r>
              <w:t xml:space="preserve"> </w:t>
            </w: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HVPN-P0-039</w:t>
            </w:r>
            <w:r>
              <w:t xml:space="preserve"> </w:t>
            </w:r>
            <w:r>
              <w:t xml:space="preserve">Rust edge (</w:t>
            </w:r>
            <w:r>
              <w:rPr>
                <w:rStyle w:val="VerbatimChar"/>
              </w:rPr>
              <w:t xml:space="preserve">helix-edge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HVPN-P0-045</w:t>
            </w:r>
            <w:r>
              <w:t xml:space="preserve"> </w:t>
            </w:r>
            <w:r>
              <w:t xml:space="preserve">(A/B bench, G4)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06-…</w:t>
            </w:r>
            <w:r>
              <w:t xml:space="preserve"> </w:t>
            </w: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HVPN-P0-045</w:t>
            </w:r>
            <w:r>
              <w:t xml:space="preserve"> </w:t>
            </w:r>
            <w:r>
              <w:t xml:space="preserve">G4 bench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HVPN-P0-040,043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HVPN-P1-004</w:t>
            </w:r>
            <w:r>
              <w:t xml:space="preserve"> </w:t>
            </w:r>
            <w:r>
              <w:t xml:space="preserve">(edge lang)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06-…</w:t>
            </w:r>
            <w:r>
              <w:t xml:space="preserve"> </w:t>
            </w: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HVPN-P1-010</w:t>
            </w:r>
            <w:r>
              <w:t xml:space="preserve"> </w:t>
            </w:r>
            <w:r>
              <w:t xml:space="preserve">monorepo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HVPN-P1-005</w:t>
            </w:r>
            <w:r>
              <w:t xml:space="preserve"> </w:t>
            </w:r>
            <w:r>
              <w:t xml:space="preserve">(G5)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HVPN-P1-011,013,110,150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HVPN-P1-022</w:t>
            </w:r>
            <w:r>
              <w:t xml:space="preserve"> </w:t>
            </w:r>
            <w:r>
              <w:t xml:space="preserve">FORCE-RLS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HVPN-P1-030,032,040,050,060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HVPN-P1-061</w:t>
            </w:r>
            <w:r>
              <w:t xml:space="preserve"> </w:t>
            </w:r>
            <w:r>
              <w:t xml:space="preserve">policy compiler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HVPN-P1-062,070,102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HVPN-P1-072</w:t>
            </w:r>
            <w:r>
              <w:t xml:space="preserve"> </w:t>
            </w:r>
            <w:r>
              <w:t xml:space="preserve">WatchNetworkMap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HVPN-P1-071,080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HVPN-P1-073,092,101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HVPN-P1-090</w:t>
            </w:r>
            <w:r>
              <w:t xml:space="preserve"> </w:t>
            </w:r>
            <w:r>
              <w:t xml:space="preserve">Transport (prod)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HVPN-P1-091,093,100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HVPN-P1-100</w:t>
            </w:r>
            <w:r>
              <w:t xml:space="preserve"> </w:t>
            </w:r>
            <w:r>
              <w:t xml:space="preserve">edge MASQUE term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HVPN-P1-090,004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HVPN-P1-101,102,261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HVPN-P1-145</w:t>
            </w:r>
            <w:r>
              <w:t xml:space="preserve"> </w:t>
            </w:r>
            <w:r>
              <w:t xml:space="preserve">DoD 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140,141,142,143,144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HVPN-P1-151</w:t>
            </w:r>
            <w:r>
              <w:t xml:space="preserve"> </w:t>
            </w:r>
            <w:r>
              <w:t xml:space="preserve">(tag)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07-…</w:t>
            </w:r>
            <w:r>
              <w:t xml:space="preserve"> </w:t>
            </w:r>
            <w:r>
              <w:t xml:space="preserve">§19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HVPN-P2-190</w:t>
            </w:r>
            <w:r>
              <w:t xml:space="preserve"> </w:t>
            </w:r>
            <w:r>
              <w:t xml:space="preserve">Transport seam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HVPN-P1-090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HVPN-P2-200,201,202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08-…</w:t>
            </w:r>
            <w:r>
              <w:t xml:space="preserve"> </w:t>
            </w: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HVPN-P2-220</w:t>
            </w:r>
            <w:r>
              <w:t xml:space="preserve"> </w:t>
            </w:r>
            <w:r>
              <w:t xml:space="preserve">STUN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HVPN-P2-191,271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HVPN-P2-221,222,296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08-…</w:t>
            </w:r>
            <w:r>
              <w:t xml:space="preserve"> </w:t>
            </w: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HVPN-P2-222</w:t>
            </w:r>
            <w:r>
              <w:t xml:space="preserve"> </w:t>
            </w:r>
            <w:r>
              <w:t xml:space="preserve">hole-punch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HVPN-P2-220,221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HVPN-P2-223,224,290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08-…</w:t>
            </w:r>
            <w:r>
              <w:t xml:space="preserve"> </w:t>
            </w: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HVPN-P2-240</w:t>
            </w:r>
            <w:r>
              <w:t xml:space="preserve"> </w:t>
            </w:r>
            <w:r>
              <w:t xml:space="preserve">ML-KEM PSK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HVPN-P2-241,244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08-…</w:t>
            </w:r>
            <w:r>
              <w:t xml:space="preserve"> </w:t>
            </w:r>
            <w: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HVPN-P2-272</w:t>
            </w:r>
            <w:r>
              <w:t xml:space="preserve"> </w:t>
            </w:r>
            <w:r>
              <w:t xml:space="preserve">NATS mesh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HVPN-P2-273,281,295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08-…</w:t>
            </w:r>
            <w:r>
              <w:t xml:space="preserve"> </w:t>
            </w:r>
            <w:r>
              <w:t xml:space="preserve">§13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HVPN-P2-297</w:t>
            </w:r>
            <w:r>
              <w:t xml:space="preserve"> </w:t>
            </w:r>
            <w:r>
              <w:t xml:space="preserve">Phase-2 DoD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290..296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HVPN-P2-301</w:t>
            </w:r>
            <w:r>
              <w:t xml:space="preserve"> </w:t>
            </w:r>
            <w:r>
              <w:t xml:space="preserve">(tag)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08-…</w:t>
            </w:r>
            <w:r>
              <w:t xml:space="preserve"> </w:t>
            </w:r>
            <w:r>
              <w:t xml:space="preserve">§15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HVPN-P3-200/201</w:t>
            </w:r>
            <w:r>
              <w:t xml:space="preserve"> </w:t>
            </w:r>
            <w:r>
              <w:t xml:space="preserve">fork runners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HVPN-P3-210,220,230,260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09-…</w:t>
            </w:r>
            <w:r>
              <w:t xml:space="preserve"> </w:t>
            </w: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HVPN-P3-210</w:t>
            </w:r>
            <w:r>
              <w:t xml:space="preserve"> </w:t>
            </w:r>
            <w:r>
              <w:t xml:space="preserve">OHOS cross-compile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HVPN-P3-211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09-…</w:t>
            </w:r>
            <w:r>
              <w:t xml:space="preserve"> </w:t>
            </w: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HVPN-P3-250</w:t>
            </w:r>
            <w:r>
              <w:t xml:space="preserve"> </w:t>
            </w:r>
            <w:r>
              <w:t xml:space="preserve">audit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214,223,233,244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HVPN-P3-252,253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09-…</w:t>
            </w:r>
            <w:r>
              <w:t xml:space="preserve"> </w:t>
            </w:r>
            <w: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HVPN-P3-260</w:t>
            </w:r>
            <w:r>
              <w:t xml:space="preserve"> </w:t>
            </w:r>
            <w:r>
              <w:t xml:space="preserve">determinize builds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HVPN-P3-202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HVPN-P3-261,262,263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09-…</w:t>
            </w:r>
            <w:r>
              <w:t xml:space="preserve"> </w:t>
            </w:r>
            <w:r>
              <w:t xml:space="preserve">§11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e5d9a553b9a5cc18616647344c1d3b526eac2ee"/>
    <w:p>
      <w:pPr>
        <w:pStyle w:val="Heading2"/>
      </w:pPr>
      <w:r>
        <w:t xml:space="preserve">8. Critical-path call-out + parallelism rules</w:t>
      </w:r>
    </w:p>
    <w:p>
      <w:pPr>
        <w:pStyle w:val="FirstParagraph"/>
      </w:pPr>
      <w:r>
        <w:rPr>
          <w:b/>
          <w:bCs/>
        </w:rPr>
        <w:t xml:space="preserve">The single longest chain to a published release</w:t>
      </w:r>
      <w:r>
        <w:t xml:space="preserve"> </w:t>
      </w:r>
      <w:r>
        <w:t xml:space="preserve">(programme critical path,</w:t>
      </w:r>
      <w:r>
        <w:t xml:space="preserve"> </w:t>
      </w:r>
      <w:r>
        <w:t xml:space="preserve">concatenating the per-phase critical paths at the gate boundaries):</w:t>
      </w:r>
    </w:p>
    <w:p>
      <w:pPr>
        <w:pStyle w:val="SourceCode"/>
      </w:pPr>
      <w:r>
        <w:rPr>
          <w:rStyle w:val="VerbatimChar"/>
        </w:rPr>
        <w:t xml:space="preserve">Phase 0:  HVPN-P0-002 → 004 → 008 → 018 → 025(G1) → 031 → 035(G2) → 045(G4)</w:t>
      </w:r>
      <w:r>
        <w:br/>
      </w:r>
      <w:r>
        <w:rPr>
          <w:rStyle w:val="VerbatimChar"/>
        </w:rPr>
        <w:t xml:space="preserve">Phase 1:  → P1-010 → 022 → 032 → 070 → 071 → 072 → 092 → 094 → 100 → 102 → 145 → 151(MVP tag)</w:t>
      </w:r>
      <w:r>
        <w:br/>
      </w:r>
      <w:r>
        <w:rPr>
          <w:rStyle w:val="VerbatimChar"/>
        </w:rPr>
        <w:t xml:space="preserve">Phase 2:  → P2-270 → 271 → 272 → 220 → 222 → 223 → 224 → 230 → 232 → 295 → 297 → 301(parity tag)</w:t>
      </w:r>
      <w:r>
        <w:br/>
      </w:r>
      <w:r>
        <w:rPr>
          <w:rStyle w:val="VerbatimChar"/>
        </w:rPr>
        <w:t xml:space="preserve">Phase 3:  → P3-200 → 203(G20) → 210 → 211 → 214(G21) → 250 → 252 → 253 → 254(G25) → 271 → 272(reach tag)   [∥ E26: 260→263→264(G26), gated on P3-202, converges at 271]</w:t>
      </w:r>
    </w:p>
    <w:p>
      <w:pPr>
        <w:pStyle w:val="BlockText"/>
      </w:pPr>
      <w:r>
        <w:rPr>
          <w:rStyle w:val="VerbatimChar"/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here is sequence, not necessarily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deps</w:t>
      </w:r>
      <w:r>
        <w:rPr>
          <w:b/>
          <w:bCs/>
        </w:rPr>
        <w:t xml:space="preserve"> </w:t>
      </w:r>
      <w:r>
        <w:rPr>
          <w:b/>
          <w:bCs/>
        </w:rPr>
        <w:t xml:space="preserve">edge.</w:t>
      </w:r>
      <w:r>
        <w:t xml:space="preserve"> </w:t>
      </w:r>
      <w:r>
        <w:t xml:space="preserve">Within each per-phase</w:t>
      </w:r>
      <w:r>
        <w:t xml:space="preserve"> </w:t>
      </w:r>
      <w:r>
        <w:t xml:space="preserve">line above,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denotes</w:t>
      </w:r>
      <w:r>
        <w:t xml:space="preserve"> </w:t>
      </w:r>
      <w:r>
        <w:rPr>
          <w:b/>
          <w:bCs/>
        </w:rPr>
        <w:t xml:space="preserve">execution sequence</w:t>
      </w:r>
      <w:r>
        <w:t xml:space="preserve"> </w:t>
      </w:r>
      <w:r>
        <w:t xml:space="preserve">(risk-ordered §11.4.132), not</w:t>
      </w:r>
      <w:r>
        <w:t xml:space="preserve"> </w:t>
      </w:r>
      <w:r>
        <w:t xml:space="preserve">the §0 dependency relation. Some adjacent steps are ordered by phase/gate</w:t>
      </w:r>
      <w:r>
        <w:t xml:space="preserve"> </w:t>
      </w:r>
      <w:r>
        <w:t xml:space="preserve">sequencing and reach their successor through intermediate</w:t>
      </w:r>
      <w:r>
        <w:t xml:space="preserve"> </w:t>
      </w:r>
      <w:r>
        <w:rPr>
          <w:rStyle w:val="VerbatimChar"/>
        </w:rPr>
        <w:t xml:space="preserve">deps</w:t>
      </w:r>
      <w:r>
        <w:t xml:space="preserve"> </w:t>
      </w:r>
      <w:r>
        <w:t xml:space="preserve">not shown</w:t>
      </w:r>
      <w:r>
        <w:t xml:space="preserve"> </w:t>
      </w:r>
      <w:r>
        <w:t xml:space="preserve">inline — e.g. P0</w:t>
      </w:r>
      <w:r>
        <w:t xml:space="preserve"> </w:t>
      </w:r>
      <w:r>
        <w:rPr>
          <w:rStyle w:val="VerbatimChar"/>
        </w:rPr>
        <w:t xml:space="preserve">018→025</w:t>
      </w:r>
      <w:r>
        <w:t xml:space="preserve">, P1</w:t>
      </w:r>
      <w:r>
        <w:t xml:space="preserve"> </w:t>
      </w:r>
      <w:r>
        <w:rPr>
          <w:rStyle w:val="VerbatimChar"/>
        </w:rPr>
        <w:t xml:space="preserve">094→100</w:t>
      </w:r>
      <w:r>
        <w:t xml:space="preserve">/</w:t>
      </w:r>
      <w:r>
        <w:rPr>
          <w:rStyle w:val="VerbatimChar"/>
        </w:rPr>
        <w:t xml:space="preserve">100→102</w:t>
      </w:r>
      <w:r>
        <w:t xml:space="preserve">/</w:t>
      </w:r>
      <w:r>
        <w:rPr>
          <w:rStyle w:val="VerbatimChar"/>
        </w:rPr>
        <w:t xml:space="preserve">102→145</w:t>
      </w:r>
      <w:r>
        <w:t xml:space="preserve">, P2</w:t>
      </w:r>
      <w:r>
        <w:t xml:space="preserve"> </w:t>
      </w:r>
      <w:r>
        <w:rPr>
          <w:rStyle w:val="VerbatimChar"/>
        </w:rPr>
        <w:t xml:space="preserve">272→220</w:t>
      </w:r>
      <w:r>
        <w:t xml:space="preserve">/</w:t>
      </w:r>
      <w:r>
        <w:rPr>
          <w:rStyle w:val="VerbatimChar"/>
        </w:rPr>
        <w:t xml:space="preserve">290→295</w:t>
      </w:r>
      <w:r>
        <w:t xml:space="preserve">/</w:t>
      </w:r>
      <w:r>
        <w:rPr>
          <w:rStyle w:val="VerbatimChar"/>
        </w:rPr>
        <w:t xml:space="preserve">232→295</w:t>
      </w:r>
      <w:r>
        <w:t xml:space="preserve">. The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dependency edges (where</w:t>
      </w:r>
      <w:r>
        <w:t xml:space="preserve"> </w:t>
      </w:r>
      <w:r>
        <w:rPr>
          <w:rStyle w:val="VerbatimChar"/>
        </w:rPr>
        <w:t xml:space="preserve">A → B</w:t>
      </w:r>
      <w:r>
        <w:t xml:space="preserve"> </w:t>
      </w:r>
      <w:r>
        <w:t xml:space="preserve">means B</w:t>
      </w:r>
      <w:r>
        <w:t xml:space="preserve"> </w:t>
      </w:r>
      <w:r>
        <w:rPr>
          <w:rStyle w:val="VerbatimChar"/>
        </w:rPr>
        <w:t xml:space="preserve">deps</w:t>
      </w:r>
      <w:r>
        <w:t xml:space="preserve"> </w:t>
      </w:r>
      <w:r>
        <w:t xml:space="preserve">A per §0) are those enumerated in §2–§7 and the WBS docs.</w:t>
      </w:r>
    </w:p>
    <w:p>
      <w:pPr>
        <w:pStyle w:val="FirstParagraph"/>
      </w:pPr>
      <w:r>
        <w:t xml:space="preserve">Parallelism rules that compress this wall-clock (each cited to a constitution</w:t>
      </w:r>
      <w:r>
        <w:t xml:space="preserve"> </w:t>
      </w:r>
      <w:r>
        <w:t xml:space="preserve">anchor + the WBS note that invokes it):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Where it applies</w:t>
            </w:r>
          </w:p>
        </w:tc>
        <w:tc>
          <w:tcPr/>
          <w:p>
            <w:pPr>
              <w:pStyle w:val="Compact"/>
            </w:pPr>
            <w:r>
              <w:t xml:space="preserve">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Disjoint-scope PWUs run fully parallel</w:t>
            </w:r>
          </w:p>
        </w:tc>
        <w:tc>
          <w:tcPr/>
          <w:p>
            <w:pPr>
              <w:pStyle w:val="Compact"/>
            </w:pPr>
            <w:r>
              <w:t xml:space="preserve">P1 E04/E05/E06 off E02; P2 E20/E21/E24/E25; P3 E23/E24 off E20</w:t>
            </w:r>
          </w:p>
        </w:tc>
        <w:tc>
          <w:tcPr/>
          <w:p>
            <w:pPr>
              <w:pStyle w:val="Compact"/>
            </w:pPr>
            <w:r>
              <w:t xml:space="preserve">§11.4.58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≥3 background streams + auto-backfill</w:t>
            </w:r>
          </w:p>
        </w:tc>
        <w:tc>
          <w:tcPr/>
          <w:p>
            <w:pPr>
              <w:pStyle w:val="Compact"/>
            </w:pPr>
            <w:r>
              <w:t xml:space="preserve">every phase; P3 while shims park on</w:t>
            </w:r>
            <w:r>
              <w:t xml:space="preserve"> </w:t>
            </w:r>
            <w:r>
              <w:rPr>
                <w:rStyle w:val="VerbatimChar"/>
              </w:rPr>
              <w:t xml:space="preserve">PENDING_DEVICE</w:t>
            </w:r>
          </w:p>
        </w:tc>
        <w:tc>
          <w:tcPr/>
          <w:p>
            <w:pPr>
              <w:pStyle w:val="Compact"/>
            </w:pPr>
            <w:r>
              <w:t xml:space="preserve">§11.4.103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Single-resource-owner for shared hardware</w:t>
            </w:r>
          </w:p>
        </w:tc>
        <w:tc>
          <w:tcPr/>
          <w:p>
            <w:pPr>
              <w:pStyle w:val="Compact"/>
            </w:pPr>
            <w:r>
              <w:t xml:space="preserve">P0 S4 vs S7 must NOT share the bench host at once</w:t>
            </w:r>
          </w:p>
        </w:tc>
        <w:tc>
          <w:tcPr/>
          <w:p>
            <w:pPr>
              <w:pStyle w:val="Compact"/>
            </w:pPr>
            <w:r>
              <w:t xml:space="preserve">§11.4.119 (</w:t>
            </w:r>
            <w:r>
              <w:rPr>
                <w:rStyle w:val="VerbatimChar"/>
              </w:rPr>
              <w:t xml:space="preserve">06-…</w:t>
            </w:r>
            <w:r>
              <w:t xml:space="preserve"> </w:t>
            </w:r>
            <w:r>
              <w:t xml:space="preserve">§2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Risk-ordered sequencing (highest-risk first)</w:t>
            </w:r>
          </w:p>
        </w:tc>
        <w:tc>
          <w:tcPr/>
          <w:p>
            <w:pPr>
              <w:pStyle w:val="Compact"/>
            </w:pPr>
            <w:r>
              <w:t xml:space="preserve">RLS/kill-switch/NAT-honesty/PQ-downgrade-safety lead</w:t>
            </w:r>
          </w:p>
        </w:tc>
        <w:tc>
          <w:tcPr/>
          <w:p>
            <w:pPr>
              <w:pStyle w:val="Compact"/>
            </w:pPr>
            <w:r>
              <w:t xml:space="preserve">§11.4.132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Audio-style top-priority maps to correctness floor</w:t>
            </w:r>
          </w:p>
        </w:tc>
        <w:tc>
          <w:tcPr/>
          <w:p>
            <w:pPr>
              <w:pStyle w:val="Compact"/>
            </w:pPr>
            <w:r>
              <w:t xml:space="preserve">every phase's iteration ordering</w:t>
            </w:r>
          </w:p>
        </w:tc>
        <w:tc>
          <w:tcPr/>
          <w:p>
            <w:pPr>
              <w:pStyle w:val="Compact"/>
            </w:pPr>
            <w:r>
              <w:t xml:space="preserve">§11.4.72→§11.4.132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Honest-uncertainty markers (§11.4.6).</w:t>
      </w:r>
      <w:r>
        <w:t xml:space="preserve"> </w:t>
      </w:r>
      <w:r>
        <w:t xml:space="preserve">Phase-3 device-gated nodes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HVPN-P3-211/221</w:t>
      </w:r>
      <w:r>
        <w:t xml:space="preserve"> </w:t>
      </w:r>
      <w:r>
        <w:t xml:space="preserve">and downstream) carry the widest error bars and are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/</w:t>
      </w:r>
      <w:r>
        <w:rPr>
          <w:rStyle w:val="VerbatimChar"/>
        </w:rPr>
        <w:t xml:space="preserve">PENDING_DEVICE:</w:t>
      </w:r>
      <w:r>
        <w:t xml:space="preserve"> </w:t>
      </w:r>
      <w:r>
        <w:t xml:space="preserve">until hardware exists (</w:t>
      </w:r>
      <w:r>
        <w:rPr>
          <w:rStyle w:val="VerbatimChar"/>
        </w:rPr>
        <w:t xml:space="preserve">09-…</w:t>
      </w:r>
      <w:r>
        <w:t xml:space="preserve"> </w:t>
      </w:r>
      <w:r>
        <w:t xml:space="preserve">§14 risk register).</w:t>
      </w:r>
      <w:r>
        <w:t xml:space="preserve"> </w:t>
      </w:r>
      <w:r>
        <w:t xml:space="preserve">A gate that cannot be cleared on the real device</w:t>
      </w:r>
      <w:r>
        <w:t xml:space="preserve"> </w:t>
      </w:r>
      <w:r>
        <w:rPr>
          <w:b/>
          <w:bCs/>
        </w:rPr>
        <w:t xml:space="preserve">is the finding</w:t>
      </w:r>
      <w:r>
        <w:t xml:space="preserve"> </w:t>
      </w:r>
      <w:r>
        <w:t xml:space="preserve">— escalate</w:t>
      </w:r>
      <w:r>
        <w:t xml:space="preserve"> </w:t>
      </w:r>
      <w:r>
        <w:t xml:space="preserve">per §11.4.66/.101/.112, never overrun silently. No edge in this DAG implies a</w:t>
      </w:r>
      <w:r>
        <w:t xml:space="preserve"> </w:t>
      </w:r>
      <w:r>
        <w:t xml:space="preserve">calendar date; every duration is a sizing-only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§2 milestone DAG + §2 parallelism note, §3–§11 per-milestone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fields, gates table — read 2026-06-26.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07-phase1-mvp-wbs.md</w:t>
      </w:r>
      <w:r>
        <w:t xml:space="preserve"> </w:t>
      </w:r>
      <w:r>
        <w:t xml:space="preserve">§4 epic DAG, §5 entry gates, §21 traceability, §22 critical path + effort caveat — read 2026-06-26.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08-phase2-parity-wbs.md</w:t>
      </w:r>
      <w:r>
        <w:t xml:space="preserve"> </w:t>
      </w:r>
      <w:r>
        <w:t xml:space="preserve">§4 epic DAG, §5 entry seams, §18 traceability, §19 critical path — read 2026-06-26.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09-phase3-reach-wbs.md</w:t>
      </w:r>
      <w:r>
        <w:t xml:space="preserve"> </w:t>
      </w:r>
      <w:r>
        <w:t xml:space="preserve">§2.1 gate DAG, §4 epic DAG, §13 traceability, §14 critical path + risk register — read 2026-06-26.</w:t>
      </w:r>
    </w:p>
    <w:p>
      <w:pPr>
        <w:pStyle w:val="Compact"/>
        <w:numPr>
          <w:ilvl w:val="0"/>
          <w:numId w:val="1002"/>
        </w:numPr>
      </w:pPr>
      <w:r>
        <w:t xml:space="preserve">Sibling</w:t>
      </w:r>
      <w:r>
        <w:t xml:space="preserve"> </w:t>
      </w:r>
      <w:r>
        <w:rPr>
          <w:rStyle w:val="VerbatimChar"/>
        </w:rPr>
        <w:t xml:space="preserve">workable-items-model.md</w:t>
      </w:r>
      <w:r>
        <w:t xml:space="preserve"> </w:t>
      </w:r>
      <w:r>
        <w:t xml:space="preserve">(§8 loader acyclicity validation) — authored this volume.</w:t>
      </w:r>
    </w:p>
    <w:p>
      <w:pPr>
        <w:pStyle w:val="Compact"/>
        <w:numPr>
          <w:ilvl w:val="0"/>
          <w:numId w:val="1002"/>
        </w:numPr>
      </w:pPr>
      <w:r>
        <w:t xml:space="preserve">Constitution anchors §11.4.58/.66/.72/.101/.103/.112/.119/.132 — read 2026-06-26.</w:t>
      </w:r>
    </w:p>
    <w:p>
      <w:pPr>
        <w:pStyle w:val="BlockText"/>
      </w:pPr>
      <w:r>
        <w:t xml:space="preserve">Honest boundary (§11.4.6): every edge is transcribed from a cited WBS</w:t>
      </w:r>
      <w:r>
        <w:t xml:space="preserve"> </w:t>
      </w:r>
      <w:r>
        <w:rPr>
          <w:rStyle w:val="VerbatimChar"/>
        </w:rPr>
        <w:t xml:space="preserve">deps</w:t>
      </w:r>
      <w:r>
        <w:t xml:space="preserve"> </w:t>
      </w:r>
      <w:r>
        <w:t xml:space="preserve">field; no dependency is inferred or invented. Durations are sizing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s,</w:t>
      </w:r>
      <w:r>
        <w:t xml:space="preserve"> </w:t>
      </w:r>
      <w:r>
        <w:t xml:space="preserve">never commitments; device-gated Phase-3 chains remain</w:t>
      </w:r>
      <w:r>
        <w:t xml:space="preserve"> </w:t>
      </w:r>
      <w:r>
        <w:rPr>
          <w:rStyle w:val="VerbatimChar"/>
        </w:rPr>
        <w:t xml:space="preserve">PENDING_DEVICE</w:t>
      </w:r>
      <w: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Cross-Phase Dependency Graph — the HelixVPN delivery DAG and critical paths</dc:title>
  <dc:creator/>
  <cp:keywords/>
  <dcterms:created xsi:type="dcterms:W3CDTF">2026-07-04T13:43:55Z</dcterms:created>
  <dcterms:modified xsi:type="dcterms:W3CDTF">2026-07-04T13:43:55Z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