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Integration Testing — HelixVPN nano-detail spec (Volume 8 · §11.4.169 type 2)</w:t>
      </w:r>
    </w:p>
    <w:bookmarkStart w:id="50" w:name="X90dd29ca619d625ce31b21318b701b0e28565c7"/>
    <w:p>
      <w:pPr>
        <w:pStyle w:val="Heading1"/>
      </w:pPr>
      <w:r>
        <w:t xml:space="preserve">Integration Testing — HelixVPN nano-detail spec (Volume 8 · §11.4.169 type 2)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10-testing-acceptance-and-qa.md</w:t>
      </w:r>
      <w:r>
        <w:t xml:space="preserve"> </w:t>
      </w:r>
      <w:r>
        <w:t xml:space="preserve">during a corpus-wide</w:t>
      </w:r>
      <w:r>
        <w:t xml:space="preserve"> </w:t>
      </w:r>
      <w:r>
        <w:t xml:space="preserve">gap-analysis pass; no contradictions or gaps found (the on-demand-infra-via-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invariant and the no-mocks-below-unit boundary are consistent with</w:t>
      </w:r>
      <w:r>
        <w:t xml:space="preserve"> </w:t>
      </w:r>
      <w:r>
        <w:t xml:space="preserve">the rest of the corpus). Revision bumped for the audit pass itself.</w:t>
      </w:r>
    </w:p>
    <w:p>
      <w:pPr>
        <w:pStyle w:val="BlockText"/>
      </w:pPr>
      <w:r>
        <w:t xml:space="preserve">Nano-detail expansion of</w:t>
      </w:r>
      <w:r>
        <w:t xml:space="preserve"> </w:t>
      </w:r>
      <w:hyperlink r:id="rId9">
        <w:r>
          <w:rPr>
            <w:rStyle w:val="Hyperlink"/>
          </w:rPr>
          <w:t xml:space="preserve">§5.2 of the Volume-8 overview</w:t>
        </w:r>
      </w:hyperlink>
      <w:r>
        <w:t xml:space="preserve">.</w:t>
      </w:r>
      <w:r>
        <w:t xml:space="preserve"> </w:t>
      </w:r>
      <w:r>
        <w:t xml:space="preserve">Integration (INT) is the</w:t>
      </w:r>
      <w:r>
        <w:t xml:space="preserve"> </w:t>
      </w:r>
      <w:r>
        <w:rPr>
          <w:b/>
          <w:bCs/>
        </w:rPr>
        <w:t xml:space="preserve">first layer where mocks are forbidden</w:t>
      </w:r>
      <w:r>
        <w:t xml:space="preserve"> </w:t>
      </w:r>
      <w:r>
        <w:t xml:space="preserve">(§11.4.27): every</w:t>
      </w:r>
      <w:r>
        <w:t xml:space="preserve"> </w:t>
      </w:r>
      <w:r>
        <w:t xml:space="preserve">seam that touches real infrastructure is exercised against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Postgres,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Redis, and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edge, booted</w:t>
      </w:r>
      <w:r>
        <w:t xml:space="preserve"> </w:t>
      </w:r>
      <w:r>
        <w:rPr>
          <w:b/>
          <w:bCs/>
        </w:rPr>
        <w:t xml:space="preserve">on-demand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(§11.4.76) running</w:t>
      </w:r>
      <w:r>
        <w:t xml:space="preserve"> </w:t>
      </w:r>
      <w:r>
        <w:rPr>
          <w:b/>
          <w:bCs/>
        </w:rPr>
        <w:t xml:space="preserve">rootless</w:t>
      </w:r>
      <w:r>
        <w:t xml:space="preserve"> </w:t>
      </w:r>
      <w:r>
        <w:t xml:space="preserve">(§11.4.161). This document fixes the INT</w:t>
      </w:r>
      <w:r>
        <w:t xml:space="preserve"> </w:t>
      </w:r>
      <w:r>
        <w:t xml:space="preserve">surface, the on-demand-infra invariant, the no-log schema invariant, the captured</w:t>
      </w:r>
      <w:r>
        <w:t xml:space="preserve"> </w:t>
      </w:r>
      <w:r>
        <w:t xml:space="preserve">evidence, the determinism contract, the acceptance gate, the paired §1.1 mutation,</w:t>
      </w:r>
      <w:r>
        <w:t xml:space="preserve"> </w:t>
      </w:r>
      <w:r>
        <w:t xml:space="preserve">and concrete skeletons. Spec-only; unproven assumptions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  <w:r>
        <w:t xml:space="preserve"> </w:t>
      </w:r>
      <w:r>
        <w:t xml:space="preserve">Siblings:</w:t>
      </w:r>
      <w:r>
        <w:t xml:space="preserve"> </w:t>
      </w:r>
      <w:hyperlink r:id="rId10">
        <w:r>
          <w:rPr>
            <w:rStyle w:val="Hyperlink"/>
          </w:rPr>
          <w:t xml:space="preserve">unit.md</w:t>
        </w:r>
      </w:hyperlink>
      <w:r>
        <w:t xml:space="preserve"> </w:t>
      </w:r>
      <w:r>
        <w:t xml:space="preserve">(mocks live there, not here),</w:t>
      </w:r>
      <w:r>
        <w:t xml:space="preserve"> </w:t>
      </w:r>
      <w:hyperlink r:id="rId11">
        <w:r>
          <w:rPr>
            <w:rStyle w:val="Hyperlink"/>
          </w:rPr>
          <w:t xml:space="preserve">e2e.md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full-automation.md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challenges.md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helixqa.md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3a4cb4ede8868467c6cebc37b9ab27e13506e6">
        <w:r>
          <w:rPr>
            <w:rStyle w:val="Hyperlink"/>
          </w:rPr>
          <w:t xml:space="preserve">1. Scope — the seams INT covers</w:t>
        </w:r>
      </w:hyperlink>
    </w:p>
    <w:p>
      <w:pPr>
        <w:pStyle w:val="Compact"/>
        <w:numPr>
          <w:ilvl w:val="0"/>
          <w:numId w:val="1001"/>
        </w:numPr>
      </w:pPr>
      <w:hyperlink w:anchor="X5fe04d0cf5feff60c7f2c665d8b267c9868aa85">
        <w:r>
          <w:rPr>
            <w:rStyle w:val="Hyperlink"/>
          </w:rPr>
          <w:t xml:space="preserve">2. Harness — the containers submodule is the ONLY path</w:t>
        </w:r>
      </w:hyperlink>
    </w:p>
    <w:p>
      <w:pPr>
        <w:pStyle w:val="Compact"/>
        <w:numPr>
          <w:ilvl w:val="0"/>
          <w:numId w:val="1001"/>
        </w:numPr>
      </w:pPr>
      <w:hyperlink w:anchor="X350219870c8558888170d45722b7387264abed7">
        <w:r>
          <w:rPr>
            <w:rStyle w:val="Hyperlink"/>
          </w:rPr>
          <w:t xml:space="preserve">3. Fixtures — real services, seeded data, zero mocks</w:t>
        </w:r>
      </w:hyperlink>
    </w:p>
    <w:p>
      <w:pPr>
        <w:pStyle w:val="Compact"/>
        <w:numPr>
          <w:ilvl w:val="0"/>
          <w:numId w:val="1001"/>
        </w:numPr>
      </w:pPr>
      <w:hyperlink w:anchor="Xe0a11d4d1628f14be4f0f0c27810e26b6a98477">
        <w:r>
          <w:rPr>
            <w:rStyle w:val="Hyperlink"/>
          </w:rPr>
          <w:t xml:space="preserve">4. Evidence taxonomy — what an INT PASS captures</w:t>
        </w:r>
      </w:hyperlink>
    </w:p>
    <w:p>
      <w:pPr>
        <w:pStyle w:val="Compact"/>
        <w:numPr>
          <w:ilvl w:val="0"/>
          <w:numId w:val="1001"/>
        </w:numPr>
      </w:pPr>
      <w:hyperlink w:anchor="X7b6a91b4c8b02791e2906b4ae272a0771c1305b">
        <w:r>
          <w:rPr>
            <w:rStyle w:val="Hyperlink"/>
          </w:rPr>
          <w:t xml:space="preserve">5. Determinism — N-iteration identical evidence</w:t>
        </w:r>
      </w:hyperlink>
    </w:p>
    <w:p>
      <w:pPr>
        <w:pStyle w:val="Compact"/>
        <w:numPr>
          <w:ilvl w:val="0"/>
          <w:numId w:val="1001"/>
        </w:numPr>
      </w:pPr>
      <w:hyperlink w:anchor="Xaf151fda03722e1a114dc1046396a4f98300944">
        <w:r>
          <w:rPr>
            <w:rStyle w:val="Hyperlink"/>
          </w:rPr>
          <w:t xml:space="preserve">6. Acceptance gate — when INT blocks a release</w:t>
        </w:r>
      </w:hyperlink>
    </w:p>
    <w:p>
      <w:pPr>
        <w:pStyle w:val="Compact"/>
        <w:numPr>
          <w:ilvl w:val="0"/>
          <w:numId w:val="1001"/>
        </w:numPr>
      </w:pPr>
      <w:hyperlink w:anchor="Xa74f3cee210837cb5a14bd5ce8b84d34044ebf2">
        <w:r>
          <w:rPr>
            <w:rStyle w:val="Hyperlink"/>
          </w:rPr>
          <w:t xml:space="preserve">7. The paired §1.1 mutation (anti-bluff proof)</w:t>
        </w:r>
      </w:hyperlink>
    </w:p>
    <w:p>
      <w:pPr>
        <w:pStyle w:val="Compact"/>
        <w:numPr>
          <w:ilvl w:val="0"/>
          <w:numId w:val="1001"/>
        </w:numPr>
      </w:pPr>
      <w:hyperlink w:anchor="X38816b321e10e61676ed6481588884deed66a3c">
        <w:r>
          <w:rPr>
            <w:rStyle w:val="Hyperlink"/>
          </w:rPr>
          <w:t xml:space="preserve">8. Test skeletons</w:t>
        </w:r>
      </w:hyperlink>
    </w:p>
    <w:p>
      <w:pPr>
        <w:pStyle w:val="Compact"/>
        <w:numPr>
          <w:ilvl w:val="0"/>
          <w:numId w:val="1001"/>
        </w:numPr>
      </w:pPr>
      <w:hyperlink w:anchor="X36adefea91befc8abc7da5dae107e48fa7f434e">
        <w:r>
          <w:rPr>
            <w:rStyle w:val="Hyperlink"/>
          </w:rPr>
          <w:t xml:space="preserve">9. Open decisions surfaced for QA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27" w:name="X73a4cb4ede8868467c6cebc37b9ab27e13506e6"/>
    <w:p>
      <w:pPr>
        <w:pStyle w:val="Heading2"/>
      </w:pPr>
      <w:r>
        <w:t xml:space="preserve">1. Scope — the seams INT covers</w:t>
      </w:r>
    </w:p>
    <w:p>
      <w:pPr>
        <w:pStyle w:val="FirstParagraph"/>
      </w:pPr>
      <w:r>
        <w:t xml:space="preserve">INT owns every place where two real components meet over real infrastructure — the</w:t>
      </w:r>
      <w:r>
        <w:t xml:space="preserve"> </w:t>
      </w:r>
      <w:r>
        <w:t xml:space="preserve">seams a unit test cannot reach without a mock (and a mock here is a §11.4.27</w:t>
      </w:r>
      <w:r>
        <w:t xml:space="preserve"> </w:t>
      </w:r>
      <w:r>
        <w:t xml:space="preserve">violation).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The invariant proven (real infra)</w:t>
            </w:r>
          </w:p>
        </w:tc>
        <w:tc>
          <w:tcPr/>
          <w:p>
            <w:pPr>
              <w:pStyle w:val="Compact"/>
            </w:pPr>
            <w:r>
              <w:t xml:space="preserve">Spec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multi-tenant isolation</w:t>
            </w:r>
          </w:p>
        </w:tc>
        <w:tc>
          <w:tcPr/>
          <w:p>
            <w:pPr>
              <w:pStyle w:val="Compact"/>
            </w:pPr>
            <w:r>
              <w:t xml:space="preserve">svc-identity + Postgres</w:t>
            </w:r>
          </w:p>
        </w:tc>
        <w:tc>
          <w:tcPr/>
          <w:p>
            <w:pPr>
              <w:pStyle w:val="Compact"/>
            </w:pPr>
            <w:r>
              <w:t xml:space="preserve">a tenant-B query under tenant-A's RLS role returns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tenant-B rows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../v03-control-plane/data-model-ddl.md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../v05-security/no-logging-as-code.md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enrollment end-to-end</w:t>
            </w:r>
          </w:p>
        </w:tc>
        <w:tc>
          <w:tcPr/>
          <w:p>
            <w:pPr>
              <w:pStyle w:val="Compact"/>
            </w:pPr>
            <w:r>
              <w:t xml:space="preserve">svc-identity + svc-registry + svc-pki + Postgres</w:t>
            </w:r>
          </w:p>
        </w:tc>
        <w:tc>
          <w:tcPr/>
          <w:p>
            <w:pPr>
              <w:pStyle w:val="Compact"/>
            </w:pPr>
            <w:r>
              <w:t xml:space="preserve">OIDC/anon token → device-generated WG keypair (private key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persisted server-side) → short-lived mTLS cert issued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../v05-security/identity-and-enrollment.md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../v03-control-plane/svc-pki.md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backbone round-trip</w:t>
            </w:r>
          </w:p>
        </w:tc>
        <w:tc>
          <w:tcPr/>
          <w:p>
            <w:pPr>
              <w:pStyle w:val="Compact"/>
            </w:pPr>
            <w:r>
              <w:t xml:space="preserve">svc-events + Redis Streams + svc-coordinator</w:t>
            </w:r>
          </w:p>
        </w:tc>
        <w:tc>
          <w:tcPr/>
          <w:p>
            <w:pPr>
              <w:pStyle w:val="Compact"/>
            </w:pPr>
            <w:r>
              <w:t xml:space="preserve">publish on a Redis stream → coordinator consumer-group consume → minimal delta emitted; XAUTOCLAIM DLQ on a stuck consumer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../v03-control-plane/svc-events.md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../v03-control-plane/reconciliation-flow.md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WatchNetworkMap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server-stream</w:t>
            </w:r>
          </w:p>
        </w:tc>
        <w:tc>
          <w:tcPr/>
          <w:p>
            <w:pPr>
              <w:pStyle w:val="Compact"/>
            </w:pPr>
            <w:r>
              <w:t xml:space="preserve">svc-coordinator + svc-policy + Postgres</w:t>
            </w:r>
          </w:p>
        </w:tc>
        <w:tc>
          <w:tcPr/>
          <w:p>
            <w:pPr>
              <w:pStyle w:val="Compact"/>
            </w:pPr>
            <w:r>
              <w:t xml:space="preserve">snapshot + deltas; peers already</w:t>
            </w:r>
            <w:r>
              <w:t xml:space="preserve"> </w:t>
            </w:r>
            <w:r>
              <w:rPr>
                <w:b/>
                <w:bCs/>
              </w:rPr>
              <w:t xml:space="preserve">policy-filtered</w:t>
            </w:r>
            <w:r>
              <w:t xml:space="preserve"> </w:t>
            </w:r>
            <w:r>
              <w:t xml:space="preserve">(need-to-know); a new enroll appears as a delta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../v03-control-plane/svc-coordinator.md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../v03-control-plane/protobuf-spec.md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IPAM persistence (the allocation half)</w:t>
            </w:r>
          </w:p>
        </w:tc>
        <w:tc>
          <w:tcPr/>
          <w:p>
            <w:pPr>
              <w:pStyle w:val="Compact"/>
            </w:pPr>
            <w:r>
              <w:t xml:space="preserve">svc-ipam + Postgres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</w:p>
        </w:tc>
        <w:tc>
          <w:tcPr/>
          <w:p>
            <w:pPr>
              <w:pStyle w:val="Compact"/>
            </w:pPr>
            <w:r>
              <w:t xml:space="preserve">a real allocation is durable, unique, and survives a reconnect (the</w:t>
            </w:r>
            <w:r>
              <w:t xml:space="preserve"> </w:t>
            </w:r>
            <w:r>
              <w:rPr>
                <w:i/>
                <w:iCs/>
              </w:rPr>
              <w:t xml:space="preserve">math</w:t>
            </w:r>
            <w:r>
              <w:t xml:space="preserve"> </w:t>
            </w:r>
            <w:r>
              <w:t xml:space="preserve">half is UNIT,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unit.md §8.3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../v03-control-plane/svc-ipam.md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 schema invariant</w:t>
            </w:r>
          </w:p>
        </w:tc>
        <w:tc>
          <w:tcPr/>
          <w:p>
            <w:pPr>
              <w:pStyle w:val="Compact"/>
            </w:pPr>
            <w:r>
              <w:t xml:space="preserve">Postgres DDL + schema-lint</w:t>
            </w:r>
          </w:p>
        </w:tc>
        <w:tc>
          <w:tcPr/>
          <w:p>
            <w:pPr>
              <w:pStyle w:val="Compact"/>
            </w:pPr>
            <w:r>
              <w:t xml:space="preserve">the live schema contains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durable per-flow / per-connection / per-packet table; only aggregate counters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../v05-security/no-logging-as-code.md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compile → enforce (control half)</w:t>
            </w:r>
          </w:p>
        </w:tc>
        <w:tc>
          <w:tcPr/>
          <w:p>
            <w:pPr>
              <w:pStyle w:val="Compact"/>
            </w:pPr>
            <w:r>
              <w:t xml:space="preserve">svc-policy + svc-coordinator + edge config</w:t>
            </w:r>
          </w:p>
        </w:tc>
        <w:tc>
          <w:tcPr/>
          <w:p>
            <w:pPr>
              <w:pStyle w:val="Compact"/>
            </w:pPr>
            <w:r>
              <w:t xml:space="preserve">a compiled policy reaches the edge verdict-map config (the</w:t>
            </w:r>
            <w:r>
              <w:t xml:space="preserve"> </w:t>
            </w:r>
            <w:r>
              <w:rPr>
                <w:i/>
                <w:iCs/>
              </w:rPr>
              <w:t xml:space="preserve">packet</w:t>
            </w:r>
            <w:r>
              <w:t xml:space="preserve"> </w:t>
            </w:r>
            <w:r>
              <w:t xml:space="preserve">enforcement is E2E/SEC)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../v03-control-plane/svc-policy.md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authz</w:t>
            </w:r>
          </w:p>
        </w:tc>
        <w:tc>
          <w:tcPr/>
          <w:p>
            <w:pPr>
              <w:pStyle w:val="Compact"/>
            </w:pPr>
            <w:r>
              <w:t xml:space="preserve">svc-api (Gin/Connect-RPC) + svc-identity</w:t>
            </w:r>
          </w:p>
        </w:tc>
        <w:tc>
          <w:tcPr/>
          <w:p>
            <w:pPr>
              <w:pStyle w:val="Compact"/>
            </w:pPr>
            <w:r>
              <w:t xml:space="preserve">a token scoped to tenant-A cannot mutate tenant-B; revoked token rejected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../v03-control-plane/svc-api.md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Boundary with E2E:</w:t>
      </w:r>
      <w:r>
        <w:t xml:space="preserve"> </w:t>
      </w:r>
      <w:r>
        <w:t xml:space="preserve">INT proves the</w:t>
      </w:r>
      <w:r>
        <w:t xml:space="preserve"> </w:t>
      </w:r>
      <w:r>
        <w:rPr>
          <w:i/>
          <w:iCs/>
        </w:rPr>
        <w:t xml:space="preserve">control-plane seams</w:t>
      </w:r>
      <w:r>
        <w:t xml:space="preserve"> </w:t>
      </w:r>
      <w:r>
        <w:t xml:space="preserve">(a delta is emitted, a</w:t>
      </w:r>
      <w:r>
        <w:t xml:space="preserve"> </w:t>
      </w:r>
      <w:r>
        <w:t xml:space="preserve">cert is issued, a row is isolated). The moment the assertion needs a</w:t>
      </w:r>
      <w:r>
        <w:t xml:space="preserve"> </w:t>
      </w:r>
      <w:r>
        <w:rPr>
          <w:b/>
          <w:bCs/>
        </w:rPr>
        <w:t xml:space="preserve">packet on a</w:t>
      </w:r>
      <w:r>
        <w:rPr>
          <w:b/>
          <w:bCs/>
        </w:rPr>
        <w:t xml:space="preserve"> </w:t>
      </w:r>
      <w:r>
        <w:rPr>
          <w:b/>
          <w:bCs/>
        </w:rPr>
        <w:t xml:space="preserve">real tunnel</w:t>
      </w:r>
      <w:r>
        <w:t xml:space="preserve"> </w:t>
      </w:r>
      <w:r>
        <w:t xml:space="preserve">(reach an authorized LAN host, default-deny a SYN) it is E2E and uses</w:t>
      </w:r>
      <w:r>
        <w:t xml:space="preserve"> </w:t>
      </w:r>
      <w:r>
        <w:t xml:space="preserve">the netns rig (</w:t>
      </w:r>
      <w:hyperlink r:id="rId11">
        <w:r>
          <w:rPr>
            <w:rStyle w:val="Hyperlink"/>
          </w:rPr>
          <w:t xml:space="preserve">e2e.md</w:t>
        </w:r>
      </w:hyperlink>
      <w:r>
        <w:t xml:space="preserve">) — INT does not build tunnels.</w:t>
      </w:r>
    </w:p>
    <w:p>
      <w:r>
        <w:pict>
          <v:rect style="width:0;height:1.5pt" o:hralign="center" o:hrstd="t" o:hr="t"/>
        </w:pict>
      </w:r>
    </w:p>
    <w:bookmarkEnd w:id="27"/>
    <w:bookmarkStart w:id="31" w:name="X5fe04d0cf5feff60c7f2c665d8b267c9868aa85"/>
    <w:p>
      <w:pPr>
        <w:pStyle w:val="Heading2"/>
      </w:pPr>
      <w:r>
        <w:t xml:space="preserve">2. Harness — the containers submodule is the ONLY path</w:t>
      </w:r>
    </w:p>
    <w:p>
      <w:pPr>
        <w:pStyle w:val="FirstParagraph"/>
      </w:pPr>
      <w:r>
        <w:t xml:space="preserve">Per §11.4.76 (containers-submodule mandate) + §11.4.161 (rootless),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containerised infra is booted through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digital.vasic.containers</w:t>
      </w:r>
      <w:r>
        <w:t xml:space="preserve">, Go) via its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pkg/compose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primitives.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CLI anywhere in the INT harness;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no rootful Docker. This is the</w:t>
      </w:r>
      <w:r>
        <w:t xml:space="preserve"> </w:t>
      </w:r>
      <w:r>
        <w:rPr>
          <w:b/>
          <w:bCs/>
        </w:rPr>
        <w:t xml:space="preserve">on-demand-infra invariant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go test -tags integration</w:t>
      </w:r>
      <w:r>
        <w:t xml:space="preserve">) boots Postgres + Redis (+ edge where needed)</w:t>
      </w:r>
      <w:r>
        <w:t xml:space="preserve"> </w:t>
      </w:r>
      <w:r>
        <w:t xml:space="preserve">itself, runs against the real services, and tears them down — the developer never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podman machine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by hand.</w:t>
      </w:r>
    </w:p>
    <w:p>
      <w:pPr>
        <w:pStyle w:val="BodyText"/>
      </w:pPr>
      <w:r>
        <w:drawing>
          <wp:inline>
            <wp:extent cx="5334000" cy="1877785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.private/milosvasic/tmp.zd9q69b2DE/img/diagram_001_eecb713a747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Boot:</w:t>
      </w:r>
      <w:r>
        <w:t xml:space="preserve"> </w:t>
      </w:r>
      <w:r>
        <w:rPr>
          <w:rStyle w:val="VerbatimChar"/>
        </w:rPr>
        <w:t xml:space="preserve">boot.Up(ctx, boot.Spec{Postgres:true, Redis:true, Rootless:true})</w:t>
      </w:r>
      <w:r>
        <w:t xml:space="preserve"> </w:t>
      </w:r>
      <w:r>
        <w:t xml:space="preserve">returns an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 </w:t>
      </w:r>
      <w:r>
        <w:t xml:space="preserve">handle exposing DSNs/addresses. The</w:t>
      </w:r>
      <w:r>
        <w:t xml:space="preserve"> </w:t>
      </w:r>
      <w:r>
        <w:rPr>
          <w:rStyle w:val="VerbatimChar"/>
        </w:rPr>
        <w:t xml:space="preserve">Rootless:true</w:t>
      </w:r>
      <w:r>
        <w:t xml:space="preserve"> </w:t>
      </w:r>
      <w:r>
        <w:t xml:space="preserve">field is the</w:t>
      </w:r>
      <w:r>
        <w:t xml:space="preserve"> </w:t>
      </w:r>
      <w:r>
        <w:t xml:space="preserve">§11.4.161 binding — a rootful spec is rejected by the submodule on a platform that</w:t>
      </w:r>
      <w:r>
        <w:t xml:space="preserve"> </w:t>
      </w:r>
      <w:r>
        <w:t xml:space="preserve">supports rootless.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Health:</w:t>
      </w:r>
      <w:r>
        <w:t xml:space="preserve"> </w:t>
      </w:r>
      <w:r>
        <w:rPr>
          <w:rStyle w:val="VerbatimChar"/>
        </w:rPr>
        <w:t xml:space="preserve">health.WaitReady(ctx, infra, health.Postgres)</w:t>
      </w:r>
      <w:r>
        <w:t xml:space="preserve"> </w:t>
      </w:r>
      <w:r>
        <w:t xml:space="preserve">blocks until the</w:t>
      </w:r>
      <w:r>
        <w:t xml:space="preserve"> </w:t>
      </w:r>
      <w:r>
        <w:t xml:space="preserve">service answers a real probe (a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, a Redis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) — never a fixed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 which is a §11.4.107(3) loading-vs-ready confusion and a flake 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Teardown:</w:t>
      </w:r>
      <w:r>
        <w:t xml:space="preserve"> </w:t>
      </w:r>
      <w:r>
        <w:rPr>
          <w:rStyle w:val="VerbatimChar"/>
        </w:rPr>
        <w:t xml:space="preserve">t.Cleanup(func(){ infra.Down(ctx) })</w:t>
      </w:r>
      <w:r>
        <w:t xml:space="preserve"> </w:t>
      </w:r>
      <w:r>
        <w:t xml:space="preserve">guarantees quiescence on</w:t>
      </w:r>
      <w:r>
        <w:t xml:space="preserve"> </w:t>
      </w:r>
      <w:r>
        <w:t xml:space="preserve">every exit path (§11.4.14); an orphaned container after the test is a §11.4.14</w:t>
      </w:r>
      <w:r>
        <w:t xml:space="preserve"> </w:t>
      </w:r>
      <w:r>
        <w:t xml:space="preserve">violation the post-test sanity check FAILs 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capability ⇒ extend upstream:</w:t>
      </w:r>
      <w:r>
        <w:t xml:space="preserve"> </w:t>
      </w:r>
      <w:r>
        <w:t xml:space="preserve">if a needed lifecycle primitive is</w:t>
      </w:r>
      <w:r>
        <w:t xml:space="preserve"> </w:t>
      </w:r>
      <w:r>
        <w:t xml:space="preserve">absent from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, it is added by an upstream PR (§11.4.74), never</w:t>
      </w:r>
      <w:r>
        <w:t xml:space="preserve"> </w:t>
      </w:r>
      <w:r>
        <w:t xml:space="preserve">reimplemented in-project with a raw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call.</w:t>
      </w:r>
    </w:p>
    <w:p>
      <w:pPr>
        <w:pStyle w:val="FirstParagraph"/>
      </w:pPr>
      <w:r>
        <w:t xml:space="preserve">Invocation seam (Makefile,</w:t>
      </w:r>
      <w:r>
        <w:t xml:space="preserve"> </w:t>
      </w:r>
      <w:hyperlink r:id="rId9">
        <w:r>
          <w:rPr>
            <w:rStyle w:val="Hyperlink"/>
          </w:rPr>
          <w:t xml:space="preserve">overview §9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test: cargo test &amp;&amp; go test -race ./helix-go/... &amp;&amp; melos run test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build tag gates the boot so unit-only runs (pre-commit) do not pay the</w:t>
      </w:r>
      <w:r>
        <w:t xml:space="preserve"> </w:t>
      </w:r>
      <w:r>
        <w:t xml:space="preserve">container cost; INT runs on the</w:t>
      </w:r>
      <w:r>
        <w:t xml:space="preserve"> </w:t>
      </w:r>
      <w:r>
        <w:rPr>
          <w:b/>
          <w:bCs/>
        </w:rPr>
        <w:t xml:space="preserve">pre-push</w:t>
      </w:r>
      <w:r>
        <w:t xml:space="preserve"> </w:t>
      </w:r>
      <w:r>
        <w:t xml:space="preserve">hook (§11.4.75 Layer-2).</w:t>
      </w:r>
    </w:p>
    <w:p>
      <w:r>
        <w:pict>
          <v:rect style="width:0;height:1.5pt" o:hralign="center" o:hrstd="t" o:hr="t"/>
        </w:pict>
      </w:r>
    </w:p>
    <w:bookmarkEnd w:id="31"/>
    <w:bookmarkStart w:id="32" w:name="X350219870c8558888170d45722b7387264abed7"/>
    <w:p>
      <w:pPr>
        <w:pStyle w:val="Heading2"/>
      </w:pPr>
      <w:r>
        <w:t xml:space="preserve">3. Fixtures — real services, seeded data, zero mocks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Real or mock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instance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(booted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migrated to the production DDL (</w:t>
            </w:r>
            <w:hyperlink r:id="rId16">
              <w:r>
                <w:rPr>
                  <w:rStyle w:val="Hyperlink"/>
                </w:rPr>
                <w:t xml:space="preserve">../v03-control-plane/data-model-ddl.md</w:t>
              </w:r>
            </w:hyperlink>
            <w:r>
              <w:t xml:space="preserve">); RLS policies</w:t>
            </w:r>
            <w:r>
              <w:t xml:space="preserve"> </w:t>
            </w:r>
            <w:r>
              <w:rPr>
                <w:b/>
                <w:bCs/>
              </w:rP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instance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Streams + consumer groups; ephemeral (no persistence — the no-log posture)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process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  <w:r>
              <w:t xml:space="preserve"> </w:t>
            </w: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for policy-enforce-config INT (not packet enforcement)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tenants/devices</w:t>
            </w:r>
          </w:p>
        </w:tc>
        <w:tc>
          <w:tcPr/>
          <w:p>
            <w:pPr>
              <w:pStyle w:val="Compact"/>
            </w:pPr>
            <w:r>
              <w:t xml:space="preserve">real rows via the real API/store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seedTenant(db,"tenant-A","device-a1")</w:t>
            </w:r>
            <w:r>
              <w:t xml:space="preserve"> </w:t>
            </w:r>
            <w:r>
              <w:t xml:space="preserve">— inserted through the same code path production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OIDC/anon tokens</w:t>
            </w:r>
          </w:p>
        </w:tc>
        <w:tc>
          <w:tcPr/>
          <w:p>
            <w:pPr>
              <w:pStyle w:val="Compact"/>
            </w:pPr>
            <w:r>
              <w:t xml:space="preserve">real-shaped, test-issuer</w:t>
            </w:r>
          </w:p>
        </w:tc>
        <w:tc>
          <w:tcPr/>
          <w:p>
            <w:pPr>
              <w:pStyle w:val="Compact"/>
            </w:pPr>
            <w:r>
              <w:t xml:space="preserve">a real token validation path; the issuer is a test key (a §11.4.10 bootstrap credential, outside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  <w:r>
              <w:t xml:space="preserve"> </w:t>
            </w:r>
            <w:r>
              <w:t xml:space="preserve">(§11.4.27)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/</w:t>
            </w:r>
            <w:r>
              <w:rPr>
                <w:rStyle w:val="VerbatimChar"/>
              </w:rPr>
              <w:t xml:space="preserve">stub</w:t>
            </w:r>
            <w:r>
              <w:t xml:space="preserve">/</w:t>
            </w:r>
            <w:r>
              <w:rPr>
                <w:rStyle w:val="VerbatimChar"/>
              </w:rPr>
              <w:t xml:space="preserve">fake</w:t>
            </w:r>
            <w:r>
              <w:t xml:space="preserve"> </w:t>
            </w:r>
            <w:r>
              <w:t xml:space="preserve">import in an INT test file FAILs</w:t>
            </w:r>
            <w:r>
              <w:t xml:space="preserve"> </w:t>
            </w:r>
            <w:r>
              <w:rPr>
                <w:rStyle w:val="VerbatimChar"/>
              </w:rPr>
              <w:t xml:space="preserve">CM-NO-FAKES-BEYOND-UNIT-TESTS</w:t>
            </w:r>
          </w:p>
        </w:tc>
      </w:tr>
    </w:tbl>
    <w:p>
      <w:pPr>
        <w:pStyle w:val="BodyText"/>
      </w:pPr>
      <w:r>
        <w:t xml:space="preserve">The seed data is inserted through the</w:t>
      </w:r>
      <w:r>
        <w:t xml:space="preserve"> </w:t>
      </w:r>
      <w:r>
        <w:rPr>
          <w:b/>
          <w:bCs/>
        </w:rPr>
        <w:t xml:space="preserve">production store interface</w:t>
      </w:r>
      <w:r>
        <w:t xml:space="preserve">, not raw SQL</w:t>
      </w:r>
      <w:r>
        <w:t xml:space="preserve"> </w:t>
      </w:r>
      <w:r>
        <w:t xml:space="preserve">back-doors, so the INT test exercises the real write path. The only permitted</w:t>
      </w:r>
      <w:r>
        <w:t xml:space="preserve"> </w:t>
      </w:r>
      <w:r>
        <w:t xml:space="preserve">out-of-band setup is the §11.4.10 credential bootstrap (a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test token), which</w:t>
      </w:r>
      <w:r>
        <w:t xml:space="preserve"> </w:t>
      </w:r>
      <w:r>
        <w:t xml:space="preserve">is configuration, not test driving (§11.4.98).</w:t>
      </w:r>
    </w:p>
    <w:p>
      <w:r>
        <w:pict>
          <v:rect style="width:0;height:1.5pt" o:hralign="center" o:hrstd="t" o:hr="t"/>
        </w:pict>
      </w:r>
    </w:p>
    <w:bookmarkEnd w:id="32"/>
    <w:bookmarkStart w:id="33" w:name="Xe0a11d4d1628f14be4f0f0c27810e26b6a98477"/>
    <w:p>
      <w:pPr>
        <w:pStyle w:val="Heading2"/>
      </w:pPr>
      <w:r>
        <w:t xml:space="preserve">4. Evidence taxonomy — what an INT PASS captures</w:t>
      </w:r>
    </w:p>
    <w:p>
      <w:pPr>
        <w:pStyle w:val="FirstParagraph"/>
      </w:pPr>
      <w:r>
        <w:t xml:space="preserve">Per §11.4.5/§11.4.69 an INT PASS cites a</w:t>
      </w:r>
      <w:r>
        <w:t xml:space="preserve"> </w:t>
      </w:r>
      <w:r>
        <w:rPr>
          <w:b/>
          <w:bCs/>
        </w:rPr>
        <w:t xml:space="preserve">captured artifact</w:t>
      </w:r>
      <w:r>
        <w:t xml:space="preserve"> </w:t>
      </w:r>
      <w:r>
        <w:t xml:space="preserve">whose shape the seam</w:t>
      </w:r>
      <w:r>
        <w:t xml:space="preserve"> </w:t>
      </w:r>
      <w:r>
        <w:t xml:space="preserve">fixes — never a config-only / absence-of-error assertion (bluff-class</w:t>
      </w:r>
      <w:r>
        <w:t xml:space="preserve"> </w:t>
      </w:r>
      <w:r>
        <w:rPr>
          <w:b/>
          <w:bCs/>
        </w:rPr>
        <w:t xml:space="preserve">B1/B2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§11.4.69 evidence shape</w:t>
            </w:r>
          </w:p>
        </w:tc>
        <w:tc>
          <w:tcPr/>
          <w:p>
            <w:pPr>
              <w:pStyle w:val="Compact"/>
            </w:pPr>
            <w:r>
              <w:t xml:space="preserve">Artifact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isolation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captured rowset</w:t>
            </w:r>
            <w:r>
              <w:t xml:space="preserve"> </w:t>
            </w:r>
            <w:r>
              <w:t xml:space="preserve">under each tenant's RLS role (A sees a1, not b1)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qa-results/int/rls_&lt;ts&gt;.json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t xml:space="preserve">the issued cert chain + a</w:t>
            </w:r>
            <w:r>
              <w:t xml:space="preserve"> </w:t>
            </w:r>
            <w:r>
              <w:rPr>
                <w:b/>
                <w:bCs/>
              </w:rPr>
              <w:t xml:space="preserve">log/DB scan proving zero private-key bytes</w:t>
            </w:r>
            <w:r>
              <w:t xml:space="preserve"> </w:t>
            </w:r>
            <w:r>
              <w:t xml:space="preserve">persisted server-side (§11.4.10)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qa-results/int/enroll_&lt;ts&gt;/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round-trip</w:t>
            </w:r>
          </w:p>
        </w:tc>
        <w:tc>
          <w:tcPr/>
          <w:p>
            <w:pPr>
              <w:pStyle w:val="Compact"/>
            </w:pPr>
            <w:r>
              <w:t xml:space="preserve">the consumed-event transcript + emitted-delta JSON, with publish-ts→delta-ts timing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qa-results/int/events_&lt;ts&gt;.jsonl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</w:p>
        </w:tc>
        <w:tc>
          <w:tcPr/>
          <w:p>
            <w:pPr>
              <w:pStyle w:val="Compact"/>
            </w:pPr>
            <w:r>
              <w:t xml:space="preserve">the server-stream transcript: snapshot frame + the post-enroll delta frame, peers policy-filtered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qa-results/int/watch_&lt;ts&gt;.jsonl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IPAM persistence</w:t>
            </w:r>
          </w:p>
        </w:tc>
        <w:tc>
          <w:tcPr/>
          <w:p>
            <w:pPr>
              <w:pStyle w:val="Compact"/>
            </w:pPr>
            <w:r>
              <w:t xml:space="preserve">the durable allocation rowset + the unique-constraint-violation count (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qa-results/int/ipam_&lt;ts&gt;.json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no-log schema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report (PASS = zero forbidden tables)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qa-results/int/schemalint_&lt;ts&gt;.txt</w:t>
            </w:r>
          </w:p>
        </w:tc>
      </w:tr>
    </w:tbl>
    <w:p>
      <w:pPr>
        <w:pStyle w:val="BodyText"/>
      </w:pPr>
      <w:r>
        <w:t xml:space="preserve">The captured rowset/transcript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evidence — the test re-reads it, the</w:t>
      </w:r>
      <w:r>
        <w:t xml:space="preserve"> </w:t>
      </w:r>
      <w:r>
        <w:t xml:space="preserve">Challenge engine (</w:t>
      </w:r>
      <w:hyperlink r:id="rId13">
        <w:r>
          <w:rPr>
            <w:rStyle w:val="Hyperlink"/>
          </w:rPr>
          <w:t xml:space="preserve">challenges.md</w:t>
        </w:r>
      </w:hyperlink>
      <w:r>
        <w:t xml:space="preserve">) re-reads it independently. An INT</w:t>
      </w:r>
      <w:r>
        <w:t xml:space="preserve"> </w:t>
      </w:r>
      <w:r>
        <w:t xml:space="preserve">PASS that asserts only "no error returned" without capturing the rowset/transcript is</w:t>
      </w:r>
      <w:r>
        <w:t xml:space="preserve"> </w:t>
      </w:r>
      <w:r>
        <w:t xml:space="preserve">a §11.4.68 absence-of-error bluff and is rejected.</w:t>
      </w:r>
    </w:p>
    <w:p>
      <w:r>
        <w:pict>
          <v:rect style="width:0;height:1.5pt" o:hralign="center" o:hrstd="t" o:hr="t"/>
        </w:pict>
      </w:r>
    </w:p>
    <w:bookmarkEnd w:id="33"/>
    <w:bookmarkStart w:id="34" w:name="X7b6a91b4c8b02791e2906b4ae272a0771c1305b"/>
    <w:p>
      <w:pPr>
        <w:pStyle w:val="Heading2"/>
      </w:pPr>
      <w:r>
        <w:t xml:space="preserve">5. Determinism — N-iteration identical evidence</w:t>
      </w:r>
    </w:p>
    <w:p>
      <w:pPr>
        <w:pStyle w:val="FirstParagraph"/>
      </w:pPr>
      <w:r>
        <w:t xml:space="preserve">Per §11.4.50 every INT PASS reproduces identically across N=3 (normal) / N=10</w:t>
      </w:r>
      <w:r>
        <w:t xml:space="preserve"> </w:t>
      </w:r>
      <w:r>
        <w:t xml:space="preserve">(cycle-validation). Container-backed tests are the classic flake source; the mandate</w:t>
      </w:r>
      <w:r>
        <w:t xml:space="preserve"> </w:t>
      </w:r>
      <w:r>
        <w:t xml:space="preserve">is mechanical: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Health-gate, never sleep.</w:t>
      </w:r>
      <w:r>
        <w:t xml:space="preserve"> </w:t>
      </w:r>
      <w:r>
        <w:t xml:space="preserve">Readiness is</w:t>
      </w:r>
      <w:r>
        <w:t xml:space="preserve"> </w:t>
      </w:r>
      <w:r>
        <w:rPr>
          <w:rStyle w:val="VerbatimChar"/>
        </w:rPr>
        <w:t xml:space="preserve">health.WaitReady</w:t>
      </w:r>
      <w:r>
        <w:t xml:space="preserve"> </w:t>
      </w:r>
      <w:r>
        <w:t xml:space="preserve">against a real</w:t>
      </w:r>
      <w:r>
        <w:t xml:space="preserve"> </w:t>
      </w:r>
      <w:r>
        <w:t xml:space="preserve">probe; a fixed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is forbidden (the loading-vs-ready confusion §11.4.107(3)).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Fresh infra per run, deterministic seed.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ab_run_n_times</w:t>
      </w:r>
      <w:r>
        <w:t xml:space="preserve"> </w:t>
      </w:r>
      <w:r>
        <w:t xml:space="preserve">iteration</w:t>
      </w:r>
      <w:r>
        <w:t xml:space="preserve"> </w:t>
      </w:r>
      <w:r>
        <w:t xml:space="preserve">boots a clean Postgres/Redis and seeds identical data, so the captured rowset /</w:t>
      </w:r>
      <w:r>
        <w:t xml:space="preserve"> </w:t>
      </w:r>
      <w:r>
        <w:t xml:space="preserve">transcript hashes identically; a divergent hash is auto-FAIL (no flake escape).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wall-clock in assertions.</w:t>
      </w:r>
      <w:r>
        <w:t xml:space="preserve"> </w:t>
      </w:r>
      <w:r>
        <w:t xml:space="preserve">Timing evidence (publish→delta) is captured as a</w:t>
      </w:r>
      <w:r>
        <w:t xml:space="preserve"> </w:t>
      </w:r>
      <w:r>
        <w:t xml:space="preserve">value compared to an SLO budget, not asserted equal across runs; the</w:t>
      </w:r>
      <w:r>
        <w:t xml:space="preserve"> </w:t>
      </w:r>
      <w:r>
        <w:rPr>
          <w:i/>
          <w:iCs/>
        </w:rPr>
        <w:t xml:space="preserve">rowset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delta content</w:t>
      </w:r>
      <w:r>
        <w:t xml:space="preserve"> </w:t>
      </w:r>
      <w:r>
        <w:t xml:space="preserve">are what must hash-match.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Single-resource ownership (§11.4.119).</w:t>
      </w:r>
      <w:r>
        <w:t xml:space="preserve"> </w:t>
      </w:r>
      <w:r>
        <w:t xml:space="preserve">Parallel INT suites that share an</w:t>
      </w:r>
      <w:r>
        <w:t xml:space="preserve"> </w:t>
      </w:r>
      <w:r>
        <w:t xml:space="preserve">exclusive resource (one edge process, one stream) are partitioned — exactly one</w:t>
      </w:r>
      <w:r>
        <w:t xml:space="preserve"> </w:t>
      </w:r>
      <w:r>
        <w:t xml:space="preserve">owner drives, others read — so cross-contaminated evidence cannot produce a</w:t>
      </w:r>
      <w:r>
        <w:t xml:space="preserve"> </w:t>
      </w:r>
      <w:r>
        <w:t xml:space="preserve">non-deterministic PASS.</w:t>
      </w:r>
    </w:p>
    <w:p>
      <w:r>
        <w:pict>
          <v:rect style="width:0;height:1.5pt" o:hralign="center" o:hrstd="t" o:hr="t"/>
        </w:pict>
      </w:r>
    </w:p>
    <w:bookmarkEnd w:id="34"/>
    <w:bookmarkStart w:id="35" w:name="Xaf151fda03722e1a114dc1046396a4f98300944"/>
    <w:p>
      <w:pPr>
        <w:pStyle w:val="Heading2"/>
      </w:pPr>
      <w:r>
        <w:t xml:space="preserve">6. Acceptance gate — when INT blocks a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pre-push hook</w:t>
            </w:r>
            <w:r>
              <w:t xml:space="preserve"> </w:t>
            </w:r>
            <w:r>
              <w:t xml:space="preserve">(§11.4.75 Layer-2)</w:t>
            </w:r>
          </w:p>
        </w:tc>
        <w:tc>
          <w:tcPr/>
          <w:p>
            <w:pPr>
              <w:pStyle w:val="Compact"/>
            </w:pPr>
            <w:r>
              <w:t xml:space="preserve">INT subset GREEN (boots PG+Redis via containers)</w:t>
            </w:r>
          </w:p>
        </w:tc>
        <w:tc>
          <w:tcPr/>
          <w:p>
            <w:pPr>
              <w:pStyle w:val="Compact"/>
            </w:pPr>
            <w:r>
              <w:t xml:space="preserve">local, blocks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make 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 stage</w:t>
            </w:r>
          </w:p>
        </w:tc>
        <w:tc>
          <w:tcPr/>
          <w:p>
            <w:pPr>
              <w:pStyle w:val="Compact"/>
            </w:pPr>
            <w:r>
              <w:t xml:space="preserve">all INT seams GREEN with captured evidence</w:t>
            </w:r>
          </w:p>
        </w:tc>
        <w:tc>
          <w:tcPr/>
          <w:p>
            <w:pPr>
              <w:pStyle w:val="Compact"/>
            </w:pPr>
            <w:r>
              <w:t xml:space="preserve">release sweep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CM-RLS-ENFORCED</w:t>
            </w:r>
          </w:p>
        </w:tc>
        <w:tc>
          <w:tcPr/>
          <w:p>
            <w:pPr>
              <w:pStyle w:val="Compact"/>
            </w:pPr>
            <w:r>
              <w:t xml:space="preserve">RLS isolation INT PASS + its §1.1 mutation FAILs</w:t>
            </w:r>
          </w:p>
        </w:tc>
        <w:tc>
          <w:tcPr/>
          <w:p>
            <w:pPr>
              <w:pStyle w:val="Compact"/>
            </w:pPr>
            <w:r>
              <w:t xml:space="preserve">pre-build +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schemalint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CM-NO-LOG-SCHEMA</w:t>
            </w:r>
          </w:p>
        </w:tc>
        <w:tc>
          <w:tcPr/>
          <w:p>
            <w:pPr>
              <w:pStyle w:val="Compact"/>
            </w:pPr>
            <w:r>
              <w:t xml:space="preserve">zero durable per-flow tables; backs</w:t>
            </w:r>
            <w:r>
              <w:t xml:space="preserve"> </w:t>
            </w:r>
            <w:r>
              <w:rPr>
                <w:b/>
                <w:bCs/>
              </w:rPr>
              <w:t xml:space="preserve">AC8</w:t>
            </w:r>
            <w:r>
              <w:t xml:space="preserve"> </w:t>
            </w:r>
            <w:r>
              <w:t xml:space="preserve">(</w:t>
            </w:r>
            <w:hyperlink r:id="rId9">
              <w:r>
                <w:rPr>
                  <w:rStyle w:val="Hyperlink"/>
                </w:rPr>
                <w:t xml:space="preserve">overview §7.2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pre-build + 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CM-NO-FAKES-BEYOND-UNIT-TESTS</w:t>
            </w:r>
          </w:p>
        </w:tc>
        <w:tc>
          <w:tcPr/>
          <w:p>
            <w:pPr>
              <w:pStyle w:val="Compact"/>
            </w:pPr>
            <w:r>
              <w:t xml:space="preserve">no mock import in any INT file</w:t>
            </w:r>
          </w:p>
        </w:tc>
        <w:tc>
          <w:tcPr/>
          <w:p>
            <w:pPr>
              <w:pStyle w:val="Compact"/>
            </w:pPr>
            <w:r>
              <w:t xml:space="preserve">pre-build</w:t>
            </w:r>
          </w:p>
        </w:tc>
      </w:tr>
    </w:tbl>
    <w:p>
      <w:pPr>
        <w:pStyle w:val="BodyText"/>
      </w:pPr>
      <w:r>
        <w:t xml:space="preserve">INT is a release gate for</w:t>
      </w:r>
      <w:r>
        <w:t xml:space="preserve"> </w:t>
      </w:r>
      <w:r>
        <w:rPr>
          <w:b/>
          <w:bCs/>
        </w:rPr>
        <w:t xml:space="preserve">AC8</w:t>
      </w:r>
      <w:r>
        <w:t xml:space="preserve"> </w:t>
      </w:r>
      <w:r>
        <w:t xml:space="preserve">(no durable conn/traffic log) and a contributor to</w:t>
      </w:r>
      <w:r>
        <w:t xml:space="preserve"> </w:t>
      </w:r>
      <w:r>
        <w:rPr>
          <w:b/>
          <w:bCs/>
        </w:rPr>
        <w:t xml:space="preserve">G6</w:t>
      </w:r>
      <w:r>
        <w:t xml:space="preserve"> </w:t>
      </w:r>
      <w:r>
        <w:t xml:space="preserve">(Phase-0 push-based reconcile,</w:t>
      </w:r>
      <w:r>
        <w:t xml:space="preserve"> </w:t>
      </w:r>
      <w:hyperlink r:id="rId9">
        <w:r>
          <w:rPr>
            <w:rStyle w:val="Hyperlink"/>
          </w:rPr>
          <w:t xml:space="preserve">overview §7.1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AC2/AC5/AC6</w:t>
      </w:r>
      <w:r>
        <w:t xml:space="preserve"> </w:t>
      </w:r>
      <w:r>
        <w:t xml:space="preserve">(the control-plane half of reach/reconcile/revoke). An INT seam in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keeps its feature's coverage-ledger cell out of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overview §6</w:t>
        </w:r>
      </w:hyperlink>
      <w:r>
        <w:t xml:space="preserve">), blocking the phase release.</w:t>
      </w:r>
    </w:p>
    <w:p>
      <w:r>
        <w:pict>
          <v:rect style="width:0;height:1.5pt" o:hralign="center" o:hrstd="t" o:hr="t"/>
        </w:pict>
      </w:r>
    </w:p>
    <w:bookmarkEnd w:id="35"/>
    <w:bookmarkStart w:id="36" w:name="Xa74f3cee210837cb5a14bd5ce8b84d34044ebf2"/>
    <w:p>
      <w:pPr>
        <w:pStyle w:val="Heading2"/>
      </w:pPr>
      <w:r>
        <w:t xml:space="preserve">7. The paired §1.1 mutation (anti-bluff proof)</w:t>
      </w:r>
    </w:p>
    <w:p>
      <w:pPr>
        <w:pStyle w:val="FirstParagraph"/>
      </w:pPr>
      <w:r>
        <w:t xml:space="preserve">The canonical INT mutation — RLS:</w:t>
      </w:r>
    </w:p>
    <w:p>
      <w:pPr>
        <w:pStyle w:val="SourceCode"/>
      </w:pPr>
      <w:r>
        <w:rPr>
          <w:rStyle w:val="VerbatimChar"/>
        </w:rPr>
        <w:t xml:space="preserve"># §1.1 mutation for CM-RLS-ENFORCED (meta-test plants, asserts FAIL, restores)</w:t>
      </w:r>
      <w:r>
        <w:br/>
      </w:r>
      <w:r>
        <w:rPr>
          <w:rStyle w:val="VerbatimChar"/>
        </w:rPr>
        <w:t xml:space="preserve">- in data-model-ddl migration: ALTER TABLE devices DISABLE ROW LEVEL SECURITY;</w:t>
      </w:r>
      <w:r>
        <w:br/>
      </w:r>
      <w:r>
        <w:rPr>
          <w:rStyle w:val="VerbatimChar"/>
        </w:rPr>
        <w:t xml:space="preserve">- assert: TestRLSCrossTenantDenial now sees device-b1 under tenant-A → test FAILs</w:t>
      </w:r>
      <w:r>
        <w:br/>
      </w:r>
      <w:r>
        <w:rPr>
          <w:rStyle w:val="VerbatimChar"/>
        </w:rPr>
        <w:t xml:space="preserve">- restore (re-enable RLS); assert PASS again (working-tree quiescence §11.4.84)</w:t>
      </w:r>
    </w:p>
    <w:p>
      <w:pPr>
        <w:pStyle w:val="FirstParagraph"/>
      </w:pPr>
      <w:r>
        <w:t xml:space="preserve">The no-log schema mutation:</w:t>
      </w:r>
    </w:p>
    <w:p>
      <w:pPr>
        <w:pStyle w:val="SourceCode"/>
      </w:pPr>
      <w:r>
        <w:rPr>
          <w:rStyle w:val="VerbatimChar"/>
        </w:rPr>
        <w:t xml:space="preserve"># §1.1 mutation for CM-NO-LOG-SCHEMA (defeats a "we forgot we log flows" regression)</w:t>
      </w:r>
      <w:r>
        <w:br/>
      </w:r>
      <w:r>
        <w:rPr>
          <w:rStyle w:val="VerbatimChar"/>
        </w:rPr>
        <w:t xml:space="preserve">- seed a forbidden table: CREATE TABLE connections (src_ip inet, dst_ip inet, started_at timestamptz);</w:t>
      </w:r>
      <w:r>
        <w:br/>
      </w:r>
      <w:r>
        <w:rPr>
          <w:rStyle w:val="VerbatimChar"/>
        </w:rPr>
        <w:t xml:space="preserve">- assert: schemalint FAILs (a durable per-flow table appeared)</w:t>
      </w:r>
      <w:r>
        <w:br/>
      </w:r>
      <w:r>
        <w:rPr>
          <w:rStyle w:val="VerbatimChar"/>
        </w:rPr>
        <w:t xml:space="preserve">- restore (drop the table); assert schemalint PASS</w:t>
      </w:r>
    </w:p>
    <w:p>
      <w:pPr>
        <w:pStyle w:val="FirstParagraph"/>
      </w:pPr>
      <w:r>
        <w:t xml:space="preserve">Each INT gate's mutation makes it FAIL — proving the gate is not a tautology (the</w:t>
      </w:r>
      <w:r>
        <w:t xml:space="preserve"> </w:t>
      </w:r>
      <w:r>
        <w:t xml:space="preserve">§11.4.120 reconciliation rule applies if a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schema change later makes a</w:t>
      </w:r>
      <w:r>
        <w:t xml:space="preserve"> </w:t>
      </w:r>
      <w:r>
        <w:t xml:space="preserve">stale schema-lint rule FAIL: rewrite the rule to the new invariant, never weaken it).</w:t>
      </w:r>
    </w:p>
    <w:p>
      <w:r>
        <w:pict>
          <v:rect style="width:0;height:1.5pt" o:hralign="center" o:hrstd="t" o:hr="t"/>
        </w:pict>
      </w:r>
    </w:p>
    <w:bookmarkEnd w:id="36"/>
    <w:bookmarkStart w:id="41" w:name="X38816b321e10e61676ed6481588884deed66a3c"/>
    <w:p>
      <w:pPr>
        <w:pStyle w:val="Heading2"/>
      </w:pPr>
      <w:r>
        <w:t xml:space="preserve">8. Test skeletons</w:t>
      </w:r>
    </w:p>
    <w:bookmarkStart w:id="37" w:name="Xe6cb176e9a5402f1b3d2d251d31aa54380fb8bf"/>
    <w:p>
      <w:pPr>
        <w:pStyle w:val="Heading3"/>
      </w:pPr>
      <w:r>
        <w:t xml:space="preserve">8.1 RLS cross-tenant denial (the canonical INT test)</w:t>
      </w:r>
    </w:p>
    <w:p>
      <w:pPr>
        <w:pStyle w:val="SourceCode"/>
      </w:pPr>
      <w:r>
        <w:rPr>
          <w:rStyle w:val="CommentTok"/>
        </w:rPr>
        <w:t xml:space="preserve">// helix-go/internal/store/rls_integration_test.go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"digital.vasic.containers/pkg/boot"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§11.4.76 sole container seam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"digital.vasic.containers/pkg/health"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TestRLSCrossTenantDenial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Postgres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§11.4.161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 infra: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§11.4.14 quiescence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PostgresDSN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migrateProductionDDL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real RLS policies enabled</w:t>
      </w:r>
      <w:r>
        <w:br/>
      </w:r>
      <w:r>
        <w:rPr>
          <w:rStyle w:val="NormalTok"/>
        </w:rPr>
        <w:t xml:space="preserve">    seedTenant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"device-a1"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through the production store path</w:t>
      </w:r>
      <w:r>
        <w:br/>
      </w:r>
      <w:r>
        <w:rPr>
          <w:rStyle w:val="NormalTok"/>
        </w:rPr>
        <w:t xml:space="preserve">    seedTenant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"device-b1"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`SELECT id FROM devices`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under tenant-A RLS role</w:t>
      </w:r>
      <w:r>
        <w:br/>
      </w:r>
      <w:r>
        <w:rPr>
          <w:rStyle w:val="NormalTok"/>
        </w:rPr>
        <w:t xml:space="preserve">    requireContains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"device-a1"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requireNotContains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"device-b1"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captured rowset = evidence (§11.4.5/.69)</w:t>
      </w:r>
      <w:r>
        <w:br/>
      </w:r>
      <w:r>
        <w:rPr>
          <w:rStyle w:val="NormalTok"/>
        </w:rPr>
        <w:t xml:space="preserve">    writeEvidence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"qa-results/int/rls"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ab_pass_with_evidence cites this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paired §1.1 mutation: DISABLE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→ this test MUST FAIL (CM-RLS-ENFORCED)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669b690cbafaac9700c72adea373bca34bd9b78"/>
    <w:p>
      <w:pPr>
        <w:pStyle w:val="Heading3"/>
      </w:pPr>
      <w:r>
        <w:t xml:space="preserve">8.2 Enrollment — key-never-leaves-server (§11.4.10 + S2)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TestEnrollmentPrivateKeyNeverPersistedServerSide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Postgres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startAPI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real svc-identity+registry+pki</w:t>
      </w:r>
      <w:r>
        <w:br/>
      </w:r>
      <w:r>
        <w:br/>
      </w:r>
      <w:r>
        <w:rPr>
          <w:rStyle w:val="NormalTok"/>
        </w:rPr>
        <w:t xml:space="preserve">    tok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mintAnonDeviceToken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real token path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devicePubKeyOnly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client sends PUBLIC key only</w:t>
      </w:r>
      <w:r>
        <w:br/>
      </w:r>
      <w:r>
        <w:rPr>
          <w:rStyle w:val="NormalTok"/>
        </w:rPr>
        <w:t xml:space="preserve">    requireValidMTLSCert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short-lived cert issued (svc-pki)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SCAN: no private-key bytes anywhere server-side (DB + logs), §11.4.10 / S2</w:t>
      </w:r>
      <w:r>
        <w:br/>
      </w:r>
      <w:r>
        <w:rPr>
          <w:rStyle w:val="NormalTok"/>
        </w:rPr>
        <w:t xml:space="preserve">    leaks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scanForPrivateKeyBytes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PostgresDSN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LogDir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requireEmpty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captured scan report = evidence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§1.1 mutation: persist the private key → scan finds it → CM-KEY-NEVER-LEAVES FAILs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X586299cc769fbc14b4ee261a2bd032460239143"/>
    <w:p>
      <w:pPr>
        <w:pStyle w:val="Heading3"/>
      </w:pPr>
      <w:r>
        <w:t xml:space="preserve">8.3 Event backbone round-trip (Redis Streams → coordinator delta)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TestEventPublishToDeltaEmit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Postgres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coord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startCoordinator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real consumer group</w:t>
      </w:r>
      <w:r>
        <w:br/>
      </w:r>
      <w:r>
        <w:rPr>
          <w:rStyle w:val="NormalTok"/>
        </w:rPr>
        <w:t xml:space="preserve">    bus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connectRedisStreams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RedisAddr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"device.enrolled"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"10.0.0.3"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AwaitDelta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SLO1 budget &lt; 1 s</w:t>
      </w:r>
      <w:r>
        <w:br/>
      </w:r>
      <w:r>
        <w:rPr>
          <w:rStyle w:val="NormalTok"/>
        </w:rPr>
        <w:t xml:space="preserve">    requireDeltaAdds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minimal delta, captured transcript</w:t>
      </w:r>
      <w:r>
        <w:br/>
      </w:r>
      <w:r>
        <w:rPr>
          <w:rStyle w:val="NormalTok"/>
        </w:rPr>
        <w:t xml:space="preserve">    requirePolicyFiltered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forPeer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need-to-know peer filtering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§1.1 mutation: drop the XADD ack path → delta never emitted → test FAILs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X65dcd82b6d55ec16c0b8886ccd2ab99f8a1fc55"/>
    <w:p>
      <w:pPr>
        <w:pStyle w:val="Heading3"/>
      </w:pPr>
      <w:r>
        <w:t xml:space="preserve">8.4 No-log schema invariant (DDL + schema-lint)</w:t>
      </w:r>
    </w:p>
    <w:p>
      <w:pPr>
        <w:pStyle w:val="SourceCode"/>
      </w:pPr>
      <w:r>
        <w:rPr>
          <w:rStyle w:val="CommentTok"/>
        </w:rPr>
        <w:t xml:space="preserve">-- the invariant schemalint enforces against the LIVE booted DB (AC8)</w:t>
      </w:r>
      <w:r>
        <w:br/>
      </w:r>
      <w:r>
        <w:rPr>
          <w:rStyle w:val="CommentTok"/>
        </w:rPr>
        <w:t xml:space="preserve">-- ALLOWED: aggregate counters only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traffic_counters (</w:t>
      </w:r>
      <w:r>
        <w:br/>
      </w:r>
      <w:r>
        <w:rPr>
          <w:rStyle w:val="NormalTok"/>
        </w:rPr>
        <w:t xml:space="preserve">  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window_start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rx_bytes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SUM over window, NOT per-connection</w:t>
      </w:r>
      <w:r>
        <w:br/>
      </w:r>
      <w:r>
        <w:rPr>
          <w:rStyle w:val="NormalTok"/>
        </w:rPr>
        <w:t xml:space="preserve">    tx_bytes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window_start)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FORBIDDEN (the §1.1 mutation seeds this → schemalint MUST FAIL):</w:t>
      </w:r>
      <w:r>
        <w:br/>
      </w:r>
      <w:r>
        <w:rPr>
          <w:rStyle w:val="CommentTok"/>
        </w:rPr>
        <w:t xml:space="preserve">-- CREATE TABLE connections (src_ip inet, dst_ip inet, started_at timestamptz, ...);</w:t>
      </w:r>
    </w:p>
    <w:p>
      <w:pPr>
        <w:pStyle w:val="SourceCode"/>
      </w:pPr>
      <w:r>
        <w:rPr>
          <w:rStyle w:val="CommentTok"/>
        </w:rPr>
        <w:t xml:space="preserve"># scripts/schemalint.sh — runs against the containers-booted DB, NOT a static file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$INT_DSN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-Atc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table_name FROM information_schema.columns</w:t>
      </w:r>
      <w:r>
        <w:br/>
      </w:r>
      <w:r>
        <w:rPr>
          <w:rStyle w:val="StringTok"/>
        </w:rPr>
        <w:t xml:space="preserve">  WHERE column_name IN ('src_ip','dst_ip','src_port','dst_port','packet','flow_id')</w:t>
      </w:r>
      <w:r>
        <w:br/>
      </w:r>
      <w:r>
        <w:rPr>
          <w:rStyle w:val="StringTok"/>
        </w:rPr>
        <w:t xml:space="preserve">    AND table_schema='public'"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"no-log invariant breached: a per-flow column exists"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durable conn/traffic log"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"qa-results/int/schemalint_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.txt"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382bc5af2831f3ce0f249a208076f9bb2e3224c"/>
    <w:p>
      <w:pPr>
        <w:pStyle w:val="Heading2"/>
      </w:pPr>
      <w:r>
        <w:t xml:space="preserve">8a. The on-demand-infra lifecycle (failure modes + cleanup)</w:t>
      </w:r>
    </w:p>
    <w:p>
      <w:pPr>
        <w:pStyle w:val="FirstParagraph"/>
      </w:pPr>
      <w:r>
        <w:t xml:space="preserve">The §11.4.76 on-demand-infra invariant has a precise lifecycle whose failure modes</w:t>
      </w:r>
      <w:r>
        <w:t xml:space="preserve"> </w:t>
      </w:r>
      <w:r>
        <w:t xml:space="preserve">are all defects, never flakes:</w:t>
      </w:r>
    </w:p>
    <w:p>
      <w:pPr>
        <w:pStyle w:val="BodyText"/>
      </w:pPr>
      <w:r>
        <w:drawing>
          <wp:inline>
            <wp:extent cx="5334000" cy="2973160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/tmp/.private/milosvasic/tmp.zd9q69b2DE/img/diagram_002_22f22a2aa15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times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boot.Up</w:t>
            </w:r>
            <w:r>
              <w:t xml:space="preserve"> </w:t>
            </w:r>
            <w:r>
              <w:t xml:space="preserve">returns error</w:t>
            </w:r>
          </w:p>
        </w:tc>
        <w:tc>
          <w:tcPr/>
          <w:p>
            <w:pPr>
              <w:pStyle w:val="Compact"/>
            </w:pPr>
            <w:r>
              <w:t xml:space="preserve">infra/host defect — surfaced, not a test FAIL bluff (§11.4.1)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WaitReady</w:t>
            </w:r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intermittent "connection refused"</w:t>
            </w:r>
          </w:p>
        </w:tc>
        <w:tc>
          <w:tcPr/>
          <w:p>
            <w:pPr>
              <w:pStyle w:val="Compact"/>
            </w:pPr>
            <w:r>
              <w:t xml:space="preserve">a §11.4.107(3) loading-vs-ready bug → fix the harness, never retry-hope (§11.4.102)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infra.Down</w:t>
            </w:r>
            <w:r>
              <w:t xml:space="preserve"> </w:t>
            </w: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orphan container survives</w:t>
            </w:r>
          </w:p>
        </w:tc>
        <w:tc>
          <w:tcPr/>
          <w:p>
            <w:pPr>
              <w:pStyle w:val="Compact"/>
            </w:pPr>
            <w:r>
              <w:t xml:space="preserve">§11.4.14 violation; post-test sanity check FAILs the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rootful spec on a rootless platform</w:t>
            </w:r>
          </w:p>
        </w:tc>
        <w:tc>
          <w:tcPr/>
          <w:p>
            <w:pPr>
              <w:pStyle w:val="Compact"/>
            </w:pPr>
            <w:r>
              <w:t xml:space="preserve">boot rejected</w:t>
            </w:r>
          </w:p>
        </w:tc>
        <w:tc>
          <w:tcPr/>
          <w:p>
            <w:pPr>
              <w:pStyle w:val="Compact"/>
            </w:pPr>
            <w:r>
              <w:t xml:space="preserve">§11.4.161 — the spec must be</w:t>
            </w:r>
            <w:r>
              <w:t xml:space="preserve"> </w:t>
            </w:r>
            <w:r>
              <w:rPr>
                <w:rStyle w:val="VerbatimChar"/>
              </w:rPr>
              <w:t xml:space="preserve">Rootless:true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needed primitive missing from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can't boot the edge</w:t>
            </w:r>
          </w:p>
        </w:tc>
        <w:tc>
          <w:tcPr/>
          <w:p>
            <w:pPr>
              <w:pStyle w:val="Compact"/>
            </w:pPr>
            <w:r>
              <w:t xml:space="preserve">extend upstream (§11.4.74), never a raw</w:t>
            </w:r>
            <w:r>
              <w:t xml:space="preserve"> </w:t>
            </w:r>
            <w:r>
              <w:rPr>
                <w:rStyle w:val="VerbatimChar"/>
              </w:rPr>
              <w:t xml:space="preserve">podman</w:t>
            </w:r>
            <w:r>
              <w:t xml:space="preserve"> </w:t>
            </w:r>
            <w:r>
              <w:t xml:space="preserve">workaround</w:t>
            </w:r>
          </w:p>
        </w:tc>
      </w:tr>
    </w:tbl>
    <w:bookmarkEnd w:id="45"/>
    <w:bookmarkStart w:id="46" w:name="X72a87c8a303466da9bef36a771e0693264f0000"/>
    <w:p>
      <w:pPr>
        <w:pStyle w:val="Heading2"/>
      </w:pPr>
      <w:r>
        <w:t xml:space="preserve">8b. Evidence-shape contract per seam (the §11.4.69 binding)</w:t>
      </w:r>
    </w:p>
    <w:p>
      <w:pPr>
        <w:pStyle w:val="FirstParagraph"/>
      </w:pPr>
      <w:r>
        <w:t xml:space="preserve">The INT layer's anti-bluff guarantee is that</w:t>
      </w:r>
      <w:r>
        <w:t xml:space="preserve"> </w:t>
      </w:r>
      <w:r>
        <w:rPr>
          <w:b/>
          <w:bCs/>
        </w:rPr>
        <w:t xml:space="preserve">the captured artifact's shape is</w:t>
      </w:r>
      <w:r>
        <w:rPr>
          <w:b/>
          <w:bCs/>
        </w:rPr>
        <w:t xml:space="preserve"> </w:t>
      </w:r>
      <w:r>
        <w:rPr>
          <w:b/>
          <w:bCs/>
        </w:rPr>
        <w:t xml:space="preserve">fixed per seam</w:t>
      </w:r>
      <w:r>
        <w:t xml:space="preserve"> </w:t>
      </w:r>
      <w:r>
        <w:t xml:space="preserve">— a PASS that does not produce the fixed shape is rejected at the</w:t>
      </w:r>
      <w:r>
        <w:t xml:space="preserve"> </w:t>
      </w:r>
      <w:r>
        <w:t xml:space="preserve">gate, not merely flagged: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Required shape</w:t>
            </w:r>
          </w:p>
        </w:tc>
        <w:tc>
          <w:tcPr/>
          <w:p>
            <w:pPr>
              <w:pStyle w:val="Compact"/>
            </w:pPr>
            <w:r>
              <w:t xml:space="preserve">A bluff that the shape rejects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a JSON rowset with tenant-A's rows and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tenant-B's</w:t>
            </w:r>
          </w:p>
        </w:tc>
        <w:tc>
          <w:tcPr/>
          <w:p>
            <w:pPr>
              <w:pStyle w:val="Compact"/>
            </w:pPr>
            <w:r>
              <w:t xml:space="preserve">"query returned no error" (B2) — no rowset means no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t xml:space="preserve">issued cert chain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an empty private-key scan report</w:t>
            </w:r>
          </w:p>
        </w:tc>
        <w:tc>
          <w:tcPr/>
          <w:p>
            <w:pPr>
              <w:pStyle w:val="Compact"/>
            </w:pPr>
            <w:r>
              <w:t xml:space="preserve">"enrollment succeeded" (B1) — no scan means the key could have leaked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a consumed-event + emitted-delta transcript with timing</w:t>
            </w:r>
          </w:p>
        </w:tc>
        <w:tc>
          <w:tcPr/>
          <w:p>
            <w:pPr>
              <w:pStyle w:val="Compact"/>
            </w:pPr>
            <w:r>
              <w:t xml:space="preserve">"delta emitted" claim with no transcript (B3 wrong-plane)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no-log schema</w:t>
            </w:r>
          </w:p>
        </w:tc>
        <w:tc>
          <w:tcPr/>
          <w:p>
            <w:pPr>
              <w:pStyle w:val="Compact"/>
            </w:pPr>
            <w:r>
              <w:t xml:space="preserve">the live-DB introspection report (zero forbidden columns)</w:t>
            </w:r>
          </w:p>
        </w:tc>
        <w:tc>
          <w:tcPr/>
          <w:p>
            <w:pPr>
              <w:pStyle w:val="Compact"/>
            </w:pPr>
            <w:r>
              <w:t xml:space="preserve">a static-DDL grep (misses a runtime migration, §11.4.108)</w:t>
            </w:r>
          </w:p>
        </w:tc>
      </w:tr>
    </w:tbl>
    <w:bookmarkEnd w:id="46"/>
    <w:bookmarkStart w:id="47" w:name="X36adefea91befc8abc7da5dae107e48fa7f434e"/>
    <w:p>
      <w:pPr>
        <w:pStyle w:val="Heading2"/>
      </w:pPr>
      <w:r>
        <w:t xml:space="preserve">9. Open decisions surfaced for QA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I-D1</w:t>
            </w:r>
          </w:p>
        </w:tc>
        <w:tc>
          <w:tcPr/>
          <w:p>
            <w:pPr>
              <w:pStyle w:val="Compact"/>
            </w:pPr>
            <w:r>
              <w:t xml:space="preserve">Fresh-infra-per-test vs shared-infra-per-suite</w:t>
            </w:r>
          </w:p>
        </w:tc>
        <w:tc>
          <w:tcPr/>
          <w:p>
            <w:pPr>
              <w:pStyle w:val="Compact"/>
            </w:pPr>
            <w:r>
              <w:t xml:space="preserve">clean boot each test (slow, deterministic) vs one boot per package (fast)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boot per test for the security floor (RLS, enrollment); shared per-package for read-only seams</w:t>
            </w:r>
            <w:r>
              <w:t xml:space="preserve"> </w:t>
            </w:r>
            <w:r>
              <w:t xml:space="preserve">— balances §11.4.50 determinism against §11.4.82 iteration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I-D2</w:t>
            </w:r>
          </w:p>
        </w:tc>
        <w:tc>
          <w:tcPr/>
          <w:p>
            <w:pPr>
              <w:pStyle w:val="Compact"/>
            </w:pPr>
            <w:r>
              <w:t xml:space="preserve">schema-lint timing</w:t>
            </w:r>
          </w:p>
        </w:tc>
        <w:tc>
          <w:tcPr/>
          <w:p>
            <w:pPr>
              <w:pStyle w:val="Compact"/>
            </w:pPr>
            <w:r>
              <w:t xml:space="preserve">static-DDL grep vs live-DB introspection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live-DB introspection</w:t>
            </w:r>
            <w:r>
              <w:t xml:space="preserve"> </w:t>
            </w:r>
            <w:r>
              <w:t xml:space="preserve">(</w:t>
            </w:r>
            <w:hyperlink r:id="rId9">
              <w:r>
                <w:rPr>
                  <w:rStyle w:val="Hyperlink"/>
                </w:rPr>
                <w:t xml:space="preserve">overview §5.2</w:t>
              </w:r>
            </w:hyperlink>
            <w:r>
              <w:t xml:space="preserve">) — a static grep misses a migration that adds a forbidden table at runtime (the SOURCE→ARTIFACT gap, §11.4.108)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I-D3</w:t>
            </w:r>
          </w:p>
        </w:tc>
        <w:tc>
          <w:tcPr/>
          <w:p>
            <w:pPr>
              <w:pStyle w:val="Compact"/>
            </w:pPr>
            <w:r>
              <w:t xml:space="preserve">edge-in-INT vs edge-only-in-E2E</w:t>
            </w:r>
          </w:p>
        </w:tc>
        <w:tc>
          <w:tcPr/>
          <w:p>
            <w:pPr>
              <w:pStyle w:val="Compact"/>
            </w:pPr>
            <w:r>
              <w:t xml:space="preserve">boot edge for policy-config INT vs defer all edge to E2E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 edge for config-reach INT, defer packet-enforce to E2E</w:t>
            </w:r>
            <w:r>
              <w:t xml:space="preserve"> </w:t>
            </w:r>
            <w:r>
              <w:t xml:space="preserve">— keeps the INT/E2E boundary at "packet on a wire"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the exact</w:t>
      </w:r>
      <w:r>
        <w:t xml:space="preserve"> </w:t>
      </w:r>
      <w:r>
        <w:rPr>
          <w:rStyle w:val="VerbatimChar"/>
        </w:rPr>
        <w:t xml:space="preserve">boot.Spec</w:t>
      </w:r>
      <w:r>
        <w:t xml:space="preserve"> </w:t>
      </w:r>
      <w:r>
        <w:t xml:space="preserve">field names (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health.WaitReady</w:t>
      </w:r>
      <w:r>
        <w:t xml:space="preserve"> </w:t>
      </w:r>
      <w:r>
        <w:t xml:space="preserve">signature are the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API per the overview skeleton; confirm against the pinned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SHA at integration time (§11.4.74 — extend upstream if absent).</w:t>
      </w:r>
    </w:p>
    <w:p>
      <w:r>
        <w:pict>
          <v:rect style="width:0;height:1.5pt" o:hralign="center" o:hrstd="t" o:hr="t"/>
        </w:pict>
      </w:r>
    </w:p>
    <w:bookmarkEnd w:id="47"/>
    <w:bookmarkStart w:id="4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hyperlink r:id="rId9">
        <w:r>
          <w:rPr>
            <w:rStyle w:val="Hyperlink"/>
          </w:rPr>
          <w:t xml:space="preserve">Volume-8 overview</w:t>
        </w:r>
      </w:hyperlink>
      <w:r>
        <w:t xml:space="preserve"> </w:t>
      </w:r>
      <w:r>
        <w:t xml:space="preserve">§2 (taxonomy row</w:t>
      </w:r>
      <w:r>
        <w:t xml:space="preserve"> </w:t>
      </w:r>
      <w:r>
        <w:rPr>
          <w:rStyle w:val="VerbatimChar"/>
        </w:rPr>
        <w:t xml:space="preserve">INT</w:t>
      </w:r>
      <w:r>
        <w:t xml:space="preserve">), §5.2 (the containers-submodule skeleton + no-log DDL), §6 (coverage ledger), §9 (Makefile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+ rootless note) — read 2026-06-26.</w:t>
      </w:r>
    </w:p>
    <w:p>
      <w:pPr>
        <w:pStyle w:val="Compact"/>
        <w:numPr>
          <w:ilvl w:val="0"/>
          <w:numId w:val="1004"/>
        </w:numPr>
      </w:pPr>
      <w:r>
        <w:t xml:space="preserve">Sibling specs cross-referenced:</w:t>
      </w:r>
      <w:r>
        <w:t xml:space="preserve"> </w:t>
      </w:r>
      <w:hyperlink r:id="rId16">
        <w:r>
          <w:rPr>
            <w:rStyle w:val="Hyperlink"/>
          </w:rPr>
          <w:t xml:space="preserve">../v03-control-plane/data-model-ddl.md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../v03-control-plane/svc-identity.md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../v03-control-plane/svc-pki.md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../v03-control-plane/svc-events.md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../v03-control-plane/svc-coordinator.md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../v03-control-plane/svc-ipam.md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../v05-security/no-logging-as-code.md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../v05-security/identity-and-enrollment.md</w:t>
        </w:r>
      </w:hyperlink>
      <w:r>
        <w:t xml:space="preserve"> </w:t>
      </w:r>
      <w:r>
        <w:t xml:space="preserve">— filenames confirmed present 2026-06-26.</w:t>
      </w:r>
    </w:p>
    <w:p>
      <w:pPr>
        <w:pStyle w:val="Compact"/>
        <w:numPr>
          <w:ilvl w:val="0"/>
          <w:numId w:val="1004"/>
        </w:numPr>
      </w:pPr>
      <w:r>
        <w:t xml:space="preserve">Constitution: §11.4.27 (no-fakes-beyond-unit), §11.4.76 (containers-submodule sole path), §11.4.161 (rootless), §11.4.74 (extend-upstream), §11.4.14 (quiescence cleanup), §11.4.5/.68/.69 (captured / no-absence-of-error / sink-side evidence), §11.4.50 (determinism), §11.4.107(3) (loading-vs-ready), §11.4.108 (SOURCE→ARTIFACT gap), §11.4.119 (single-resource owner), §11.4.120 (gate reconciliation), §11.4.10 (credentials), §1.1 (paired mutation) —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in-context.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API (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pkg/health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) is taken from the overview skeleton —</w:t>
      </w:r>
      <w:r>
        <w:t xml:space="preserve"> </w:t>
      </w:r>
      <w:r>
        <w:rPr>
          <w:b/>
          <w:bCs/>
        </w:rPr>
        <w:t xml:space="preserve">not independently fetched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vasic-digital/containers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; confirm at the pinned SHA).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16" Target="../v03-control-plane/data-model-ddl.md" TargetMode="External" /><Relationship Type="http://schemas.openxmlformats.org/officeDocument/2006/relationships/hyperlink" Id="rId23" Target="../v03-control-plane/protobuf-spec.md" TargetMode="External" /><Relationship Type="http://schemas.openxmlformats.org/officeDocument/2006/relationships/hyperlink" Id="rId21" Target="../v03-control-plane/reconciliation-flow.md" TargetMode="External" /><Relationship Type="http://schemas.openxmlformats.org/officeDocument/2006/relationships/hyperlink" Id="rId26" Target="../v03-control-plane/svc-api.md" TargetMode="External" /><Relationship Type="http://schemas.openxmlformats.org/officeDocument/2006/relationships/hyperlink" Id="rId22" Target="../v03-control-plane/svc-coordinator.md" TargetMode="External" /><Relationship Type="http://schemas.openxmlformats.org/officeDocument/2006/relationships/hyperlink" Id="rId20" Target="../v03-control-plane/svc-events.md" TargetMode="External" /><Relationship Type="http://schemas.openxmlformats.org/officeDocument/2006/relationships/hyperlink" Id="rId48" Target="../v03-control-plane/svc-identity.md" TargetMode="External" /><Relationship Type="http://schemas.openxmlformats.org/officeDocument/2006/relationships/hyperlink" Id="rId24" Target="../v03-control-plane/svc-ipam.md" TargetMode="External" /><Relationship Type="http://schemas.openxmlformats.org/officeDocument/2006/relationships/hyperlink" Id="rId19" Target="../v03-control-plane/svc-pki.md" TargetMode="External" /><Relationship Type="http://schemas.openxmlformats.org/officeDocument/2006/relationships/hyperlink" Id="rId25" Target="../v03-control-plane/svc-policy.md" TargetMode="External" /><Relationship Type="http://schemas.openxmlformats.org/officeDocument/2006/relationships/hyperlink" Id="rId18" Target="../v05-security/identity-and-enrollment.md" TargetMode="External" /><Relationship Type="http://schemas.openxmlformats.org/officeDocument/2006/relationships/hyperlink" Id="rId17" Target="../v05-security/no-logging-as-code.md" TargetMode="External" /><Relationship Type="http://schemas.openxmlformats.org/officeDocument/2006/relationships/hyperlink" Id="rId13" Target="challenges.md" TargetMode="External" /><Relationship Type="http://schemas.openxmlformats.org/officeDocument/2006/relationships/hyperlink" Id="rId11" Target="e2e.md" TargetMode="External" /><Relationship Type="http://schemas.openxmlformats.org/officeDocument/2006/relationships/hyperlink" Id="rId12" Target="full-automation.md" TargetMode="External" /><Relationship Type="http://schemas.openxmlformats.org/officeDocument/2006/relationships/hyperlink" Id="rId14" Target="helixqa.md" TargetMode="External" /><Relationship Type="http://schemas.openxmlformats.org/officeDocument/2006/relationships/hyperlink" Id="rId10" Target="un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16" Target="../v03-control-plane/data-model-ddl.md" TargetMode="External" /><Relationship Type="http://schemas.openxmlformats.org/officeDocument/2006/relationships/hyperlink" Id="rId23" Target="../v03-control-plane/protobuf-spec.md" TargetMode="External" /><Relationship Type="http://schemas.openxmlformats.org/officeDocument/2006/relationships/hyperlink" Id="rId21" Target="../v03-control-plane/reconciliation-flow.md" TargetMode="External" /><Relationship Type="http://schemas.openxmlformats.org/officeDocument/2006/relationships/hyperlink" Id="rId26" Target="../v03-control-plane/svc-api.md" TargetMode="External" /><Relationship Type="http://schemas.openxmlformats.org/officeDocument/2006/relationships/hyperlink" Id="rId22" Target="../v03-control-plane/svc-coordinator.md" TargetMode="External" /><Relationship Type="http://schemas.openxmlformats.org/officeDocument/2006/relationships/hyperlink" Id="rId20" Target="../v03-control-plane/svc-events.md" TargetMode="External" /><Relationship Type="http://schemas.openxmlformats.org/officeDocument/2006/relationships/hyperlink" Id="rId48" Target="../v03-control-plane/svc-identity.md" TargetMode="External" /><Relationship Type="http://schemas.openxmlformats.org/officeDocument/2006/relationships/hyperlink" Id="rId24" Target="../v03-control-plane/svc-ipam.md" TargetMode="External" /><Relationship Type="http://schemas.openxmlformats.org/officeDocument/2006/relationships/hyperlink" Id="rId19" Target="../v03-control-plane/svc-pki.md" TargetMode="External" /><Relationship Type="http://schemas.openxmlformats.org/officeDocument/2006/relationships/hyperlink" Id="rId25" Target="../v03-control-plane/svc-policy.md" TargetMode="External" /><Relationship Type="http://schemas.openxmlformats.org/officeDocument/2006/relationships/hyperlink" Id="rId18" Target="../v05-security/identity-and-enrollment.md" TargetMode="External" /><Relationship Type="http://schemas.openxmlformats.org/officeDocument/2006/relationships/hyperlink" Id="rId17" Target="../v05-security/no-logging-as-code.md" TargetMode="External" /><Relationship Type="http://schemas.openxmlformats.org/officeDocument/2006/relationships/hyperlink" Id="rId13" Target="challenges.md" TargetMode="External" /><Relationship Type="http://schemas.openxmlformats.org/officeDocument/2006/relationships/hyperlink" Id="rId11" Target="e2e.md" TargetMode="External" /><Relationship Type="http://schemas.openxmlformats.org/officeDocument/2006/relationships/hyperlink" Id="rId12" Target="full-automation.md" TargetMode="External" /><Relationship Type="http://schemas.openxmlformats.org/officeDocument/2006/relationships/hyperlink" Id="rId14" Target="helixqa.md" TargetMode="External" /><Relationship Type="http://schemas.openxmlformats.org/officeDocument/2006/relationships/hyperlink" Id="rId10" Target="un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Testing — HelixVPN nano-detail spec (Volume 8 · §11.4.169 type 2)</dc:title>
  <dc:creator/>
  <cp:keywords/>
  <dcterms:created xsi:type="dcterms:W3CDTF">2026-07-04T13:44:15Z</dcterms:created>
  <dcterms:modified xsi:type="dcterms:W3CDTF">2026-07-04T13:44:15Z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