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HelixVPN — Final Phase: General Availability (GA) Readiness</w:t>
      </w:r>
    </w:p>
    <w:bookmarkStart w:id="38" w:name="Xd34b0d37698baa7cce9ef3c6092d3986996d732"/>
    <w:p>
      <w:pPr>
        <w:pStyle w:val="Heading1"/>
      </w:pPr>
      <w:r>
        <w:t xml:space="preserve">HelixVPN — Final Phase: General Availability (GA) Readiness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specification — describes what to build/verify, not the shipping product.</w:t>
      </w:r>
    </w:p>
    <w:p>
      <w:pPr>
        <w:pStyle w:val="BlockText"/>
      </w:pPr>
      <w:r>
        <w:rPr>
          <w:b/>
          <w:bCs/>
        </w:rPr>
        <w:t xml:space="preserve">Scope of this document.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last phase before General Availability</w:t>
      </w:r>
      <w:r>
        <w:t xml:space="preserve"> </w:t>
      </w:r>
      <w:r>
        <w:t xml:space="preserve">— the</w:t>
      </w:r>
      <w:r>
        <w:t xml:space="preserve"> </w:t>
      </w:r>
      <w:r>
        <w:t xml:space="preserve">hardening, launch-readiness, and go-to-market phase that sits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Phase 3's</w:t>
      </w:r>
      <w:r>
        <w:t xml:space="preserve"> </w:t>
      </w:r>
      <w:r>
        <w:t xml:space="preserve">enterprise/scale features are built (</w:t>
      </w:r>
      <w:r>
        <w:rPr>
          <w:rStyle w:val="VerbatimChar"/>
        </w:rPr>
        <w:t xml:space="preserve">docs/research/mvp3/MVP3_ENTERPRISE_SCALE.md</w:t>
      </w:r>
      <w:r>
        <w:t xml:space="preserve">) and after</w:t>
      </w:r>
      <w:r>
        <w:t xml:space="preserve"> </w:t>
      </w:r>
      <w:r>
        <w:t xml:space="preserve">the 8-platform client suite (</w:t>
      </w:r>
      <w:r>
        <w:rPr>
          <w:rStyle w:val="VerbatimChar"/>
        </w:rPr>
        <w:t xml:space="preserve">docs/research/mvp2/</w:t>
      </w:r>
      <w:r>
        <w:t xml:space="preserve">) and the control-plane MVP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docs/research/mvp/</w:t>
      </w:r>
      <w:r>
        <w:t xml:space="preserve">) are feature-complete. This document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re-specify any</w:t>
      </w:r>
      <w:r>
        <w:t xml:space="preserve"> </w:t>
      </w:r>
      <w:r>
        <w:t xml:space="preserve">feature — it specifies the</w:t>
      </w:r>
      <w:r>
        <w:t xml:space="preserve"> </w:t>
      </w:r>
      <w:r>
        <w:rPr>
          <w:b/>
          <w:bCs/>
        </w:rPr>
        <w:t xml:space="preserve">checklist, gates, and long-term operating model</w:t>
      </w:r>
      <w:r>
        <w:t xml:space="preserve"> </w:t>
      </w:r>
      <w:r>
        <w:t xml:space="preserve">that must be</w:t>
      </w:r>
      <w:r>
        <w:t xml:space="preserve"> </w:t>
      </w:r>
      <w:r>
        <w:t xml:space="preserve">satisfied before HelixVPN is offered to the general public as a supported, paid product.</w:t>
      </w:r>
    </w:p>
    <w:p>
      <w:pPr>
        <w:pStyle w:val="BlockText"/>
      </w:pPr>
      <w:r>
        <w:rPr>
          <w:b/>
          <w:bCs/>
        </w:rPr>
        <w:t xml:space="preserve">Entry condition.</w:t>
      </w:r>
      <w:r>
        <w:t xml:space="preserve"> </w:t>
      </w:r>
      <w:r>
        <w:t xml:space="preserve">GA readiness work starts once every gate in</w:t>
      </w:r>
      <w:r>
        <w:t xml:space="preserve"> </w:t>
      </w:r>
      <w:r>
        <w:rPr>
          <w:rStyle w:val="VerbatimChar"/>
        </w:rPr>
        <w:t xml:space="preserve">docs/research/mvp3/MVP3_ENTERPRISE_SCALE.md</w:t>
      </w:r>
      <w:r>
        <w:t xml:space="preserve"> </w:t>
      </w:r>
      <w:r>
        <w:t xml:space="preserve">§10.2 (</w:t>
      </w:r>
      <w:r>
        <w:rPr>
          <w:rStyle w:val="VerbatimChar"/>
        </w:rPr>
        <w:t xml:space="preserve">G30</w:t>
      </w:r>
      <w:r>
        <w:t xml:space="preserve">–</w:t>
      </w:r>
      <w:r>
        <w:rPr>
          <w:rStyle w:val="VerbatimChar"/>
        </w:rPr>
        <w:t xml:space="preserve">G37</w:t>
      </w:r>
      <w:r>
        <w:t xml:space="preserve">) is green,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pre-existing Phase-3 "Extended Reach" gates already scoped in</w:t>
      </w:r>
      <w:r>
        <w:t xml:space="preserve"> </w:t>
      </w:r>
      <w:r>
        <w:rPr>
          <w:rStyle w:val="VerbatimChar"/>
        </w:rPr>
        <w:t xml:space="preserve">docs/research/mvp/final/09-phase3-reach-wbs.md</w:t>
      </w:r>
      <w:r>
        <w:t xml:space="preserve"> </w:t>
      </w:r>
      <w:r>
        <w:t xml:space="preserve">(</w:t>
      </w:r>
      <w:r>
        <w:rPr>
          <w:rStyle w:val="VerbatimChar"/>
        </w:rPr>
        <w:t xml:space="preserve">G20</w:t>
      </w:r>
      <w:r>
        <w:t xml:space="preserve">–</w:t>
      </w:r>
      <w:r>
        <w:rPr>
          <w:rStyle w:val="VerbatimChar"/>
        </w:rPr>
        <w:t xml:space="preserve">G26</w:t>
      </w:r>
      <w:r>
        <w:t xml:space="preserve"> </w:t>
      </w:r>
      <w:r>
        <w:t xml:space="preserve">— HarmonyOS/Aurora native</w:t>
      </w:r>
      <w:r>
        <w:t xml:space="preserve"> </w:t>
      </w:r>
      <w:r>
        <w:t xml:space="preserve">shims, WASM browser proxy, billing-optional foundation, third-party security audit,</w:t>
      </w:r>
      <w:r>
        <w:t xml:space="preserve"> </w:t>
      </w:r>
      <w:r>
        <w:t xml:space="preserve">reproducible builds) are at least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or an honestly-tracked</w:t>
      </w:r>
      <w:r>
        <w:t xml:space="preserve"> </w:t>
      </w:r>
      <w:r>
        <w:rPr>
          <w:rStyle w:val="VerbatimChar"/>
        </w:rPr>
        <w:t xml:space="preserve">pending_device</w:t>
      </w:r>
      <w:r>
        <w:t xml:space="preserve">/</w:t>
      </w:r>
      <w:r>
        <w:t xml:space="preserve"> </w:t>
      </w:r>
      <w:r>
        <w:rPr>
          <w:rStyle w:val="VerbatimChar"/>
        </w:rPr>
        <w:t xml:space="preserve">operator_blocked</w:t>
      </w:r>
      <w:r>
        <w:t xml:space="preserve"> </w:t>
      </w:r>
      <w:r>
        <w:t xml:space="preserve">state, per that document's own anti-bluff discipline.</w:t>
      </w:r>
      <w:r>
        <w:t xml:space="preserve"> </w:t>
      </w:r>
      <w:r>
        <w:rPr>
          <w:b/>
          <w:bCs/>
        </w:rPr>
        <w:t xml:space="preserve">This document does</w:t>
      </w:r>
      <w:r>
        <w:rPr>
          <w:b/>
          <w:bCs/>
        </w:rPr>
        <w:t xml:space="preserve"> </w:t>
      </w:r>
      <w:r>
        <w:rPr>
          <w:b/>
          <w:bCs/>
        </w:rPr>
        <w:t xml:space="preserve">not duplicate the third-party security audit (</w:t>
      </w:r>
      <w:r>
        <w:rPr>
          <w:rStyle w:val="VerbatimChar"/>
          <w:b/>
          <w:bCs/>
        </w:rPr>
        <w:t xml:space="preserve">HVPN-P3-E25</w:t>
      </w:r>
      <w:r>
        <w:rPr>
          <w:b/>
          <w:bCs/>
        </w:rPr>
        <w:t xml:space="preserve">) or reproducible-builds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HVPN-P3-E26</w:t>
      </w:r>
      <w:r>
        <w:rPr>
          <w:b/>
          <w:bCs/>
        </w:rPr>
        <w:t xml:space="preserve">) epics already scoped there</w:t>
      </w:r>
      <w:r>
        <w:t xml:space="preserve"> </w:t>
      </w:r>
      <w:r>
        <w:t xml:space="preserve">— it treats their outcomes as</w:t>
      </w:r>
      <w:r>
        <w:t xml:space="preserve"> </w:t>
      </w:r>
      <w:r>
        <w:rPr>
          <w:b/>
          <w:bCs/>
        </w:rPr>
        <w:t xml:space="preserve">inputs</w:t>
      </w:r>
      <w:r>
        <w:t xml:space="preserve"> </w:t>
      </w:r>
      <w:r>
        <w:t xml:space="preserve">to the</w:t>
      </w:r>
      <w:r>
        <w:t xml:space="preserve"> </w:t>
      </w:r>
      <w:r>
        <w:t xml:space="preserve">GA launch checklist (§2.1, §2.2) and extends them to GA-specific scope (load testing at</w:t>
      </w:r>
      <w:r>
        <w:t xml:space="preserve"> </w:t>
      </w:r>
      <w:r>
        <w:t xml:space="preserve">commercial scale, chaos-testing the</w:t>
      </w:r>
      <w:r>
        <w:t xml:space="preserve"> </w:t>
      </w:r>
      <w:r>
        <w:rPr>
          <w:i/>
          <w:iCs/>
        </w:rPr>
        <w:t xml:space="preserve">enterprise</w:t>
      </w:r>
      <w:r>
        <w:t xml:space="preserve"> </w:t>
      </w:r>
      <w:r>
        <w:t xml:space="preserve">HA topology from Phase 3, not just the</w:t>
      </w:r>
      <w:r>
        <w:t xml:space="preserve"> </w:t>
      </w:r>
      <w:r>
        <w:t xml:space="preserve">single-region Phase-2 topology).</w:t>
      </w:r>
    </w:p>
    <w:p>
      <w:pPr>
        <w:pStyle w:val="BlockText"/>
      </w:pPr>
      <w:r>
        <w:rPr>
          <w:b/>
          <w:bCs/>
        </w:rPr>
        <w:t xml:space="preserve">Why this phase exists as its own document.</w:t>
      </w:r>
      <w:r>
        <w:t xml:space="preserve"> </w:t>
      </w:r>
      <w:r>
        <w:t xml:space="preserve">"Feature-complete" and "ready to sell to the</w:t>
      </w:r>
      <w:r>
        <w:t xml:space="preserve"> </w:t>
      </w:r>
      <w:r>
        <w:t xml:space="preserve">general public with a support contract" are different bars. A product can pass every</w:t>
      </w:r>
      <w:r>
        <w:t xml:space="preserve"> </w:t>
      </w:r>
      <w:r>
        <w:t xml:space="preserve">functional gate in Phase 0–3 and still be unsafe to launch if there is no on-call rotation, no</w:t>
      </w:r>
      <w:r>
        <w:t xml:space="preserve"> </w:t>
      </w:r>
      <w:r>
        <w:t xml:space="preserve">pen-test sign-off at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(post-Phase-3) attack surface, no finalized ToS/DPA, or no</w:t>
      </w:r>
      <w:r>
        <w:t xml:space="preserve"> </w:t>
      </w:r>
      <w:r>
        <w:t xml:space="preserve">plan for what happens to a paying customer's FFI-dependent integration when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's API</w:t>
      </w:r>
      <w:r>
        <w:t xml:space="preserve"> </w:t>
      </w:r>
      <w:r>
        <w:t xml:space="preserve">changes. This document is that missing bar, made concrete and falsifiable.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1. Executive summary</w:t>
        </w:r>
      </w:hyperlink>
    </w:p>
    <w:p>
      <w:pPr>
        <w:pStyle w:val="Compact"/>
        <w:numPr>
          <w:ilvl w:val="0"/>
          <w:numId w:val="1001"/>
        </w:numPr>
      </w:pPr>
      <w:hyperlink w:anchor="X5ce2843207f84b76bc82ab681dcd67177e95089">
        <w:r>
          <w:rPr>
            <w:rStyle w:val="Hyperlink"/>
          </w:rPr>
          <w:t xml:space="preserve">2. Production launch readiness checklist</w:t>
        </w:r>
      </w:hyperlink>
    </w:p>
    <w:p>
      <w:pPr>
        <w:pStyle w:val="Compact"/>
        <w:numPr>
          <w:ilvl w:val="0"/>
          <w:numId w:val="1001"/>
        </w:numPr>
      </w:pPr>
      <w:hyperlink w:anchor="X4a9ac9f11d6764cad496c53ab31880def0ffe37">
        <w:r>
          <w:rPr>
            <w:rStyle w:val="Hyperlink"/>
          </w:rPr>
          <w:t xml:space="preserve">3. Go-to-market readiness</w:t>
        </w:r>
      </w:hyperlink>
    </w:p>
    <w:p>
      <w:pPr>
        <w:pStyle w:val="Compact"/>
        <w:numPr>
          <w:ilvl w:val="0"/>
          <w:numId w:val="1001"/>
        </w:numPr>
      </w:pPr>
      <w:hyperlink w:anchor="X6b1ed1079aaa5884f7edca833356b0d8b320c24">
        <w:r>
          <w:rPr>
            <w:rStyle w:val="Hyperlink"/>
          </w:rPr>
          <w:t xml:space="preserve">4. Long-term maintenance model</w:t>
        </w:r>
      </w:hyperlink>
    </w:p>
    <w:p>
      <w:pPr>
        <w:pStyle w:val="Compact"/>
        <w:numPr>
          <w:ilvl w:val="0"/>
          <w:numId w:val="1001"/>
        </w:numPr>
      </w:pPr>
      <w:hyperlink w:anchor="X1bc50a43d31645c2a8e9adc697b08d0db33c801">
        <w:r>
          <w:rPr>
            <w:rStyle w:val="Hyperlink"/>
          </w:rPr>
          <w:t xml:space="preserve">5. Phased task/subtask WBS</w:t>
        </w:r>
      </w:hyperlink>
    </w:p>
    <w:p>
      <w:pPr>
        <w:pStyle w:val="Compact"/>
        <w:numPr>
          <w:ilvl w:val="0"/>
          <w:numId w:val="1001"/>
        </w:numPr>
      </w:pPr>
      <w:hyperlink w:anchor="X00484a7f9eb21ad693ea45e03a31d1bb7b18dab">
        <w:r>
          <w:rPr>
            <w:rStyle w:val="Hyperlink"/>
          </w:rPr>
          <w:t xml:space="preserve">6. Reconciliation with the existing audit/reproducible-builds epics</w:t>
        </w:r>
      </w:hyperlink>
    </w:p>
    <w:p>
      <w:pPr>
        <w:pStyle w:val="Compact"/>
        <w:numPr>
          <w:ilvl w:val="0"/>
          <w:numId w:val="1001"/>
        </w:numPr>
      </w:pPr>
      <w:hyperlink w:anchor="X5be60ae5ebae668cef259e1438e1ead308032a0">
        <w:r>
          <w:rPr>
            <w:rStyle w:val="Hyperlink"/>
          </w:rPr>
          <w:t xml:space="preserve">7. Decision register (operator input needed)</w:t>
        </w:r>
      </w:hyperlink>
    </w:p>
    <w:p>
      <w:pPr>
        <w:pStyle w:val="Compact"/>
        <w:numPr>
          <w:ilvl w:val="0"/>
          <w:numId w:val="1001"/>
        </w:numPr>
      </w:pPr>
      <w:hyperlink w:anchor="sources">
        <w:r>
          <w:rPr>
            <w:rStyle w:val="Hyperlink"/>
          </w:rPr>
          <w:t xml:space="preserve">Sources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102b2e9de4183984340b81b0bb402a984d3925a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GA readiness has three cooperating strands, each with its own gate: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Production launch readiness</w:t>
      </w:r>
      <w:r>
        <w:t xml:space="preserve"> </w:t>
      </w:r>
      <w:r>
        <w:t xml:space="preserve">(§2) — is the</w:t>
      </w:r>
      <w:r>
        <w:t xml:space="preserve"> </w:t>
      </w:r>
      <w:r>
        <w:rPr>
          <w:i/>
          <w:iCs/>
        </w:rPr>
        <w:t xml:space="preserve">system</w:t>
      </w:r>
      <w:r>
        <w:t xml:space="preserve"> </w:t>
      </w:r>
      <w:r>
        <w:t xml:space="preserve">safe and observably correct to run</w:t>
      </w:r>
      <w:r>
        <w:t xml:space="preserve"> </w:t>
      </w:r>
      <w:r>
        <w:t xml:space="preserve">at commercial scale, under real failure conditions, with a real human on-call rotation</w:t>
      </w:r>
      <w:r>
        <w:t xml:space="preserve"> </w:t>
      </w:r>
      <w:r>
        <w:t xml:space="preserve">behind it?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Go-to-market readiness</w:t>
      </w:r>
      <w:r>
        <w:t xml:space="preserve"> </w:t>
      </w:r>
      <w:r>
        <w:t xml:space="preserve">(§3) — is the</w:t>
      </w:r>
      <w:r>
        <w:t xml:space="preserve"> </w:t>
      </w:r>
      <w:r>
        <w:rPr>
          <w:i/>
          <w:iCs/>
        </w:rPr>
        <w:t xml:space="preserve">business</w:t>
      </w:r>
      <w:r>
        <w:t xml:space="preserve"> </w:t>
      </w:r>
      <w:r>
        <w:t xml:space="preserve">ready: pricing, legal, distribution</w:t>
      </w:r>
      <w:r>
        <w:t xml:space="preserve"> </w:t>
      </w:r>
      <w:r>
        <w:t xml:space="preserve">(8 app-store listings), marketing, and a working onboarding funnel?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Long-term maintenance model</w:t>
      </w:r>
      <w:r>
        <w:t xml:space="preserve"> </w:t>
      </w:r>
      <w:r>
        <w:t xml:space="preserve">(§4) — once GA happens, what is the</w:t>
      </w:r>
      <w:r>
        <w:t xml:space="preserve"> </w:t>
      </w:r>
      <w:r>
        <w:rPr>
          <w:i/>
          <w:iCs/>
        </w:rPr>
        <w:t xml:space="preserve">contract</w:t>
      </w:r>
      <w:r>
        <w:t xml:space="preserve"> </w:t>
      </w:r>
      <w:r>
        <w:t xml:space="preserve">HelixVPN</w:t>
      </w:r>
      <w:r>
        <w:t xml:space="preserve"> </w:t>
      </w:r>
      <w:r>
        <w:t xml:space="preserve">makes with its integrators and customers about versioning, deprecation, backward</w:t>
      </w:r>
      <w:r>
        <w:t xml:space="preserve"> </w:t>
      </w:r>
      <w:r>
        <w:t xml:space="preserve">compatibility, and security-patch turnaround?</w:t>
      </w:r>
    </w:p>
    <w:p>
      <w:pPr>
        <w:pStyle w:val="FirstParagraph"/>
      </w:pPr>
      <w:r>
        <w:t xml:space="preserve">None of these three strands is "done" by writing documentation — each has a falsifiable</w:t>
      </w:r>
      <w:r>
        <w:t xml:space="preserve"> </w:t>
      </w:r>
      <w:r>
        <w:t xml:space="preserve">acceptance criterion in the WBS (§5), in the same evidence-based style as every other phase's</w:t>
      </w:r>
      <w:r>
        <w:t xml:space="preserve"> </w:t>
      </w:r>
      <w:r>
        <w:t xml:space="preserve">WBS in this project (</w:t>
      </w:r>
      <w:r>
        <w:rPr>
          <w:rStyle w:val="VerbatimChar"/>
        </w:rPr>
        <w:t xml:space="preserve">mvp/final/06-phase0-spike-wbs.md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07-phase1-mvp-wbs.md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09-phase3-reach-wbs.md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mvp3/MVP3_ENTERPRISE_SCALE.md</w:t>
      </w:r>
      <w:r>
        <w:t xml:space="preserve"> </w:t>
      </w:r>
      <w:r>
        <w:t xml:space="preserve">§10).</w:t>
      </w:r>
    </w:p>
    <w:p>
      <w:r>
        <w:pict>
          <v:rect style="width:0;height:1.5pt" o:hralign="center" o:hrstd="t" o:hr="t"/>
        </w:pict>
      </w:r>
    </w:p>
    <w:bookmarkEnd w:id="10"/>
    <w:bookmarkStart w:id="17" w:name="X5ce2843207f84b76bc82ab681dcd67177e95089"/>
    <w:p>
      <w:pPr>
        <w:pStyle w:val="Heading2"/>
      </w:pPr>
      <w:r>
        <w:t xml:space="preserve">2. Production launch readiness checklist</w:t>
      </w:r>
    </w:p>
    <w:bookmarkStart w:id="11" w:name="Xc8dac7c7bfb26bda9634dd1a80e11e7db5c6ab4"/>
    <w:p>
      <w:pPr>
        <w:pStyle w:val="Heading3"/>
      </w:pPr>
      <w:r>
        <w:t xml:space="preserve">2.1 Security audit / pen-test sign-off</w:t>
      </w:r>
    </w:p>
    <w:p>
      <w:pPr>
        <w:pStyle w:val="FirstParagraph"/>
      </w:pPr>
      <w:r>
        <w:rPr>
          <w:rStyle w:val="VerbatimChar"/>
        </w:rPr>
        <w:t xml:space="preserve">mvp/final/09-phase3-reach-wbs.md</w:t>
      </w:r>
      <w:r>
        <w:t xml:space="preserve">'s epic</w:t>
      </w:r>
      <w:r>
        <w:t xml:space="preserve"> </w:t>
      </w:r>
      <w:r>
        <w:rPr>
          <w:rStyle w:val="VerbatimChar"/>
        </w:rPr>
        <w:t xml:space="preserve">HVPN-P3-E25</w:t>
      </w:r>
      <w:r>
        <w:t xml:space="preserve"> </w:t>
      </w:r>
      <w:r>
        <w:t xml:space="preserve">already scopes a</w:t>
      </w:r>
      <w:r>
        <w:t xml:space="preserve"> </w:t>
      </w:r>
      <w:r>
        <w:rPr>
          <w:b/>
          <w:bCs/>
        </w:rPr>
        <w:t xml:space="preserve">third-party security</w:t>
      </w:r>
      <w:r>
        <w:rPr>
          <w:b/>
          <w:bCs/>
        </w:rPr>
        <w:t xml:space="preserve"> </w:t>
      </w:r>
      <w:r>
        <w:rPr>
          <w:b/>
          <w:bCs/>
        </w:rPr>
        <w:t xml:space="preserve">audit</w:t>
      </w:r>
      <w:r>
        <w:t xml:space="preserve"> </w:t>
      </w:r>
      <w:r>
        <w:t xml:space="preserve">(crypto, control plane, shims, WASM proxy) with gate</w:t>
      </w:r>
      <w:r>
        <w:t xml:space="preserve"> </w:t>
      </w:r>
      <w:r>
        <w:rPr>
          <w:b/>
          <w:bCs/>
        </w:rPr>
        <w:t xml:space="preserve">G25</w:t>
      </w:r>
      <w:r>
        <w:t xml:space="preserve"> </w:t>
      </w:r>
      <w:r>
        <w:t xml:space="preserve">("zero unresolved</w:t>
      </w:r>
      <w:r>
        <w:t xml:space="preserve"> </w:t>
      </w:r>
      <w:r>
        <w:t xml:space="preserve">Critical/High"). GA readiness</w:t>
      </w:r>
      <w:r>
        <w:t xml:space="preserve"> </w:t>
      </w:r>
      <w:r>
        <w:rPr>
          <w:b/>
          <w:bCs/>
        </w:rPr>
        <w:t xml:space="preserve">extends</w:t>
      </w:r>
      <w:r>
        <w:t xml:space="preserve"> </w:t>
      </w:r>
      <w:r>
        <w:t xml:space="preserve">that engagement rather than repeating it:</w:t>
      </w:r>
    </w:p>
    <w:p>
      <w:pPr>
        <w:pStyle w:val="Compact"/>
        <w:numPr>
          <w:ilvl w:val="0"/>
          <w:numId w:val="1003"/>
        </w:numPr>
      </w:pPr>
      <w:r>
        <w:t xml:space="preserve">The Phase-3 audit (</w:t>
      </w:r>
      <w:r>
        <w:rPr>
          <w:rStyle w:val="VerbatimChar"/>
        </w:rPr>
        <w:t xml:space="preserve">G25</w:t>
      </w:r>
      <w:r>
        <w:t xml:space="preserve">) covers the system as it existed at the</w:t>
      </w:r>
      <w:r>
        <w:t xml:space="preserve"> </w:t>
      </w:r>
      <w:r>
        <w:rPr>
          <w:i/>
          <w:iCs/>
        </w:rPr>
        <w:t xml:space="preserve">end of the platform-reach</w:t>
      </w:r>
      <w:r>
        <w:rPr>
          <w:i/>
          <w:iCs/>
        </w:rPr>
        <w:t xml:space="preserve"> </w:t>
      </w:r>
      <w:r>
        <w:rPr>
          <w:i/>
          <w:iCs/>
        </w:rPr>
        <w:t xml:space="preserve">work</w:t>
      </w:r>
      <w:r>
        <w:t xml:space="preserve"> </w:t>
      </w:r>
      <w:r>
        <w:t xml:space="preserve">(HarmonyOS/Aurora/WASM proxy). By the time GA readiness starts,</w:t>
      </w:r>
      <w:r>
        <w:t xml:space="preserve"> </w:t>
      </w:r>
      <w:r>
        <w:rPr>
          <w:rStyle w:val="VerbatimChar"/>
        </w:rPr>
        <w:t xml:space="preserve">mvp3/</w:t>
      </w:r>
      <w:r>
        <w:t xml:space="preserve">'s enterprise</w:t>
      </w:r>
      <w:r>
        <w:t xml:space="preserve"> </w:t>
      </w:r>
      <w:r>
        <w:t xml:space="preserve">surface (SAML/SCIM endpoints, the SCIM-to-identity bridge, the billing/payment adapter</w:t>
      </w:r>
      <w:r>
        <w:t xml:space="preserve"> </w:t>
      </w:r>
      <w:r>
        <w:t xml:space="preserve">boundary, the multi-region control plane) did not exist yet when</w:t>
      </w:r>
      <w:r>
        <w:t xml:space="preserve"> </w:t>
      </w:r>
      <w:r>
        <w:rPr>
          <w:rStyle w:val="VerbatimChar"/>
        </w:rPr>
        <w:t xml:space="preserve">G25</w:t>
      </w:r>
      <w:r>
        <w:t xml:space="preserve"> </w:t>
      </w:r>
      <w:r>
        <w:t xml:space="preserve">closed.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GA-specific requirement: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follow-up penetration test scoped specifically to the new</w:t>
      </w:r>
      <w:r>
        <w:rPr>
          <w:b/>
          <w:bCs/>
        </w:rPr>
        <w:t xml:space="preserve"> </w:t>
      </w:r>
      <w:r>
        <w:rPr>
          <w:b/>
          <w:bCs/>
        </w:rPr>
        <w:t xml:space="preserve">Phase-3 enterprise attack surface</w:t>
      </w:r>
      <w:r>
        <w:t xml:space="preserve"> </w:t>
      </w:r>
      <w:r>
        <w:t xml:space="preserve">— SSO/SAML assertion validation, SCIM endpoint</w:t>
      </w:r>
      <w:r>
        <w:t xml:space="preserve"> </w:t>
      </w:r>
      <w:r>
        <w:t xml:space="preserve">authentication, the payment-adapter boundary (even though billing is off by default, the code</w:t>
      </w:r>
      <w:r>
        <w:t xml:space="preserve"> </w:t>
      </w:r>
      <w:r>
        <w:t xml:space="preserve">path exists and must be tested), and the multi-region control-plane's inter-region trust</w:t>
      </w:r>
      <w:r>
        <w:t xml:space="preserve"> </w:t>
      </w:r>
      <w:r>
        <w:t xml:space="preserve">boundary (does a compromised region-B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replica gain anything beyond region-B's own</w:t>
      </w:r>
      <w:r>
        <w:t xml:space="preserve"> </w:t>
      </w:r>
      <w:r>
        <w:t xml:space="preserve">RLS-scoped tenants?).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Acceptance:</w:t>
      </w:r>
      <w:r>
        <w:t xml:space="preserve"> </w:t>
      </w:r>
      <w:r>
        <w:t xml:space="preserve">an independent report (same third-party auditor or a new one) with</w:t>
      </w:r>
      <w:r>
        <w:t xml:space="preserve"> </w:t>
      </w:r>
      <w:r>
        <w:rPr>
          <w:b/>
          <w:bCs/>
        </w:rPr>
        <w:t xml:space="preserve">zero</w:t>
      </w:r>
      <w:r>
        <w:rPr>
          <w:b/>
          <w:bCs/>
        </w:rPr>
        <w:t xml:space="preserve"> </w:t>
      </w:r>
      <w:r>
        <w:rPr>
          <w:b/>
          <w:bCs/>
        </w:rPr>
        <w:t xml:space="preserve">unresolved Critical/High findings</w:t>
      </w:r>
      <w:r>
        <w:t xml:space="preserve"> </w:t>
      </w:r>
      <w:r>
        <w:t xml:space="preserve">against the Phase-3-complete system, remediation loop</w:t>
      </w:r>
      <w:r>
        <w:t xml:space="preserve"> </w:t>
      </w:r>
      <w:r>
        <w:t xml:space="preserve">closed per the constitution's iterate-to-clean-GO discipline.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/</w:t>
      </w:r>
      <w:r>
        <w:rPr>
          <w:rStyle w:val="VerbatimChar"/>
        </w:rPr>
        <w:t xml:space="preserve">PENDING_FORENSICS:</w:t>
      </w:r>
      <w:r>
        <w:t xml:space="preserve"> </w:t>
      </w:r>
      <w:r>
        <w:t xml:space="preserve">is the honest state for any finding still in remediation — GA does not ship over an open</w:t>
      </w:r>
      <w:r>
        <w:t xml:space="preserve"> </w:t>
      </w:r>
      <w:r>
        <w:t xml:space="preserve">Critical/High.</w:t>
      </w:r>
    </w:p>
    <w:bookmarkEnd w:id="11"/>
    <w:bookmarkStart w:id="12" w:name="Xdb66c8827a6e61129ba986df5566782067d44bf"/>
    <w:p>
      <w:pPr>
        <w:pStyle w:val="Heading3"/>
      </w:pPr>
      <w:r>
        <w:t xml:space="preserve">2.2 Load/performance testing at target scale</w:t>
      </w:r>
    </w:p>
    <w:p>
      <w:pPr>
        <w:pStyle w:val="FirstParagraph"/>
      </w:pPr>
      <w:r>
        <w:t xml:space="preserve">Extends the existing per-leg SLO budgets (data-plane throughput vs. bare-link,</w:t>
      </w:r>
      <w:r>
        <w:t xml:space="preserve"> </w:t>
      </w:r>
      <w:r>
        <w:rPr>
          <w:rStyle w:val="VerbatimChar"/>
        </w:rPr>
        <w:t xml:space="preserve">mvp/final/06-phase0-spike-wbs.md</w:t>
      </w:r>
      <w:r>
        <w:t xml:space="preserve"> </w:t>
      </w:r>
      <w:r>
        <w:t xml:space="preserve">gate G1: "≥80% of bare-link throughput"; control-plane</w:t>
      </w:r>
      <w:r>
        <w:t xml:space="preserve"> </w:t>
      </w:r>
      <w:r>
        <w:t xml:space="preserve">convergence,</w:t>
      </w:r>
      <w:r>
        <w:t xml:space="preserve"> </w:t>
      </w:r>
      <w:r>
        <w:rPr>
          <w:rStyle w:val="VerbatimChar"/>
        </w:rPr>
        <w:t xml:space="preserve">&lt;1s</w:t>
      </w:r>
      <w:r>
        <w:t xml:space="preserve"> </w:t>
      </w:r>
      <w:r>
        <w:t xml:space="preserve">p99) to</w:t>
      </w:r>
      <w:r>
        <w:t xml:space="preserve"> </w:t>
      </w:r>
      <w:r>
        <w:rPr>
          <w:b/>
          <w:bCs/>
        </w:rPr>
        <w:t xml:space="preserve">commercial scale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Target scale is defined per subscription tier (</w:t>
      </w:r>
      <w:r>
        <w:rPr>
          <w:rStyle w:val="VerbatimChar"/>
        </w:rPr>
        <w:t xml:space="preserve">mvp3/MVP3_ENTERPRISE_SCALE.md</w:t>
      </w:r>
      <w:r>
        <w:t xml:space="preserve"> </w:t>
      </w:r>
      <w:r>
        <w:t xml:space="preserve">§8.1): the</w:t>
      </w:r>
      <w:r>
        <w:t xml:space="preserve"> </w:t>
      </w:r>
      <w:r>
        <w:t xml:space="preserve">Enterprise tier's HA topology (§5 of that document) must sustain the concurrent-device count</w:t>
      </w:r>
      <w:r>
        <w:t xml:space="preserve"> </w:t>
      </w:r>
      <w:r>
        <w:t xml:space="preserve">and per-region throughput the sales/pricing model (§3.1 below) commits to, with headroom.</w:t>
      </w:r>
    </w:p>
    <w:p>
      <w:pPr>
        <w:pStyle w:val="Compact"/>
        <w:numPr>
          <w:ilvl w:val="0"/>
          <w:numId w:val="1004"/>
        </w:numPr>
      </w:pPr>
      <w:r>
        <w:t xml:space="preserve">Concrete load-test scenarios: (a) sustained enrollment burst (N devices enrolling</w:t>
      </w:r>
      <w:r>
        <w:t xml:space="preserve"> </w:t>
      </w:r>
      <w:r>
        <w:t xml:space="preserve">concurrently — proves</w:t>
      </w:r>
      <w:r>
        <w:t xml:space="preserve"> </w:t>
      </w:r>
      <w:r>
        <w:rPr>
          <w:rStyle w:val="VerbatimChar"/>
        </w:rPr>
        <w:t xml:space="preserve">pki</w:t>
      </w:r>
      <w:r>
        <w:t xml:space="preserve">/</w:t>
      </w:r>
      <w:r>
        <w:rPr>
          <w:rStyle w:val="VerbatimChar"/>
        </w:rPr>
        <w:t xml:space="preserve">ipam</w:t>
      </w:r>
      <w:r>
        <w:t xml:space="preserve"> </w:t>
      </w:r>
      <w:r>
        <w:t xml:space="preserve">don't serialize badly under a real onboarding wave); (b)</w:t>
      </w:r>
      <w:r>
        <w:t xml:space="preserve"> </w:t>
      </w:r>
      <w:r>
        <w:t xml:space="preserve">sustained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stream count per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replica at the HPA scale-out threshold</w:t>
      </w:r>
      <w:r>
        <w:t xml:space="preserve"> </w:t>
      </w:r>
      <w:r>
        <w:t xml:space="preserve">(</w:t>
      </w:r>
      <w:r>
        <w:rPr>
          <w:rStyle w:val="VerbatimChar"/>
        </w:rPr>
        <w:t xml:space="preserve">mvp3/</w:t>
      </w:r>
      <w:r>
        <w:t xml:space="preserve"> </w:t>
      </w:r>
      <w:r>
        <w:t xml:space="preserve">§5.3); (c) policy-recompile storm (many tenants' time-boundary conditions,</w:t>
      </w:r>
      <w:r>
        <w:t xml:space="preserve"> </w:t>
      </w:r>
      <w:r>
        <w:rPr>
          <w:rStyle w:val="VerbatimChar"/>
        </w:rPr>
        <w:t xml:space="preserve">mvp3/</w:t>
      </w:r>
      <w:r>
        <w:t xml:space="preserve"> </w:t>
      </w:r>
      <w:r>
        <w:t xml:space="preserve">§6.1, firing in the same minute) — proves the coordinator's diff-and-push stays inside</w:t>
      </w:r>
      <w:r>
        <w:t xml:space="preserve"> </w:t>
      </w:r>
      <w:r>
        <w:t xml:space="preserve">the convergence SLO under a realistic worst case, not just a single-tenant test.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Acceptance:</w:t>
      </w:r>
      <w:r>
        <w:t xml:space="preserve"> </w:t>
      </w:r>
      <w:r>
        <w:t xml:space="preserve">captured p50/p95/p99 latency + throughput evidence at the committed scale,</w:t>
      </w:r>
      <w:r>
        <w:t xml:space="preserve"> </w:t>
      </w:r>
      <w:r>
        <w:t xml:space="preserve">for every scenario above, with the SLO budget from</w:t>
      </w:r>
      <w:r>
        <w:t xml:space="preserve"> </w:t>
      </w:r>
      <w:r>
        <w:rPr>
          <w:rStyle w:val="VerbatimChar"/>
        </w:rPr>
        <w:t xml:space="preserve">mvp3/</w:t>
      </w:r>
      <w:r>
        <w:t xml:space="preserve"> </w:t>
      </w:r>
      <w:r>
        <w:t xml:space="preserve">§7.5 met or exceeded.</w:t>
      </w:r>
    </w:p>
    <w:bookmarkEnd w:id="12"/>
    <w:bookmarkStart w:id="13" w:name="X9d874ae3412046d200377db6ea3995ae62b4c63"/>
    <w:p>
      <w:pPr>
        <w:pStyle w:val="Heading3"/>
      </w:pPr>
      <w:r>
        <w:t xml:space="preserve">2.3 Chaos/failure-injection testing of the control plane and transport failover</w:t>
      </w:r>
    </w:p>
    <w:p>
      <w:pPr>
        <w:pStyle w:val="FirstParagraph"/>
      </w:pPr>
      <w:r>
        <w:t xml:space="preserve">Extends the chaos-test evidence already required by</w:t>
      </w:r>
      <w:r>
        <w:t xml:space="preserve"> </w:t>
      </w:r>
      <w:r>
        <w:rPr>
          <w:rStyle w:val="VerbatimChar"/>
        </w:rPr>
        <w:t xml:space="preserve">mvp/final/v06-deploy/ha-and-multiregion.md</w:t>
      </w:r>
      <w:r>
        <w:t xml:space="preserve"> </w:t>
      </w:r>
      <w:r>
        <w:t xml:space="preserve">§8 (single-replica loss, Postgres failover, bus loss, gateway failover, split-brain) to the</w:t>
      </w:r>
      <w:r>
        <w:t xml:space="preserve"> </w:t>
      </w:r>
      <w:r>
        <w:rPr>
          <w:b/>
          <w:bCs/>
        </w:rPr>
        <w:t xml:space="preserve">Phase-3 multi-region topology with real regions, real HPA, and enterprise-pinned transport</w:t>
      </w:r>
      <w:r>
        <w:rPr>
          <w:b/>
          <w:bCs/>
        </w:rPr>
        <w:t xml:space="preserve"> </w:t>
      </w:r>
      <w:r>
        <w:rPr>
          <w:b/>
          <w:bCs/>
        </w:rPr>
        <w:t xml:space="preserve">policy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Re-run every chaos scenario from</w:t>
      </w:r>
      <w:r>
        <w:t xml:space="preserve"> </w:t>
      </w:r>
      <w:r>
        <w:rPr>
          <w:rStyle w:val="VerbatimChar"/>
        </w:rPr>
        <w:t xml:space="preserve">ha-and-multiregion.md</w:t>
      </w:r>
      <w:r>
        <w:t xml:space="preserve"> </w:t>
      </w:r>
      <w:r>
        <w:t xml:space="preserve">§8 against the Phase-3 topology</w:t>
      </w:r>
      <w:r>
        <w:t xml:space="preserve"> </w:t>
      </w:r>
      <w:r>
        <w:t xml:space="preserve">(§5 of</w:t>
      </w:r>
      <w:r>
        <w:t xml:space="preserve"> </w:t>
      </w:r>
      <w:r>
        <w:rPr>
          <w:rStyle w:val="VerbatimChar"/>
        </w:rPr>
        <w:t xml:space="preserve">mvp3/</w:t>
      </w:r>
      <w:r>
        <w:t xml:space="preserve">), not the single-region Phase-2 reference topology it was originally written</w:t>
      </w:r>
      <w:r>
        <w:t xml:space="preserve"> </w:t>
      </w:r>
      <w:r>
        <w:t xml:space="preserve">against — the acceptance bar is unchanged (no tunnel drop on control-plane failure, bounded</w:t>
      </w:r>
      <w:r>
        <w:t xml:space="preserve"> </w:t>
      </w:r>
      <w:r>
        <w:t xml:space="preserve">convergence pause, no silent corruption), but the evidence must be captured on the actual</w:t>
      </w:r>
      <w:r>
        <w:t xml:space="preserve"> </w:t>
      </w:r>
      <w:r>
        <w:t xml:space="preserve">production-shaped deployment.</w:t>
      </w:r>
    </w:p>
    <w:p>
      <w:pPr>
        <w:pStyle w:val="Compact"/>
        <w:numPr>
          <w:ilvl w:val="0"/>
          <w:numId w:val="1005"/>
        </w:numPr>
      </w:pPr>
      <w:r>
        <w:t xml:space="preserve">New GA-specific chaos scenario:</w:t>
      </w:r>
      <w:r>
        <w:t xml:space="preserve"> </w:t>
      </w:r>
      <w:r>
        <w:rPr>
          <w:b/>
          <w:bCs/>
        </w:rPr>
        <w:t xml:space="preserve">transport-fallback-under-censorship simulation</w:t>
      </w:r>
      <w:r>
        <w:t xml:space="preserve"> </w:t>
      </w:r>
      <w:r>
        <w:t xml:space="preserve">— inject a</w:t>
      </w:r>
      <w:r>
        <w:t xml:space="preserve"> </w:t>
      </w:r>
      <w:r>
        <w:t xml:space="preserve">DPI-style UDP block (as already done for gate G2 in Phase 0) against an</w:t>
      </w:r>
      <w:r>
        <w:t xml:space="preserve"> </w:t>
      </w:r>
      <w:r>
        <w:rPr>
          <w:b/>
          <w:bCs/>
        </w:rPr>
        <w:t xml:space="preserve">enterprise tenant</w:t>
      </w:r>
      <w:r>
        <w:rPr>
          <w:b/>
          <w:bCs/>
        </w:rPr>
        <w:t xml:space="preserve"> </w:t>
      </w:r>
      <w:r>
        <w:rPr>
          <w:b/>
          <w:bCs/>
        </w:rPr>
        <w:t xml:space="preserve">configured to pin a transport with alert-not-fallback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mvp3/</w:t>
      </w:r>
      <w:r>
        <w:t xml:space="preserve"> </w:t>
      </w:r>
      <w:r>
        <w:t xml:space="preserve">§9.5,</w:t>
      </w:r>
      <w:r>
        <w:t xml:space="preserve"> </w:t>
      </w:r>
      <w:r>
        <w:rPr>
          <w:rStyle w:val="VerbatimChar"/>
        </w:rPr>
        <w:t xml:space="preserve">HVPN-ENT-364</w:t>
      </w:r>
      <w:r>
        <w:t xml:space="preserve">) and confirm the alert fires and reaches the SIEM export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mvp3/</w:t>
      </w:r>
      <w:r>
        <w:t xml:space="preserve"> </w:t>
      </w:r>
      <w:r>
        <w:t xml:space="preserve">§6.4) rather than the tunnel silently degrading its obfuscation posture.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Acceptance:</w:t>
      </w:r>
      <w:r>
        <w:t xml:space="preserve"> </w:t>
      </w:r>
      <w:r>
        <w:t xml:space="preserve">captured before/after transcripts for every scenario, no scenario producing a</w:t>
      </w:r>
      <w:r>
        <w:t xml:space="preserve"> </w:t>
      </w:r>
      <w:r>
        <w:t xml:space="preserve">data-plane content loss (only bounded, honestly-scoped convergence pauses per the existing</w:t>
      </w:r>
      <w:r>
        <w:t xml:space="preserve"> </w:t>
      </w:r>
      <w:r>
        <w:rPr>
          <w:rStyle w:val="VerbatimChar"/>
        </w:rPr>
        <w:t xml:space="preserve">ha-and-multiregion.md</w:t>
      </w:r>
      <w:r>
        <w:t xml:space="preserve"> </w:t>
      </w:r>
      <w:r>
        <w:t xml:space="preserve">§6 semantics).</w:t>
      </w:r>
    </w:p>
    <w:bookmarkEnd w:id="13"/>
    <w:bookmarkStart w:id="14" w:name="X7a8364d95dc4763a39d46e817e3c9e2eb9a2062"/>
    <w:p>
      <w:pPr>
        <w:pStyle w:val="Heading3"/>
      </w:pPr>
      <w:r>
        <w:t xml:space="preserve">2.4 Documentation completeness</w:t>
      </w:r>
    </w:p>
    <w:p>
      <w:pPr>
        <w:pStyle w:val="FirstParagraph"/>
      </w:pPr>
      <w:r>
        <w:t xml:space="preserve">Four audiences, each with a completeness bar: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Document set</w:t>
            </w:r>
          </w:p>
        </w:tc>
        <w:tc>
          <w:tcPr/>
          <w:p>
            <w:pPr>
              <w:pStyle w:val="Compact"/>
            </w:pPr>
            <w:r>
              <w:t xml:space="preserve">Completeness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users</w:t>
            </w:r>
          </w:p>
        </w:tc>
        <w:tc>
          <w:tcPr/>
          <w:p>
            <w:pPr>
              <w:pStyle w:val="Compact"/>
            </w:pPr>
            <w:r>
              <w:t xml:space="preserve">per-platform quick-start + FAQ + troubleshooting, for all 8 platforms in</w:t>
            </w:r>
            <w:r>
              <w:t xml:space="preserve"> </w:t>
            </w:r>
            <w:r>
              <w:rPr>
                <w:rStyle w:val="VerbatimChar"/>
              </w:rPr>
              <w:t xml:space="preserve">mvp2/MVP2_OVERVIEW.md</w:t>
            </w:r>
            <w:r>
              <w:t xml:space="preserve"> </w:t>
            </w:r>
            <w:r>
              <w:t xml:space="preserve">§4</w:t>
            </w:r>
          </w:p>
        </w:tc>
        <w:tc>
          <w:tcPr/>
          <w:p>
            <w:pPr>
              <w:pStyle w:val="Compact"/>
            </w:pPr>
            <w:r>
              <w:t xml:space="preserve">every platform has a published guide; no "coming soon" placeholder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Admins</w:t>
            </w:r>
          </w:p>
        </w:tc>
        <w:tc>
          <w:tcPr/>
          <w:p>
            <w:pPr>
              <w:pStyle w:val="Compact"/>
            </w:pPr>
            <w:r>
              <w:t xml:space="preserve">Console guide covering org/tenant/team setup, SSO/SCIM configuration, policy authoring, billing</w:t>
            </w:r>
          </w:p>
        </w:tc>
        <w:tc>
          <w:tcPr/>
          <w:p>
            <w:pPr>
              <w:pStyle w:val="Compact"/>
            </w:pPr>
            <w:r>
              <w:t xml:space="preserve">every Phase-3 admin-facing feature (</w:t>
            </w:r>
            <w:r>
              <w:rPr>
                <w:rStyle w:val="VerbatimChar"/>
              </w:rPr>
              <w:t xml:space="preserve">mvp3/</w:t>
            </w:r>
            <w:r>
              <w:t xml:space="preserve"> </w:t>
            </w:r>
            <w:r>
              <w:t xml:space="preserve">§3–§9) has a corresponding admin-doc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integrators</w:t>
            </w:r>
          </w:p>
        </w:tc>
        <w:tc>
          <w:tcPr/>
          <w:p>
            <w:pPr>
              <w:pStyle w:val="Compact"/>
            </w:pPr>
            <w:r>
              <w:t xml:space="preserve">OpenAPI-generated REST reference + protobuf-generated agent-contract reference (schema-first, zero-drift per</w:t>
            </w:r>
            <w:r>
              <w:t xml:space="preserve"> </w:t>
            </w:r>
            <w:r>
              <w:rPr>
                <w:rStyle w:val="VerbatimChar"/>
              </w:rPr>
              <w:t xml:space="preserve">SPECIFICATION.md</w:t>
            </w:r>
            <w:r>
              <w:t xml:space="preserve"> </w:t>
            </w:r>
            <w:r>
              <w:t xml:space="preserve">§4 clause 8)</w:t>
            </w:r>
          </w:p>
        </w:tc>
        <w:tc>
          <w:tcPr/>
          <w:p>
            <w:pPr>
              <w:pStyle w:val="Compact"/>
            </w:pPr>
            <w:r>
              <w:t xml:space="preserve">reference docs are generated from the same schemas that generate the Dart/Go/Rust clients — never hand-written and liable to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runbooks: region failover (</w:t>
            </w:r>
            <w:r>
              <w:rPr>
                <w:rStyle w:val="VerbatimChar"/>
              </w:rPr>
              <w:t xml:space="preserve">mvp3/</w:t>
            </w:r>
            <w:r>
              <w:t xml:space="preserve"> </w:t>
            </w:r>
            <w:r>
              <w:t xml:space="preserve">§5.6/§10</w:t>
            </w:r>
            <w:r>
              <w:t xml:space="preserve"> </w:t>
            </w:r>
            <w:r>
              <w:rPr>
                <w:rStyle w:val="VerbatimChar"/>
              </w:rPr>
              <w:t xml:space="preserve">HVPN-ENT-324</w:t>
            </w:r>
            <w:r>
              <w:t xml:space="preserve">), Postgres failover, key rotation, incident response (§2.5)</w:t>
            </w:r>
          </w:p>
        </w:tc>
        <w:tc>
          <w:tcPr/>
          <w:p>
            <w:pPr>
              <w:pStyle w:val="Compact"/>
            </w:pPr>
            <w:r>
              <w:t xml:space="preserve">every chaos scenario in §2.3 has a matching runbook a human on-call engineer can execute without reading source code</w:t>
            </w:r>
          </w:p>
        </w:tc>
      </w:tr>
    </w:tbl>
    <w:bookmarkEnd w:id="14"/>
    <w:bookmarkStart w:id="15" w:name="X119a4352b69582a3148edd524771ffefd0bc010"/>
    <w:p>
      <w:pPr>
        <w:pStyle w:val="Heading3"/>
      </w:pPr>
      <w:r>
        <w:t xml:space="preserve">2.5 Support / on-call rotation and incident-response process</w:t>
      </w:r>
    </w:p>
    <w:p>
      <w:pPr>
        <w:pStyle w:val="Compact"/>
        <w:numPr>
          <w:ilvl w:val="0"/>
          <w:numId w:val="1006"/>
        </w:numPr>
      </w:pPr>
      <w:r>
        <w:t xml:space="preserve">A defined on-call rotation (schedule mechanism is an operational decision, §7) with escalation</w:t>
      </w:r>
      <w:r>
        <w:t xml:space="preserve"> </w:t>
      </w:r>
      <w:r>
        <w:t xml:space="preserve">policy tied to the SLA tiers already defined in</w:t>
      </w:r>
      <w:r>
        <w:t xml:space="preserve"> </w:t>
      </w:r>
      <w:r>
        <w:rPr>
          <w:rStyle w:val="VerbatimChar"/>
        </w:rPr>
        <w:t xml:space="preserve">mvp3/MVP3_ENTERPRISE_SCALE.md</w:t>
      </w:r>
      <w:r>
        <w:t xml:space="preserve"> </w:t>
      </w:r>
      <w:r>
        <w:t xml:space="preserve">§7.5.</w:t>
      </w:r>
    </w:p>
    <w:p>
      <w:pPr>
        <w:pStyle w:val="Compact"/>
        <w:numPr>
          <w:ilvl w:val="0"/>
          <w:numId w:val="1006"/>
        </w:numPr>
      </w:pPr>
      <w:r>
        <w:t xml:space="preserve">An incident-response runbook: detect (via the observability pipeline,</w:t>
      </w:r>
      <w:r>
        <w:t xml:space="preserve"> </w:t>
      </w:r>
      <w:r>
        <w:rPr>
          <w:rStyle w:val="VerbatimChar"/>
        </w:rPr>
        <w:t xml:space="preserve">mvp3/</w:t>
      </w:r>
      <w:r>
        <w:t xml:space="preserve"> </w:t>
      </w:r>
      <w:r>
        <w:t xml:space="preserve">§7.1) → declare →</w:t>
      </w:r>
      <w:r>
        <w:t xml:space="preserve"> </w:t>
      </w:r>
      <w:r>
        <w:t xml:space="preserve">communicate (status page, §2.6) → mitigate → postmortem — with the postmortem template</w:t>
      </w:r>
      <w:r>
        <w:t xml:space="preserve"> </w:t>
      </w:r>
      <w:r>
        <w:t xml:space="preserve">requiring a root-cause statement in the constitution's no-guessing vocabulary (no "probably",</w:t>
      </w:r>
      <w:r>
        <w:t xml:space="preserve"> </w:t>
      </w:r>
      <w:r>
        <w:t xml:space="preserve">"likely" — either a proven cause or an explicit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with a follow-up tracked item).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Acceptance: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game-day exercise</w:t>
      </w:r>
      <w:r>
        <w:t xml:space="preserve"> </w:t>
      </w:r>
      <w:r>
        <w:t xml:space="preserve">— a real, scheduled incident simulation run against a</w:t>
      </w:r>
      <w:r>
        <w:t xml:space="preserve"> </w:t>
      </w:r>
      <w:r>
        <w:t xml:space="preserve">staging deployment, on-call engineer pages, executes the runbook, writes the postmortem — with</w:t>
      </w:r>
      <w:r>
        <w:t xml:space="preserve"> </w:t>
      </w:r>
      <w:r>
        <w:t xml:space="preserve">the full transcript captured as evidence.</w:t>
      </w:r>
    </w:p>
    <w:bookmarkEnd w:id="15"/>
    <w:bookmarkStart w:id="16" w:name="X8502743d49d2e9ae18b528c05cdcff002205396"/>
    <w:p>
      <w:pPr>
        <w:pStyle w:val="Heading3"/>
      </w:pPr>
      <w:r>
        <w:t xml:space="preserve">2.6 Status page + public changelog</w:t>
      </w:r>
    </w:p>
    <w:p>
      <w:pPr>
        <w:pStyle w:val="Compact"/>
        <w:numPr>
          <w:ilvl w:val="0"/>
          <w:numId w:val="1007"/>
        </w:numPr>
      </w:pPr>
      <w:r>
        <w:t xml:space="preserve">Extends</w:t>
      </w:r>
      <w:r>
        <w:t xml:space="preserve"> </w:t>
      </w:r>
      <w:r>
        <w:rPr>
          <w:rStyle w:val="VerbatimChar"/>
        </w:rPr>
        <w:t xml:space="preserve">mvp3/MVP3_ENTERPRISE_SCALE.md</w:t>
      </w:r>
      <w:r>
        <w:t xml:space="preserve"> </w:t>
      </w:r>
      <w:r>
        <w:t xml:space="preserve">§7.5's status-page mechanism (aggregating the existing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signal) to a</w:t>
      </w:r>
      <w:r>
        <w:t xml:space="preserve"> </w:t>
      </w:r>
      <w:r>
        <w:rPr>
          <w:b/>
          <w:bCs/>
        </w:rPr>
        <w:t xml:space="preserve">public-facing</w:t>
      </w:r>
      <w:r>
        <w:t xml:space="preserve"> </w:t>
      </w:r>
      <w:r>
        <w:t xml:space="preserve">page with historical uptime + incident history.</w:t>
      </w:r>
    </w:p>
    <w:p>
      <w:pPr>
        <w:pStyle w:val="Compact"/>
        <w:numPr>
          <w:ilvl w:val="0"/>
          <w:numId w:val="1007"/>
        </w:numPr>
      </w:pPr>
      <w:r>
        <w:t xml:space="preserve">A public changelog is generated from the same tracked-item / release-tag discipline the</w:t>
      </w:r>
      <w:r>
        <w:t xml:space="preserve"> </w:t>
      </w:r>
      <w:r>
        <w:t xml:space="preserve">project already uses internally (workable-items DB,</w:t>
      </w:r>
      <w:r>
        <w:t xml:space="preserve"> </w:t>
      </w:r>
      <w:r>
        <w:rPr>
          <w:rStyle w:val="VerbatimChar"/>
        </w:rPr>
        <w:t xml:space="preserve">§11.4.93</w:t>
      </w:r>
      <w:r>
        <w:t xml:space="preserve">) — filtered to user-visible</w:t>
      </w:r>
      <w:r>
        <w:t xml:space="preserve"> </w:t>
      </w:r>
      <w:r>
        <w:t xml:space="preserve">entries only (internal refactors, gate/test additions are not customer-facing changelog</w:t>
      </w:r>
      <w:r>
        <w:t xml:space="preserve"> </w:t>
      </w:r>
      <w:r>
        <w:t xml:space="preserve">entries).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X4a9ac9f11d6764cad496c53ab31880def0ffe37"/>
    <w:p>
      <w:pPr>
        <w:pStyle w:val="Heading2"/>
      </w:pPr>
      <w:r>
        <w:t xml:space="preserve">3. Go-to-market readiness</w:t>
      </w:r>
    </w:p>
    <w:bookmarkStart w:id="18" w:name="X3c68049fa7057a43ac25dd741429ed88e4219fa"/>
    <w:p>
      <w:pPr>
        <w:pStyle w:val="Heading3"/>
      </w:pPr>
      <w:r>
        <w:t xml:space="preserve">3.1 Pricing finalized</w:t>
      </w:r>
    </w:p>
    <w:p>
      <w:pPr>
        <w:pStyle w:val="FirstParagraph"/>
      </w:pPr>
      <w:r>
        <w:t xml:space="preserve">The subscription tiers are already schema-ready (</w:t>
      </w:r>
      <w:r>
        <w:rPr>
          <w:rStyle w:val="VerbatimChar"/>
        </w:rPr>
        <w:t xml:space="preserve">mvp3/MVP3_ENTERPRISE_SCALE.md</w:t>
      </w:r>
      <w:r>
        <w:t xml:space="preserve"> </w:t>
      </w:r>
      <w:r>
        <w:t xml:space="preserve">§8.1 — Self-Host</w:t>
      </w:r>
      <w:r>
        <w:t xml:space="preserve"> </w:t>
      </w:r>
      <w:r>
        <w:t xml:space="preserve">Free / Team / Business / Enterprise, keyed on</w:t>
      </w:r>
      <w:r>
        <w:t xml:space="preserve"> </w:t>
      </w:r>
      <w:r>
        <w:rPr>
          <w:rStyle w:val="VerbatimChar"/>
        </w:rPr>
        <w:t xml:space="preserve">plan.max_devices</w:t>
      </w:r>
      <w:r>
        <w:t xml:space="preserve">/</w:t>
      </w:r>
      <w:r>
        <w:rPr>
          <w:rStyle w:val="VerbatimChar"/>
        </w:rPr>
        <w:t xml:space="preserve">max_networks</w:t>
      </w:r>
      <w:r>
        <w:t xml:space="preserve">/</w:t>
      </w:r>
      <w:r>
        <w:rPr>
          <w:rStyle w:val="VerbatimChar"/>
        </w:rPr>
        <w:t xml:space="preserve">max_bytes_mo</w:t>
      </w:r>
      <w:r>
        <w:t xml:space="preserve">).</w:t>
      </w:r>
      <w:r>
        <w:t xml:space="preserve"> </w:t>
      </w:r>
      <w:r>
        <w:rPr>
          <w:b/>
          <w:bCs/>
        </w:rPr>
        <w:t xml:space="preserve">Exact price points, billing cadence (monthly vs. annual), and overage pricing are explicitly</w:t>
      </w:r>
      <w:r>
        <w:rPr>
          <w:b/>
          <w:bCs/>
        </w:rPr>
        <w:t xml:space="preserve"> </w:t>
      </w:r>
      <w:r>
        <w:rPr>
          <w:b/>
          <w:bCs/>
        </w:rPr>
        <w:t xml:space="preserve">not decided by this document</w:t>
      </w:r>
      <w:r>
        <w:t xml:space="preserve"> </w:t>
      </w:r>
      <w:r>
        <w:t xml:space="preserve">— this is the single most consequential open decision blocking</w:t>
      </w:r>
      <w:r>
        <w:t xml:space="preserve"> </w:t>
      </w:r>
      <w:r>
        <w:t xml:space="preserve">GA (§7, D-GA-1) and it gates the self-serve signup flow (§3.4) directly: the Console's signup UI</w:t>
      </w:r>
      <w:r>
        <w:t xml:space="preserve"> </w:t>
      </w:r>
      <w:r>
        <w:t xml:space="preserve">cannot render a price it does not have.</w:t>
      </w:r>
    </w:p>
    <w:bookmarkEnd w:id="18"/>
    <w:bookmarkStart w:id="19" w:name="X79fbb155a6e8cc09a273b554fca185f48803d76"/>
    <w:p>
      <w:pPr>
        <w:pStyle w:val="Heading3"/>
      </w:pPr>
      <w:r>
        <w:t xml:space="preserve">3.2 Legal (ToS / privacy policy / DPA)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Terms of Service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Privacy Policy</w:t>
      </w:r>
      <w:r>
        <w:t xml:space="preserve">: drafted against the architecture's actual</w:t>
      </w:r>
      <w:r>
        <w:t xml:space="preserve"> </w:t>
      </w:r>
      <w:r>
        <w:t xml:space="preserve">data-handling reality — critically, the Privacy Policy can make an unusually strong, literally</w:t>
      </w:r>
      <w:r>
        <w:t xml:space="preserve"> </w:t>
      </w:r>
      <w:r>
        <w:t xml:space="preserve">true claim (</w:t>
      </w:r>
      <w:r>
        <w:rPr>
          <w:b/>
          <w:bCs/>
        </w:rPr>
        <w:t xml:space="preserve">"we cannot see what you connect to"</w:t>
      </w:r>
      <w:r>
        <w:t xml:space="preserve">) because that is a</w:t>
      </w:r>
      <w:r>
        <w:t xml:space="preserve"> </w:t>
      </w:r>
      <w:r>
        <w:rPr>
          <w:i/>
          <w:iCs/>
        </w:rPr>
        <w:t xml:space="preserve">build property</w:t>
      </w:r>
      <w:r>
        <w:t xml:space="preserve"> </w:t>
      </w:r>
      <w:r>
        <w:t xml:space="preserve">(S6,</w:t>
      </w:r>
      <w:r>
        <w:t xml:space="preserve"> </w:t>
      </w:r>
      <w:r>
        <w:rPr>
          <w:rStyle w:val="VerbatimChar"/>
        </w:rPr>
        <w:t xml:space="preserve">mvp/final/v05-security/audit-and-compliance.md</w:t>
      </w:r>
      <w:r>
        <w:t xml:space="preserve"> </w:t>
      </w:r>
      <w:r>
        <w:t xml:space="preserve">§0), not a policy promise — legal review</w:t>
      </w:r>
      <w:r>
        <w:t xml:space="preserve"> </w:t>
      </w:r>
      <w:r>
        <w:t xml:space="preserve">should be instructed to verify the policy text against the actual schema (no</w:t>
      </w:r>
      <w:r>
        <w:t xml:space="preserve"> </w:t>
      </w:r>
      <w:r>
        <w:rPr>
          <w:rStyle w:val="VerbatimChar"/>
        </w:rPr>
        <w:t xml:space="preserve">connections</w:t>
      </w:r>
      <w:r>
        <w:t xml:space="preserve">/</w:t>
      </w:r>
      <w:r>
        <w:rPr>
          <w:rStyle w:val="VerbatimChar"/>
        </w:rPr>
        <w:t xml:space="preserve">traffic</w:t>
      </w:r>
      <w:r>
        <w:t xml:space="preserve"> </w:t>
      </w:r>
      <w:r>
        <w:t xml:space="preserve">table exists) rather than draft generic VPN-industry boilerplate that</w:t>
      </w:r>
      <w:r>
        <w:t xml:space="preserve"> </w:t>
      </w:r>
      <w:r>
        <w:t xml:space="preserve">overclaims or underclaims relative to what the architecture actually does.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Processing Agreement (DPA)</w:t>
      </w:r>
      <w:r>
        <w:t xml:space="preserve"> </w:t>
      </w:r>
      <w:r>
        <w:t xml:space="preserve">for enterprise/GDPR-scoped customers: must reference the</w:t>
      </w:r>
      <w:r>
        <w:t xml:space="preserve"> </w:t>
      </w:r>
      <w:r>
        <w:t xml:space="preserve">concrete mechanisms in</w:t>
      </w:r>
      <w:r>
        <w:t xml:space="preserve"> </w:t>
      </w:r>
      <w:r>
        <w:rPr>
          <w:rStyle w:val="VerbatimChar"/>
        </w:rPr>
        <w:t xml:space="preserve">mvp3/MVP3_ENTERPRISE_SCALE.md</w:t>
      </w:r>
      <w:r>
        <w:t xml:space="preserve"> </w:t>
      </w:r>
      <w:r>
        <w:t xml:space="preserve">§7.3's GDPR row (data minimisation by</w:t>
      </w:r>
      <w:r>
        <w:t xml:space="preserve"> </w:t>
      </w:r>
      <w:r>
        <w:t xml:space="preserve">construction, the erasure runbook) rather than generic template language.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Acceptance:</w:t>
      </w:r>
      <w:r>
        <w:t xml:space="preserve"> </w:t>
      </w:r>
      <w:r>
        <w:t xml:space="preserve">legal counsel sign-off, with the sign-off record citing which architectural</w:t>
      </w:r>
      <w:r>
        <w:t xml:space="preserve"> </w:t>
      </w:r>
      <w:r>
        <w:t xml:space="preserve">documents were reviewed (this is a documentation-completeness check, not a legal-content</w:t>
      </w:r>
      <w:r>
        <w:t xml:space="preserve"> </w:t>
      </w:r>
      <w:r>
        <w:t xml:space="preserve">check this document is qualified to make).</w:t>
      </w:r>
    </w:p>
    <w:bookmarkEnd w:id="19"/>
    <w:bookmarkStart w:id="20" w:name="X1108a5444dc842346fb417efd8bf763befb7e24"/>
    <w:p>
      <w:pPr>
        <w:pStyle w:val="Heading3"/>
      </w:pPr>
      <w:r>
        <w:t xml:space="preserve">3.3 App-store listings finalized for all 8 client platforms</w:t>
      </w:r>
    </w:p>
    <w:p>
      <w:pPr>
        <w:pStyle w:val="FirstParagraph"/>
      </w:pPr>
      <w:r>
        <w:t xml:space="preserve">Directly enumerates the platform matrix from</w:t>
      </w:r>
      <w:r>
        <w:t xml:space="preserve"> </w:t>
      </w:r>
      <w:r>
        <w:rPr>
          <w:rStyle w:val="VerbatimChar"/>
        </w:rPr>
        <w:t xml:space="preserve">mvp2/MVP2_OVERVIEW.md</w:t>
      </w:r>
      <w:r>
        <w:t xml:space="preserve"> </w:t>
      </w:r>
      <w:r>
        <w:t xml:space="preserve">§4.1: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Distribution channel</w:t>
            </w:r>
          </w:p>
        </w:tc>
        <w:tc>
          <w:tcPr/>
          <w:p>
            <w:pPr>
              <w:pStyle w:val="Compact"/>
            </w:pPr>
            <w:r>
              <w:t xml:space="preserve">GA listing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Mac App Store + direct</w:t>
            </w:r>
            <w:r>
              <w:t xml:space="preserve"> </w:t>
            </w:r>
            <w:r>
              <w:rPr>
                <w:rStyle w:val="VerbatimChar"/>
              </w:rPr>
              <w:t xml:space="preserve">.dmg</w:t>
            </w:r>
            <w:r>
              <w:t xml:space="preserve"> </w:t>
            </w:r>
            <w:r>
              <w:t xml:space="preserve">(notarized)</w:t>
            </w:r>
          </w:p>
        </w:tc>
        <w:tc>
          <w:tcPr/>
          <w:p>
            <w:pPr>
              <w:pStyle w:val="Compact"/>
            </w:pPr>
            <w:r>
              <w:t xml:space="preserve">listing copy, screenshots, notarization, privacy-nutrition-label accuracy (must match the "we cannot see your traffic" claim)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Microsoft Store + direct</w:t>
            </w:r>
            <w:r>
              <w:t xml:space="preserve"> </w:t>
            </w:r>
            <w:r>
              <w:rPr>
                <w:rStyle w:val="VerbatimChar"/>
              </w:rPr>
              <w:t xml:space="preserve">.msi</w:t>
            </w:r>
            <w:r>
              <w:t xml:space="preserve">/</w:t>
            </w:r>
            <w:r>
              <w:rPr>
                <w:rStyle w:val="VerbatimChar"/>
              </w:rPr>
              <w:t xml:space="preserve">.exe</w:t>
            </w:r>
            <w:r>
              <w:t xml:space="preserve"> </w:t>
            </w:r>
            <w:r>
              <w:t xml:space="preserve">(code-signed)</w:t>
            </w:r>
          </w:p>
        </w:tc>
        <w:tc>
          <w:tcPr/>
          <w:p>
            <w:pPr>
              <w:pStyle w:val="Compact"/>
            </w:pPr>
            <w:r>
              <w:t xml:space="preserve">listing copy, screenshots, EV code-signing cert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.AppImage</w:t>
            </w:r>
            <w:r>
              <w:t xml:space="preserve">/</w:t>
            </w:r>
            <w:r>
              <w:rPr>
                <w:rStyle w:val="VerbatimChar"/>
              </w:rPr>
              <w:t xml:space="preserve">.deb</w:t>
            </w:r>
            <w:r>
              <w:t xml:space="preserve">/</w:t>
            </w:r>
            <w:r>
              <w:rPr>
                <w:rStyle w:val="VerbatimChar"/>
              </w:rPr>
              <w:t xml:space="preserve">.rpm</w:t>
            </w:r>
            <w:r>
              <w:t xml:space="preserve"> </w:t>
            </w:r>
            <w:r>
              <w:t xml:space="preserve">direct download + distro repos where feasible</w:t>
            </w:r>
          </w:p>
        </w:tc>
        <w:tc>
          <w:tcPr/>
          <w:p>
            <w:pPr>
              <w:pStyle w:val="Compact"/>
            </w:pPr>
            <w:r>
              <w:t xml:space="preserve">package repo listing (if pursued), reproducible-build attestation link (cross-ref</w:t>
            </w:r>
            <w:r>
              <w:t xml:space="preserve"> </w:t>
            </w:r>
            <w:r>
              <w:rPr>
                <w:rStyle w:val="VerbatimChar"/>
              </w:rPr>
              <w:t xml:space="preserve">HVPN-P3-E26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Google Play + direct</w:t>
            </w:r>
            <w:r>
              <w:t xml:space="preserve"> </w:t>
            </w:r>
            <w:r>
              <w:rPr>
                <w:rStyle w:val="VerbatimChar"/>
              </w:rPr>
              <w:t xml:space="preserve">.apk</w:t>
            </w:r>
          </w:p>
        </w:tc>
        <w:tc>
          <w:tcPr/>
          <w:p>
            <w:pPr>
              <w:pStyle w:val="Compact"/>
            </w:pPr>
            <w:r>
              <w:t xml:space="preserve">Play Data Safety form accuracy (again, must match the architectural privacy claim), listing 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Apple App Store</w:t>
            </w:r>
          </w:p>
        </w:tc>
        <w:tc>
          <w:tcPr/>
          <w:p>
            <w:pPr>
              <w:pStyle w:val="Compact"/>
            </w:pPr>
            <w:r>
              <w:t xml:space="preserve">App Privacy details, TestFlight beta completed before GA 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HarmonyOS</w:t>
            </w:r>
          </w:p>
        </w:tc>
        <w:tc>
          <w:tcPr/>
          <w:p>
            <w:pPr>
              <w:pStyle w:val="Compact"/>
            </w:pPr>
            <w:r>
              <w:t xml:space="preserve">Huawei AppGallery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  <w:r>
              <w:t xml:space="preserve"> </w:t>
            </w:r>
            <w:r>
              <w:rPr>
                <w:rStyle w:val="VerbatimChar"/>
              </w:rPr>
              <w:t xml:space="preserve">HVPN-P3-E21</w:t>
            </w:r>
            <w:r>
              <w:t xml:space="preserve">'s HarmonyOS gate</w:t>
            </w:r>
            <w:r>
              <w:t xml:space="preserve"> </w:t>
            </w:r>
            <w:r>
              <w:rPr>
                <w:rStyle w:val="VerbatimChar"/>
              </w:rPr>
              <w:t xml:space="preserve">G21</w:t>
            </w:r>
            <w:r>
              <w:t xml:space="preserve"> </w:t>
            </w:r>
            <w:r>
              <w:t xml:space="preserve">green (device-proven tunnel) before a listing can honestly claim the app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 OS</w:t>
            </w:r>
          </w:p>
        </w:tc>
        <w:tc>
          <w:tcPr/>
          <w:p>
            <w:pPr>
              <w:pStyle w:val="Compact"/>
            </w:pPr>
            <w:r>
              <w:t xml:space="preserve">Aurora enterprise/government app channel (Russian-hosted, per</w:t>
            </w:r>
            <w:r>
              <w:t xml:space="preserve"> </w:t>
            </w:r>
            <w:r>
              <w:rPr>
                <w:rStyle w:val="VerbatimChar"/>
              </w:rPr>
              <w:t xml:space="preserve">mvp2/</w:t>
            </w:r>
            <w:r>
              <w:t xml:space="preserve"> </w:t>
            </w:r>
            <w:r>
              <w:t xml:space="preserve">platform notes)</w:t>
            </w:r>
          </w:p>
        </w:tc>
        <w:tc>
          <w:tcPr/>
          <w:p>
            <w:pPr>
              <w:pStyle w:val="Compact"/>
            </w:pPr>
            <w:r>
              <w:t xml:space="preserve">enterprise-SKU distribution process, requires</w:t>
            </w:r>
            <w:r>
              <w:t xml:space="preserve"> </w:t>
            </w:r>
            <w:r>
              <w:rPr>
                <w:rStyle w:val="VerbatimChar"/>
              </w:rPr>
              <w:t xml:space="preserve">HVPN-P3-E22</w:t>
            </w:r>
            <w:r>
              <w:t xml:space="preserve">'s gate</w:t>
            </w:r>
            <w:r>
              <w:t xml:space="preserve"> </w:t>
            </w:r>
            <w:r>
              <w:rPr>
                <w:rStyle w:val="VerbatimChar"/>
              </w:rPr>
              <w:t xml:space="preserve">G22</w:t>
            </w:r>
            <w:r>
              <w:t xml:space="preserve"> </w:t>
            </w: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(browser extension)</w:t>
            </w:r>
          </w:p>
        </w:tc>
        <w:tc>
          <w:tcPr/>
          <w:p>
            <w:pPr>
              <w:pStyle w:val="Compact"/>
            </w:pPr>
            <w:r>
              <w:t xml:space="preserve">Chrome Web Store, Firefox Add-ons, Edge Add-ons</w:t>
            </w:r>
          </w:p>
        </w:tc>
        <w:tc>
          <w:tcPr/>
          <w:p>
            <w:pPr>
              <w:pStyle w:val="Compact"/>
            </w:pPr>
            <w:r>
              <w:t xml:space="preserve">listing copy explicitly stating the browser-scoped-proxy limitation (</w:t>
            </w:r>
            <w:r>
              <w:rPr>
                <w:rStyle w:val="VerbatimChar"/>
              </w:rPr>
              <w:t xml:space="preserve">mvp/final/09-phase3-reach-wbs.md</w:t>
            </w:r>
            <w:r>
              <w:t xml:space="preserve"> </w:t>
            </w:r>
            <w:r>
              <w:rPr>
                <w:rStyle w:val="VerbatimChar"/>
              </w:rPr>
              <w:t xml:space="preserve">HVPN-P3-232</w:t>
            </w:r>
            <w:r>
              <w:t xml:space="preserve"> </w:t>
            </w:r>
            <w:r>
              <w:t xml:space="preserve">— "not a system VPN") so the store listing never overclaims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Acceptance:</w:t>
      </w:r>
      <w:r>
        <w:t xml:space="preserve"> </w:t>
      </w:r>
      <w:r>
        <w:t xml:space="preserve">every row above has a submitted (not merely drafted) listing, and every listing's</w:t>
      </w:r>
      <w:r>
        <w:t xml:space="preserve"> </w:t>
      </w:r>
      <w:r>
        <w:t xml:space="preserve">privacy/data-safety disclosure has been checked against the actual schema by an engineer, not</w:t>
      </w:r>
      <w:r>
        <w:t xml:space="preserve"> </w:t>
      </w:r>
      <w:r>
        <w:t xml:space="preserve">copy-pasted from a competitor's listing.</w:t>
      </w:r>
    </w:p>
    <w:bookmarkEnd w:id="20"/>
    <w:bookmarkStart w:id="21" w:name="X3f17067a3559328a596405e4b6b4a216c96a5b8"/>
    <w:p>
      <w:pPr>
        <w:pStyle w:val="Heading3"/>
      </w:pPr>
      <w:r>
        <w:t xml:space="preserve">3.4 Marketing site</w:t>
      </w:r>
    </w:p>
    <w:p>
      <w:pPr>
        <w:pStyle w:val="FirstParagraph"/>
      </w:pPr>
      <w:r>
        <w:t xml:space="preserve">Out of engineering scope beyond one hard requirement:</w:t>
      </w:r>
      <w:r>
        <w:t xml:space="preserve"> </w:t>
      </w:r>
      <w:r>
        <w:rPr>
          <w:b/>
          <w:bCs/>
        </w:rPr>
        <w:t xml:space="preserve">any technical claim on the marketing</w:t>
      </w:r>
      <w:r>
        <w:rPr>
          <w:b/>
          <w:bCs/>
        </w:rPr>
        <w:t xml:space="preserve"> </w:t>
      </w:r>
      <w:r>
        <w:rPr>
          <w:b/>
          <w:bCs/>
        </w:rPr>
        <w:t xml:space="preserve">site must be traceable to an architectural document or a captured-evidence gate</w:t>
      </w:r>
      <w:r>
        <w:t xml:space="preserve"> </w:t>
      </w:r>
      <w:r>
        <w:t xml:space="preserve">in this</w:t>
      </w:r>
      <w:r>
        <w:t xml:space="preserve"> </w:t>
      </w:r>
      <w:r>
        <w:t xml:space="preserve">project's specification set — the same anti-overclaim discipline as §3.2/§3.3. A marketing claim</w:t>
      </w:r>
      <w:r>
        <w:t xml:space="preserve"> </w:t>
      </w:r>
      <w:r>
        <w:t xml:space="preserve">of "we don't log your traffic" is uniquely defensible here because it is architecturally true by</w:t>
      </w:r>
      <w:r>
        <w:t xml:space="preserve"> </w:t>
      </w:r>
      <w:r>
        <w:t xml:space="preserve">construction (S6); a marketing claim should never be permitted to say more than that (e.g.</w:t>
      </w:r>
      <w:r>
        <w:t xml:space="preserve"> </w:t>
      </w:r>
      <w:r>
        <w:t xml:space="preserve">"military-grade encryption" marketing fluff not tied to a concrete, cited mechanism is</w:t>
      </w:r>
      <w:r>
        <w:t xml:space="preserve"> </w:t>
      </w:r>
      <w:r>
        <w:t xml:space="preserve">out of place next to a codebase this specific).</w:t>
      </w:r>
    </w:p>
    <w:bookmarkEnd w:id="21"/>
    <w:bookmarkStart w:id="22" w:name="Xe320dad4ca936fb410cbb2859bcdeb5d2ff1621"/>
    <w:p>
      <w:pPr>
        <w:pStyle w:val="Heading3"/>
      </w:pPr>
      <w:r>
        <w:t xml:space="preserve">3.5 Customer onboarding flow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Self-serve</w:t>
      </w:r>
      <w:r>
        <w:t xml:space="preserve"> </w:t>
      </w:r>
      <w:r>
        <w:t xml:space="preserve">path: signup (§3.1 pricing-dependent) → SSO or anonymous-account creation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svc-identity.md</w:t>
      </w:r>
      <w:r>
        <w:t xml:space="preserve"> </w:t>
      </w:r>
      <w:r>
        <w:t xml:space="preserve">§1.1, unchanged) → first-device enrollment wizard → connect. This is a</w:t>
      </w:r>
      <w:r>
        <w:t xml:space="preserve"> </w:t>
      </w:r>
      <w:r>
        <w:t xml:space="preserve">Console/client-app UX deliverable, not a backend change — every backend call it makes already</w:t>
      </w:r>
      <w:r>
        <w:t xml:space="preserve"> </w:t>
      </w:r>
      <w:r>
        <w:t xml:space="preserve">exists (</w:t>
      </w:r>
      <w:r>
        <w:rPr>
          <w:rStyle w:val="VerbatimChar"/>
        </w:rPr>
        <w:t xml:space="preserve">CreateAccount</w:t>
      </w:r>
      <w:r>
        <w:t xml:space="preserve">/</w:t>
      </w:r>
      <w:r>
        <w:rPr>
          <w:rStyle w:val="VerbatimChar"/>
        </w:rPr>
        <w:t xml:space="preserve">BeginOIDC</w:t>
      </w:r>
      <w:r>
        <w:t xml:space="preserve">/</w:t>
      </w:r>
      <w:r>
        <w:rPr>
          <w:rStyle w:val="VerbatimChar"/>
        </w:rPr>
        <w:t xml:space="preserve">Enroll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Enterprise-sales-assisted</w:t>
      </w:r>
      <w:r>
        <w:t xml:space="preserve"> </w:t>
      </w:r>
      <w:r>
        <w:t xml:space="preserve">path:</w:t>
      </w:r>
      <w:r>
        <w:t xml:space="preserve"> </w:t>
      </w:r>
      <w:r>
        <w:rPr>
          <w:rStyle w:val="VerbatimChar"/>
        </w:rPr>
        <w:t xml:space="preserve">helixvpnctl org create</w:t>
      </w:r>
      <w:r>
        <w:t xml:space="preserve"> </w:t>
      </w:r>
      <w:r>
        <w:t xml:space="preserve">(</w:t>
      </w:r>
      <w:r>
        <w:rPr>
          <w:rStyle w:val="VerbatimChar"/>
        </w:rPr>
        <w:t xml:space="preserve">mvp3/MVP3_ENTERPRISE_SCALE.md</w:t>
      </w:r>
      <w:r>
        <w:t xml:space="preserve"> </w:t>
      </w:r>
      <w:r>
        <w:t xml:space="preserve">§8.3) → SSO/SCIM configuration wizard → bulk device-enrollment-token distribution → admin</w:t>
      </w:r>
      <w:r>
        <w:t xml:space="preserve"> </w:t>
      </w:r>
      <w:r>
        <w:t xml:space="preserve">Console walkthrough.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Acceptance:</w:t>
      </w:r>
      <w:r>
        <w:t xml:space="preserve"> </w:t>
      </w:r>
      <w:r>
        <w:t xml:space="preserve">a first-time user (internal dogfood tester with no prior product knowledge)</w:t>
      </w:r>
      <w:r>
        <w:t xml:space="preserve"> </w:t>
      </w:r>
      <w:r>
        <w:t xml:space="preserve">completes each path end-to-end without engineer assistance, timed, with friction points logged</w:t>
      </w:r>
      <w:r>
        <w:t xml:space="preserve"> </w:t>
      </w:r>
      <w:r>
        <w:t xml:space="preserve">as tracked UX items — not a subjective "looks fine" sign-off.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6b1ed1079aaa5884f7edca833356b0d8b320c24"/>
    <w:p>
      <w:pPr>
        <w:pStyle w:val="Heading2"/>
      </w:pPr>
      <w:r>
        <w:t xml:space="preserve">4. Long-term maintenance model</w:t>
      </w:r>
    </w:p>
    <w:bookmarkStart w:id="24" w:name="X3cccf2b006229f5fa1eeac2254dffaa1ce61243"/>
    <w:p>
      <w:pPr>
        <w:pStyle w:val="Heading3"/>
      </w:pPr>
      <w:r>
        <w:t xml:space="preserve">4.1 LTS / versioning policy</w:t>
      </w:r>
    </w:p>
    <w:p>
      <w:pPr>
        <w:pStyle w:val="Compact"/>
        <w:numPr>
          <w:ilvl w:val="0"/>
          <w:numId w:val="1010"/>
        </w:numPr>
      </w:pPr>
      <w:r>
        <w:t xml:space="preserve">HelixVPN adopts semantic versioning for every independently-releasable artifact: the</w:t>
      </w:r>
      <w:r>
        <w:t xml:space="preserve"> </w:t>
      </w:r>
      <w:r>
        <w:t xml:space="preserve">control-plane API (</w:t>
      </w:r>
      <w:r>
        <w:rPr>
          <w:rStyle w:val="VerbatimChar"/>
        </w:rPr>
        <w:t xml:space="preserve">helix-proto</w:t>
      </w:r>
      <w:r>
        <w:t xml:space="preserve">-generated), the client-core FFI (</w:t>
      </w:r>
      <w:r>
        <w:rPr>
          <w:rStyle w:val="VerbatimChar"/>
        </w:rPr>
        <w:t xml:space="preserve">helix-ffi</w:t>
      </w:r>
      <w:r>
        <w:t xml:space="preserve">), and each</w:t>
      </w:r>
      <w:r>
        <w:t xml:space="preserve"> </w:t>
      </w:r>
      <w:r>
        <w:t xml:space="preserve">client application's own release train (per-platform store versioning conventions layered on</w:t>
      </w:r>
      <w:r>
        <w:t xml:space="preserve"> </w:t>
      </w:r>
      <w:r>
        <w:t xml:space="preserve">top of the shared semver).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LTS cadence</w:t>
      </w:r>
      <w:r>
        <w:t xml:space="preserve">: a concrete cadence (e.g. "every 4th minor is an LTS line, supported N months")</w:t>
      </w:r>
      <w:r>
        <w:t xml:space="preserve"> </w:t>
      </w:r>
      <w:r>
        <w:t xml:space="preserve">is a decision this document flags rather than invents (§7, D-GA-2) — but whatever cadence is</w:t>
      </w:r>
      <w:r>
        <w:t xml:space="preserve"> </w:t>
      </w:r>
      <w:r>
        <w:t xml:space="preserve">chosen, it is published in the same place the public changelog (§2.6) lives, and every LTS</w:t>
      </w:r>
      <w:r>
        <w:t xml:space="preserve"> </w:t>
      </w:r>
      <w:r>
        <w:t xml:space="preserve">line's end-of-support date is announced at least one full support-window in advance, never</w:t>
      </w:r>
      <w:r>
        <w:t xml:space="preserve"> </w:t>
      </w:r>
      <w:r>
        <w:t xml:space="preserve">silently.</w:t>
      </w:r>
    </w:p>
    <w:bookmarkEnd w:id="24"/>
    <w:bookmarkStart w:id="25" w:name="X4ab178930b0fc461e92f2aeac54ed79cf6cbaf5"/>
    <w:p>
      <w:pPr>
        <w:pStyle w:val="Heading3"/>
      </w:pPr>
      <w:r>
        <w:t xml:space="preserve">4.2 Deprecation policy</w:t>
      </w:r>
    </w:p>
    <w:p>
      <w:pPr>
        <w:pStyle w:val="Compact"/>
        <w:numPr>
          <w:ilvl w:val="0"/>
          <w:numId w:val="1011"/>
        </w:numPr>
      </w:pPr>
      <w:r>
        <w:t xml:space="preserve">Any protobuf field, REST endpoint, or FFI function marked for removal follows:</w:t>
      </w:r>
      <w:r>
        <w:t xml:space="preserve"> </w:t>
      </w:r>
      <w:r>
        <w:rPr>
          <w:b/>
          <w:bCs/>
        </w:rPr>
        <w:t xml:space="preserve">(1)</w:t>
      </w:r>
      <w:r>
        <w:t xml:space="preserve"> </w:t>
      </w:r>
      <w:r>
        <w:t xml:space="preserve">marked</w:t>
      </w:r>
      <w:r>
        <w:t xml:space="preserve"> </w:t>
      </w:r>
      <w:r>
        <w:t xml:space="preserve">deprecated in the schema (protobuf</w:t>
      </w:r>
      <w:r>
        <w:t xml:space="preserve"> </w:t>
      </w:r>
      <w:r>
        <w:rPr>
          <w:rStyle w:val="VerbatimChar"/>
        </w:rPr>
        <w:t xml:space="preserve">[deprecated = true]</w:t>
      </w:r>
      <w:r>
        <w:t xml:space="preserve">, OpenAPI</w:t>
      </w:r>
      <w:r>
        <w:t xml:space="preserve"> </w:t>
      </w:r>
      <w:r>
        <w:rPr>
          <w:rStyle w:val="VerbatimChar"/>
        </w:rPr>
        <w:t xml:space="preserve">deprecated: true</w:t>
      </w:r>
      <w:r>
        <w:t xml:space="preserve">, a Rust</w:t>
      </w:r>
      <w:r>
        <w:t xml:space="preserve"> </w:t>
      </w:r>
      <w:r>
        <w:rPr>
          <w:rStyle w:val="VerbatimChar"/>
        </w:rPr>
        <w:t xml:space="preserve">#[deprecated]</w:t>
      </w:r>
      <w:r>
        <w:t xml:space="preserve"> </w:t>
      </w:r>
      <w:r>
        <w:t xml:space="preserve">attribute on the FFI symbol) in one release;</w:t>
      </w:r>
      <w:r>
        <w:t xml:space="preserve"> </w:t>
      </w:r>
      <w:r>
        <w:rPr>
          <w:b/>
          <w:bCs/>
        </w:rPr>
        <w:t xml:space="preserve">(2)</w:t>
      </w:r>
      <w:r>
        <w:t xml:space="preserve"> </w:t>
      </w:r>
      <w:r>
        <w:t xml:space="preserve">a minimum deprecation</w:t>
      </w:r>
      <w:r>
        <w:t xml:space="preserve"> </w:t>
      </w:r>
      <w:r>
        <w:t xml:space="preserve">window (tied to the LTS cadence, §4.1) during which the old and new surface coexist;</w:t>
      </w:r>
      <w:r>
        <w:t xml:space="preserve"> </w:t>
      </w:r>
      <w:r>
        <w:rPr>
          <w:b/>
          <w:bCs/>
        </w:rPr>
        <w:t xml:space="preserve">(3)</w:t>
      </w:r>
      <w:r>
        <w:t xml:space="preserve"> </w:t>
      </w:r>
      <w:r>
        <w:t xml:space="preserve">removal only in a major version bump, never a minor/patch.</w:t>
      </w:r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direct extension</w:t>
      </w:r>
      <w:r>
        <w:t xml:space="preserve"> </w:t>
      </w:r>
      <w:r>
        <w:t xml:space="preserve">of the schema-first, zero-drift principle already in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§4 clause 8 — because clients are</w:t>
      </w:r>
      <w:r>
        <w:t xml:space="preserve"> </w:t>
      </w:r>
      <w:r>
        <w:rPr>
          <w:i/>
          <w:iCs/>
        </w:rPr>
        <w:t xml:space="preserve">generated</w:t>
      </w:r>
      <w:r>
        <w:t xml:space="preserve"> </w:t>
      </w:r>
      <w:r>
        <w:t xml:space="preserve">from the schema, a deprecation</w:t>
      </w:r>
      <w:r>
        <w:t xml:space="preserve"> </w:t>
      </w:r>
      <w:r>
        <w:t xml:space="preserve">is visible to every language binding simultaneously, with no risk of one platform's generated</w:t>
      </w:r>
      <w:r>
        <w:t xml:space="preserve"> </w:t>
      </w:r>
      <w:r>
        <w:t xml:space="preserve">client silently drifting from another's.</w:t>
      </w:r>
    </w:p>
    <w:bookmarkEnd w:id="25"/>
    <w:bookmarkStart w:id="26" w:name="X9b91916439b084032e612e64c5bb141a57dafcd"/>
    <w:p>
      <w:pPr>
        <w:pStyle w:val="Heading3"/>
      </w:pPr>
      <w:r>
        <w:t xml:space="preserve">4.3 Backward-compatibility guarantees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Client-core FFI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helix-ffi</w:t>
      </w:r>
      <w:r>
        <w:t xml:space="preserve">,</w:t>
      </w:r>
      <w:r>
        <w:t xml:space="preserve"> </w:t>
      </w:r>
      <w:r>
        <w:rPr>
          <w:rStyle w:val="VerbatimChar"/>
        </w:rPr>
        <w:t xml:space="preserve">mvp/final/v04-client/ffi-surface.md</w:t>
      </w:r>
      <w:r>
        <w:t xml:space="preserve">): within an LTS line,</w:t>
      </w:r>
      <w:r>
        <w:t xml:space="preserve"> </w:t>
      </w:r>
      <w:r>
        <w:t xml:space="preserve">the exported symbols (</w:t>
      </w:r>
      <w:r>
        <w:rPr>
          <w:rStyle w:val="VerbatimChar"/>
        </w:rPr>
        <w:t xml:space="preserve">helix_start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helix_status_stream</w:t>
      </w:r>
      <w:r>
        <w:t xml:space="preserve">, etc., extended in</w:t>
      </w:r>
      <w:r>
        <w:t xml:space="preserve"> </w:t>
      </w:r>
      <w:r>
        <w:t xml:space="preserve">Phase 3 with posture/conditional-access-aware fields per</w:t>
      </w:r>
      <w:r>
        <w:t xml:space="preserve"> </w:t>
      </w:r>
      <w:r>
        <w:rPr>
          <w:rStyle w:val="VerbatimChar"/>
        </w:rPr>
        <w:t xml:space="preserve">mvp3/</w:t>
      </w:r>
      <w:r>
        <w:t xml:space="preserve"> </w:t>
      </w:r>
      <w:r>
        <w:t xml:space="preserve">§4.2) are additive-only —</w:t>
      </w:r>
      <w:r>
        <w:t xml:space="preserve"> </w:t>
      </w:r>
      <w:r>
        <w:t xml:space="preserve">new optional fields, never a changed meaning or removed symbol. A third-party integrator</w:t>
      </w:r>
      <w:r>
        <w:t xml:space="preserve"> </w:t>
      </w:r>
      <w:r>
        <w:t xml:space="preserve">building against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at LTS version N can rebuild against any N.x without a source</w:t>
      </w:r>
      <w:r>
        <w:t xml:space="preserve"> </w:t>
      </w:r>
      <w:r>
        <w:t xml:space="preserve">change.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Control-plane API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protocol's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field and the Phase-3-added</w:t>
      </w:r>
      <w:r>
        <w:t xml:space="preserve"> </w:t>
      </w:r>
      <w:r>
        <w:rPr>
          <w:rStyle w:val="VerbatimChar"/>
        </w:rPr>
        <w:t xml:space="preserve">client_protocol_version</w:t>
      </w:r>
      <w:r>
        <w:t xml:space="preserve"> </w:t>
      </w:r>
      <w:r>
        <w:t xml:space="preserve">negotiation (</w:t>
      </w:r>
      <w:r>
        <w:rPr>
          <w:rStyle w:val="VerbatimChar"/>
        </w:rPr>
        <w:t xml:space="preserve">mvp3/MVP3_ENTERPRISE_SCALE.md</w:t>
      </w:r>
      <w:r>
        <w:t xml:space="preserve"> </w:t>
      </w:r>
      <w:r>
        <w:t xml:space="preserve">§5.7) are the concrete</w:t>
      </w:r>
      <w:r>
        <w:t xml:space="preserve"> </w:t>
      </w:r>
      <w:r>
        <w:t xml:space="preserve">mechanism that already makes this guarantee mechanically testable — a compatibility test suite</w:t>
      </w:r>
      <w:r>
        <w:t xml:space="preserve"> </w:t>
      </w:r>
      <w:r>
        <w:t xml:space="preserve">runs an</w:t>
      </w:r>
      <w:r>
        <w:t xml:space="preserve"> </w:t>
      </w:r>
      <w:r>
        <w:rPr>
          <w:b/>
          <w:bCs/>
        </w:rPr>
        <w:t xml:space="preserve">old-version agent against a new-version coordinator</w:t>
      </w:r>
      <w:r>
        <w:t xml:space="preserve"> </w:t>
      </w:r>
      <w:r>
        <w:t xml:space="preserve">(and vice versa within the</w:t>
      </w:r>
      <w:r>
        <w:t xml:space="preserve"> </w:t>
      </w:r>
      <w:r>
        <w:t xml:space="preserve">supported window) and asserts correct behavior, not just "the code compiles."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Acceptance:</w:t>
      </w:r>
      <w:r>
        <w:t xml:space="preserve"> </w:t>
      </w:r>
      <w:r>
        <w:t xml:space="preserve">a compatibility-matrix test (old client × new server, new client × old server,</w:t>
      </w:r>
      <w:r>
        <w:t xml:space="preserve"> </w:t>
      </w:r>
      <w:r>
        <w:t xml:space="preserve">across the declared support window) is part of the standing regression suite, not a one-time</w:t>
      </w:r>
      <w:r>
        <w:t xml:space="preserve"> </w:t>
      </w:r>
      <w:r>
        <w:t xml:space="preserve">manual check.</w:t>
      </w:r>
    </w:p>
    <w:bookmarkEnd w:id="26"/>
    <w:bookmarkStart w:id="27" w:name="X84f22e5c9872794bb9e677cc90cc680da285991"/>
    <w:p>
      <w:pPr>
        <w:pStyle w:val="Heading3"/>
      </w:pPr>
      <w:r>
        <w:t xml:space="preserve">4.4 Security-patch SLA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Patch SLA (time to fix released, from confirmed report)</w:t>
            </w:r>
          </w:p>
        </w:tc>
        <w:tc>
          <w:tcPr/>
          <w:p>
            <w:pPr>
              <w:pStyle w:val="Compact"/>
            </w:pPr>
            <w:r>
              <w:t xml:space="preserve">Applies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(remote compromise, key-material exposure, auth bypass)</w:t>
            </w:r>
          </w:p>
        </w:tc>
        <w:tc>
          <w:tcPr/>
          <w:p>
            <w:pPr>
              <w:pStyle w:val="Compact"/>
            </w:pPr>
            <w:r>
              <w:t xml:space="preserve">72 hours</w:t>
            </w:r>
          </w:p>
        </w:tc>
        <w:tc>
          <w:tcPr/>
          <w:p>
            <w:pPr>
              <w:pStyle w:val="Compact"/>
            </w:pPr>
            <w:r>
              <w:t xml:space="preserve">control plane,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, every client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Medium/Low</w:t>
            </w:r>
          </w:p>
        </w:tc>
        <w:tc>
          <w:tcPr/>
          <w:p>
            <w:pPr>
              <w:pStyle w:val="Compact"/>
            </w:pPr>
            <w:r>
              <w:t xml:space="preserve">next scheduled minor release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</w:tbl>
    <w:p>
      <w:pPr>
        <w:pStyle w:val="BodyText"/>
      </w:pPr>
      <w:r>
        <w:t xml:space="preserve">This table's exact numbers are a policy commitment the operator should confirm before publishing</w:t>
      </w:r>
      <w:r>
        <w:t xml:space="preserve"> </w:t>
      </w:r>
      <w:r>
        <w:t xml:space="preserve">(§7, D-GA-3) — the structure (severity-tiered, time-bound, publicly stated) is the concrete</w:t>
      </w:r>
      <w:r>
        <w:t xml:space="preserve"> </w:t>
      </w:r>
      <w:r>
        <w:t xml:space="preserve">deliverable; the specific hour/day counts are the negotiable part.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X1bc50a43d31645c2a8e9adc697b08d0db33c801"/>
    <w:p>
      <w:pPr>
        <w:pStyle w:val="Heading2"/>
      </w:pPr>
      <w:r>
        <w:t xml:space="preserve">5. Phased task/subtask WBS</w:t>
      </w:r>
    </w:p>
    <w:bookmarkStart w:id="32" w:name="X00aa535ea102268cbbcc81eff49f5cfe90135e5"/>
    <w:p>
      <w:pPr>
        <w:pStyle w:val="Heading3"/>
      </w:pPr>
      <w:r>
        <w:t xml:space="preserve">5.1 ID namespace</w:t>
      </w:r>
    </w:p>
    <w:p>
      <w:pPr>
        <w:pStyle w:val="FirstParagraph"/>
      </w:pPr>
      <w:r>
        <w:rPr>
          <w:rStyle w:val="VerbatimChar"/>
        </w:rPr>
        <w:t xml:space="preserve">HVPN-GA-NNN</w:t>
      </w:r>
      <w:r>
        <w:t xml:space="preserve">, epics</w:t>
      </w:r>
      <w:r>
        <w:t xml:space="preserve"> </w:t>
      </w:r>
      <w:r>
        <w:rPr>
          <w:rStyle w:val="VerbatimChar"/>
        </w:rPr>
        <w:t xml:space="preserve">HVPN-GA-E4n</w:t>
      </w:r>
      <w:r>
        <w:t xml:space="preserve">, gates</w:t>
      </w:r>
      <w:r>
        <w:t xml:space="preserve"> </w:t>
      </w:r>
      <w:r>
        <w:rPr>
          <w:rStyle w:val="VerbatimChar"/>
        </w:rPr>
        <w:t xml:space="preserve">G40</w:t>
      </w:r>
      <w:r>
        <w:t xml:space="preserve">–</w:t>
      </w:r>
      <w:r>
        <w:rPr>
          <w:rStyle w:val="VerbatimChar"/>
        </w:rPr>
        <w:t xml:space="preserve">G49</w:t>
      </w:r>
      <w:r>
        <w:t xml:space="preserve"> </w:t>
      </w:r>
      <w:r>
        <w:t xml:space="preserve">— a namespace distinct from both</w:t>
      </w:r>
      <w:r>
        <w:t xml:space="preserve"> </w:t>
      </w:r>
      <w:r>
        <w:rPr>
          <w:rStyle w:val="VerbatimChar"/>
        </w:rPr>
        <w:t xml:space="preserve">HVPN-P3-NNN</w:t>
      </w:r>
      <w:r>
        <w:t xml:space="preserve">/</w:t>
      </w:r>
      <w:r>
        <w:rPr>
          <w:rStyle w:val="VerbatimChar"/>
        </w:rPr>
        <w:t xml:space="preserve">G20</w:t>
      </w:r>
      <w:r>
        <w:t xml:space="preserve">–</w:t>
      </w:r>
      <w:r>
        <w:rPr>
          <w:rStyle w:val="VerbatimChar"/>
        </w:rPr>
        <w:t xml:space="preserve">G26</w:t>
      </w:r>
      <w:r>
        <w:t xml:space="preserve"> </w:t>
      </w:r>
      <w:r>
        <w:t xml:space="preserve">(existing platform-reach WBS) and</w:t>
      </w:r>
      <w:r>
        <w:t xml:space="preserve"> </w:t>
      </w:r>
      <w:r>
        <w:rPr>
          <w:rStyle w:val="VerbatimChar"/>
        </w:rPr>
        <w:t xml:space="preserve">HVPN-ENT-NNN</w:t>
      </w:r>
      <w:r>
        <w:t xml:space="preserve">/</w:t>
      </w:r>
      <w:r>
        <w:rPr>
          <w:rStyle w:val="VerbatimChar"/>
        </w:rPr>
        <w:t xml:space="preserve">G30</w:t>
      </w:r>
      <w:r>
        <w:t xml:space="preserve">–</w:t>
      </w:r>
      <w:r>
        <w:rPr>
          <w:rStyle w:val="VerbatimChar"/>
        </w:rPr>
        <w:t xml:space="preserve">G39</w:t>
      </w:r>
      <w:r>
        <w:t xml:space="preserve"> </w:t>
      </w:r>
      <w:r>
        <w:t xml:space="preserve">(</w:t>
      </w:r>
      <w:r>
        <w:rPr>
          <w:rStyle w:val="VerbatimChar"/>
        </w:rPr>
        <w:t xml:space="preserve">mvp3/MVP3_ENTERPRISE_SCALE.md</w:t>
      </w:r>
      <w:r>
        <w:t xml:space="preserve">), so all three WBS sets can coexist in one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(§11.4.93) without ID collision.</w:t>
      </w:r>
    </w:p>
    <w:p>
      <w:pPr>
        <w:pStyle w:val="BodyText"/>
      </w:pPr>
      <w:r>
        <w:drawing>
          <wp:inline>
            <wp:extent cx="5334000" cy="707571"/>
            <wp:effectExtent b="0" l="0" r="0" t="0"/>
            <wp:docPr descr="diagram" title="" id="30" name="Picture"/>
            <a:graphic>
              <a:graphicData uri="http://schemas.openxmlformats.org/drawingml/2006/picture">
                <pic:pic>
                  <pic:nvPicPr>
                    <pic:cNvPr descr="/tmp/.private/milosvasic/tmp.CIdLJjEW6s/img/diagram_001_58ee3e3b8e2d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7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3" w:name="Xb95d215b948a7ef9fd2f31ae050b27754a2bd96"/>
    <w:p>
      <w:pPr>
        <w:pStyle w:val="Heading3"/>
      </w:pPr>
      <w:r>
        <w:t xml:space="preserve">5.2 Epics</w:t>
      </w:r>
    </w:p>
    <w:p>
      <w:pPr>
        <w:pStyle w:val="FirstParagraph"/>
      </w:pPr>
      <w:r>
        <w:rPr>
          <w:rStyle w:val="VerbatimChar"/>
          <w:b/>
          <w:bCs/>
        </w:rPr>
        <w:t xml:space="preserve">HVPN-GA-E40</w:t>
      </w:r>
      <w:r>
        <w:rPr>
          <w:b/>
          <w:bCs/>
        </w:rPr>
        <w:t xml:space="preserve"> </w:t>
      </w:r>
      <w:r>
        <w:rPr>
          <w:b/>
          <w:bCs/>
        </w:rPr>
        <w:t xml:space="preserve">— Security &amp; load readiness</w:t>
      </w:r>
      <w:r>
        <w:t xml:space="preserve"> </w:t>
      </w:r>
      <w:r>
        <w:rPr>
          <w:rStyle w:val="VerbatimChar"/>
        </w:rPr>
        <w:t xml:space="preserve">epic · module: security,perf</w:t>
      </w:r>
      <w:r>
        <w:t xml:space="preserve"> </w:t>
      </w:r>
      <w:r>
        <w:t xml:space="preserve">Gate</w:t>
      </w:r>
      <w:r>
        <w:t xml:space="preserve"> </w:t>
      </w:r>
      <w:r>
        <w:rPr>
          <w:b/>
          <w:bCs/>
        </w:rPr>
        <w:t xml:space="preserve">G40</w:t>
      </w:r>
      <w:r>
        <w:t xml:space="preserve">. Delivers §2.1–§2.3.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HVPN-GA-400 — Follow-up penetration test scoped to the Phase-3 enterprise surface.</w:t>
      </w:r>
      <w:r>
        <w:t xml:space="preserve"> </w:t>
      </w:r>
      <w:r>
        <w:rPr>
          <w:rStyle w:val="VerbatimChar"/>
        </w:rPr>
        <w:t xml:space="preserve">L(10) · deps: mvp3 G30-G37 green · tests: SEC</w:t>
      </w:r>
      <w:r>
        <w:t xml:space="preserve"> </w:t>
      </w:r>
      <w:r>
        <w:t xml:space="preserve">Acceptance: independent report, zero unresolved Critical/High, remediation loop closed.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HVPN-GA-401 — Commercial-scale load test (enrollment burst, stream-count HPA threshold, policy-recompile storm).</w:t>
      </w:r>
      <w:r>
        <w:t xml:space="preserve"> </w:t>
      </w:r>
      <w:r>
        <w:rPr>
          <w:rStyle w:val="VerbatimChar"/>
        </w:rPr>
        <w:t xml:space="preserve">L(9) · deps: HVPN-GA-400 · tests: PERF,STRESS</w:t>
      </w:r>
      <w:r>
        <w:t xml:space="preserve"> </w:t>
      </w:r>
      <w:r>
        <w:t xml:space="preserve">Acceptance: captured p50/p95/p99 latency + throughput at committed scale, SLO met (</w:t>
      </w:r>
      <w:r>
        <w:rPr>
          <w:rStyle w:val="VerbatimChar"/>
        </w:rPr>
        <w:t xml:space="preserve">mvp3/</w:t>
      </w:r>
      <w:r>
        <w:t xml:space="preserve"> </w:t>
      </w:r>
      <w:r>
        <w:t xml:space="preserve">§7.5).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HVPN-GA-402 — Re-run HA chaos suite against the Phase-3 multi-region topology.</w:t>
      </w:r>
      <w:r>
        <w:t xml:space="preserve"> </w:t>
      </w:r>
      <w:r>
        <w:rPr>
          <w:rStyle w:val="VerbatimChar"/>
        </w:rPr>
        <w:t xml:space="preserve">L(8) · deps: HVPN-GA-401 · tests: CHAOS,REC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HVPN-GA-403 — Transport-fallback-under-censorship + pin-and-alert GA scenario.</w:t>
      </w:r>
      <w:r>
        <w:t xml:space="preserve"> </w:t>
      </w:r>
      <w:r>
        <w:rPr>
          <w:rStyle w:val="VerbatimChar"/>
        </w:rPr>
        <w:t xml:space="preserve">M(5) · deps: HVPN-GA-402 · tests: CHAOS,SEC,REC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HVPN-GA-404 — G40 certification.</w:t>
      </w:r>
      <w:r>
        <w:t xml:space="preserve"> </w:t>
      </w:r>
      <w:r>
        <w:rPr>
          <w:rStyle w:val="VerbatimChar"/>
        </w:rPr>
        <w:t xml:space="preserve">S(3) · deps: HVPN-GA-400..403 · tests: FA,CHAL</w:t>
      </w:r>
    </w:p>
    <w:p>
      <w:pPr>
        <w:pStyle w:val="FirstParagraph"/>
      </w:pPr>
      <w:r>
        <w:rPr>
          <w:rStyle w:val="VerbatimChar"/>
          <w:b/>
          <w:bCs/>
        </w:rPr>
        <w:t xml:space="preserve">HVPN-GA-E41</w:t>
      </w:r>
      <w:r>
        <w:rPr>
          <w:b/>
          <w:bCs/>
        </w:rPr>
        <w:t xml:space="preserve"> </w:t>
      </w:r>
      <w:r>
        <w:rPr>
          <w:b/>
          <w:bCs/>
        </w:rPr>
        <w:t xml:space="preserve">— Documentation &amp; support readiness</w:t>
      </w:r>
      <w:r>
        <w:t xml:space="preserve"> </w:t>
      </w:r>
      <w:r>
        <w:rPr>
          <w:rStyle w:val="VerbatimChar"/>
        </w:rPr>
        <w:t xml:space="preserve">epic · module: docs,ops</w:t>
      </w:r>
      <w:r>
        <w:t xml:space="preserve"> </w:t>
      </w:r>
      <w:r>
        <w:t xml:space="preserve">Gate</w:t>
      </w:r>
      <w:r>
        <w:t xml:space="preserve"> </w:t>
      </w:r>
      <w:r>
        <w:rPr>
          <w:b/>
          <w:bCs/>
        </w:rPr>
        <w:t xml:space="preserve">G41</w:t>
      </w:r>
      <w:r>
        <w:t xml:space="preserve">. Delivers §2.4–§2.6.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HVPN-GA-410 — Four-audience documentation completeness audit.</w:t>
      </w:r>
      <w:r>
        <w:t xml:space="preserve"> </w:t>
      </w:r>
      <w:r>
        <w:rPr>
          <w:rStyle w:val="VerbatimChar"/>
        </w:rPr>
        <w:t xml:space="preserve">M(6) · deps: — · tests: FA</w:t>
      </w:r>
      <w:r>
        <w:t xml:space="preserve"> </w:t>
      </w:r>
      <w:r>
        <w:t xml:space="preserve">Acceptance: the completeness table in §2.4 has zero missing rows; verified against the actual</w:t>
      </w:r>
      <w:r>
        <w:t xml:space="preserve"> </w:t>
      </w:r>
      <w:r>
        <w:t xml:space="preserve">shipped feature set (</w:t>
      </w:r>
      <w:r>
        <w:rPr>
          <w:rStyle w:val="VerbatimChar"/>
        </w:rPr>
        <w:t xml:space="preserve">mvp3/</w:t>
      </w:r>
      <w:r>
        <w:t xml:space="preserve"> </w:t>
      </w:r>
      <w:r>
        <w:t xml:space="preserve">§3–§9), not just a checklist self-report.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HVPN-GA-411 — On-call rotation + incident-response runbook + game-day exercise.</w:t>
      </w:r>
      <w:r>
        <w:t xml:space="preserve"> </w:t>
      </w:r>
      <w:r>
        <w:rPr>
          <w:rStyle w:val="VerbatimChar"/>
        </w:rPr>
        <w:t xml:space="preserve">L(7) · deps: HVPN-GA-410 · tests: FA,REC</w:t>
      </w:r>
      <w:r>
        <w:t xml:space="preserve"> </w:t>
      </w:r>
      <w:r>
        <w:t xml:space="preserve">Acceptance: captured game-day transcript (page → runbook execution → postmortem).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HVPN-GA-412 — Public status page + public changelog generator.</w:t>
      </w:r>
      <w:r>
        <w:t xml:space="preserve"> </w:t>
      </w:r>
      <w:r>
        <w:rPr>
          <w:rStyle w:val="VerbatimChar"/>
        </w:rPr>
        <w:t xml:space="preserve">M(5) · deps: — · tests: UNIT,INT,FA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HVPN-GA-413 — G41 certification.</w:t>
      </w:r>
      <w:r>
        <w:t xml:space="preserve"> </w:t>
      </w:r>
      <w:r>
        <w:rPr>
          <w:rStyle w:val="VerbatimChar"/>
        </w:rPr>
        <w:t xml:space="preserve">S(3) · deps: HVPN-GA-410..412 · tests: FA,CHAL</w:t>
      </w:r>
    </w:p>
    <w:p>
      <w:pPr>
        <w:pStyle w:val="FirstParagraph"/>
      </w:pPr>
      <w:r>
        <w:rPr>
          <w:rStyle w:val="VerbatimChar"/>
          <w:b/>
          <w:bCs/>
        </w:rPr>
        <w:t xml:space="preserve">HVPN-GA-E42</w:t>
      </w:r>
      <w:r>
        <w:rPr>
          <w:b/>
          <w:bCs/>
        </w:rPr>
        <w:t xml:space="preserve"> </w:t>
      </w:r>
      <w:r>
        <w:rPr>
          <w:b/>
          <w:bCs/>
        </w:rPr>
        <w:t xml:space="preserve">— Go-to-market readiness</w:t>
      </w:r>
      <w:r>
        <w:t xml:space="preserve"> </w:t>
      </w:r>
      <w:r>
        <w:rPr>
          <w:rStyle w:val="VerbatimChar"/>
        </w:rPr>
        <w:t xml:space="preserve">epic · module: gtm,legal,console</w:t>
      </w:r>
      <w:r>
        <w:t xml:space="preserve"> </w:t>
      </w:r>
      <w:r>
        <w:t xml:space="preserve">Gate</w:t>
      </w:r>
      <w:r>
        <w:t xml:space="preserve"> </w:t>
      </w:r>
      <w:r>
        <w:rPr>
          <w:b/>
          <w:bCs/>
        </w:rPr>
        <w:t xml:space="preserve">G42</w:t>
      </w:r>
      <w:r>
        <w:t xml:space="preserve">. Delivers §3.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HVPN-GA-420 — Pricing finalized + Console signup pricing UI wired.</w:t>
      </w:r>
      <w:r>
        <w:t xml:space="preserve"> </w:t>
      </w:r>
      <w:r>
        <w:rPr>
          <w:rStyle w:val="VerbatimChar"/>
        </w:rPr>
        <w:t xml:space="preserve">M(6) · deps: D-GA-1 resolved (§7) · tests: UI,UX,FA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HVPN-GA-421 — ToS/Privacy Policy/DPA drafted + legal sign-off citing architectural review.</w:t>
      </w:r>
      <w:r>
        <w:t xml:space="preserve"> </w:t>
      </w:r>
      <w:r>
        <w:rPr>
          <w:rStyle w:val="VerbatimChar"/>
        </w:rPr>
        <w:t xml:space="preserve">M(5) · deps: — · tests: FA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HVPN-GA-422 — 8 app-store listings submitted, privacy disclosures verified against schema.</w:t>
      </w:r>
      <w:r>
        <w:t xml:space="preserve"> </w:t>
      </w:r>
      <w:r>
        <w:rPr>
          <w:rStyle w:val="VerbatimChar"/>
        </w:rPr>
        <w:t xml:space="preserve">L(10) · deps: mvp/final G21,G22 green (HarmonyOS/Aurora) · tests: FA,REC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HVPN-GA-423 — Onboarding-flow dogfood test (self-serve + enterprise-assisted), timed, frictions logged.</w:t>
      </w:r>
      <w:r>
        <w:t xml:space="preserve"> </w:t>
      </w:r>
      <w:r>
        <w:rPr>
          <w:rStyle w:val="VerbatimChar"/>
        </w:rPr>
        <w:t xml:space="preserve">M(6) · deps: HVPN-GA-420 · tests: UX,REC,FA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HVPN-GA-424 — G42 certification.</w:t>
      </w:r>
      <w:r>
        <w:t xml:space="preserve"> </w:t>
      </w:r>
      <w:r>
        <w:rPr>
          <w:rStyle w:val="VerbatimChar"/>
        </w:rPr>
        <w:t xml:space="preserve">S(3) · deps: HVPN-GA-420..423 · tests: FA,CHAL</w:t>
      </w:r>
    </w:p>
    <w:p>
      <w:pPr>
        <w:pStyle w:val="FirstParagraph"/>
      </w:pPr>
      <w:r>
        <w:rPr>
          <w:rStyle w:val="VerbatimChar"/>
          <w:b/>
          <w:bCs/>
        </w:rPr>
        <w:t xml:space="preserve">HVPN-GA-E43</w:t>
      </w:r>
      <w:r>
        <w:rPr>
          <w:b/>
          <w:bCs/>
        </w:rPr>
        <w:t xml:space="preserve"> </w:t>
      </w:r>
      <w:r>
        <w:rPr>
          <w:b/>
          <w:bCs/>
        </w:rPr>
        <w:t xml:space="preserve">— Maintenance-model readiness</w:t>
      </w:r>
      <w:r>
        <w:t xml:space="preserve"> </w:t>
      </w:r>
      <w:r>
        <w:rPr>
          <w:rStyle w:val="VerbatimChar"/>
        </w:rPr>
        <w:t xml:space="preserve">epic · module: helix-proto,helix-core</w:t>
      </w:r>
      <w:r>
        <w:t xml:space="preserve"> </w:t>
      </w:r>
      <w:r>
        <w:t xml:space="preserve">Gate</w:t>
      </w:r>
      <w:r>
        <w:t xml:space="preserve"> </w:t>
      </w:r>
      <w:r>
        <w:rPr>
          <w:b/>
          <w:bCs/>
        </w:rPr>
        <w:t xml:space="preserve">G43</w:t>
      </w:r>
      <w:r>
        <w:t xml:space="preserve">. Delivers §4.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HVPN-GA-430 — LTS/versioning policy published (cadence per D-GA-2, §7).</w:t>
      </w:r>
      <w:r>
        <w:t xml:space="preserve"> </w:t>
      </w:r>
      <w:r>
        <w:rPr>
          <w:rStyle w:val="VerbatimChar"/>
        </w:rPr>
        <w:t xml:space="preserve">S(3) · deps: D-GA-2 resolved · tests: FA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HVPN-GA-431 — Deprecation-policy tooling (schema annotations + lint that blocks a non-major removal).</w:t>
      </w:r>
      <w:r>
        <w:t xml:space="preserve"> </w:t>
      </w:r>
      <w:r>
        <w:rPr>
          <w:rStyle w:val="VerbatimChar"/>
        </w:rPr>
        <w:t xml:space="preserve">M(6) · deps: — · tests: UNIT,INT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HVPN-GA-432 — Backward-compatibility matrix test (old client x new server, new client x old server).</w:t>
      </w:r>
      <w:r>
        <w:t xml:space="preserve"> </w:t>
      </w:r>
      <w:r>
        <w:rPr>
          <w:rStyle w:val="VerbatimChar"/>
        </w:rPr>
        <w:t xml:space="preserve">L(8) · deps: HVPN-GA-431 · tests: INT,E2E,FA</w:t>
      </w:r>
      <w:r>
        <w:t xml:space="preserve"> </w:t>
      </w:r>
      <w:r>
        <w:t xml:space="preserve">Acceptance: added to the standing regression suite; a deliberately-introduced breaking change</w:t>
      </w:r>
      <w:r>
        <w:t xml:space="preserve"> </w:t>
      </w:r>
      <w:r>
        <w:t xml:space="preserve">in a test branch makes this test FAIL (paired-mutation proof it actually catches drift).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HVPN-GA-433 — Security-patch SLA published (numbers per D-GA-3, §7).</w:t>
      </w:r>
      <w:r>
        <w:t xml:space="preserve"> </w:t>
      </w:r>
      <w:r>
        <w:rPr>
          <w:rStyle w:val="VerbatimChar"/>
        </w:rPr>
        <w:t xml:space="preserve">S(3) · deps: D-GA-3 resolved · tests: FA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HVPN-GA-434 — G43 certification.</w:t>
      </w:r>
      <w:r>
        <w:t xml:space="preserve"> </w:t>
      </w:r>
      <w:r>
        <w:rPr>
          <w:rStyle w:val="VerbatimChar"/>
        </w:rPr>
        <w:t xml:space="preserve">S(3) · deps: HVPN-GA-430..433 · tests: FA,CHAL</w:t>
      </w:r>
    </w:p>
    <w:p>
      <w:pPr>
        <w:pStyle w:val="FirstParagraph"/>
      </w:pPr>
      <w:r>
        <w:rPr>
          <w:rStyle w:val="VerbatimChar"/>
          <w:b/>
          <w:bCs/>
        </w:rPr>
        <w:t xml:space="preserve">HVPN-GA-E44</w:t>
      </w:r>
      <w:r>
        <w:rPr>
          <w:b/>
          <w:bCs/>
        </w:rPr>
        <w:t xml:space="preserve"> </w:t>
      </w:r>
      <w:r>
        <w:rPr>
          <w:b/>
          <w:bCs/>
        </w:rPr>
        <w:t xml:space="preserve">— GA launch gate</w:t>
      </w:r>
      <w:r>
        <w:t xml:space="preserve"> </w:t>
      </w:r>
      <w:r>
        <w:rPr>
          <w:rStyle w:val="VerbatimChar"/>
        </w:rPr>
        <w:t xml:space="preserve">epic · module: —</w:t>
      </w:r>
      <w:r>
        <w:t xml:space="preserve"> </w:t>
      </w:r>
      <w:r>
        <w:t xml:space="preserve">Gate</w:t>
      </w:r>
      <w:r>
        <w:t xml:space="preserve"> </w:t>
      </w:r>
      <w:r>
        <w:rPr>
          <w:b/>
          <w:bCs/>
        </w:rPr>
        <w:t xml:space="preserve">G44</w:t>
      </w:r>
      <w:r>
        <w:t xml:space="preserve">. All of</w:t>
      </w:r>
      <w:r>
        <w:t xml:space="preserve"> </w:t>
      </w:r>
      <w:r>
        <w:rPr>
          <w:rStyle w:val="VerbatimChar"/>
        </w:rPr>
        <w:t xml:space="preserve">G40</w:t>
      </w:r>
      <w:r>
        <w:t xml:space="preserve">–</w:t>
      </w:r>
      <w:r>
        <w:rPr>
          <w:rStyle w:val="VerbatimChar"/>
        </w:rPr>
        <w:t xml:space="preserve">G43</w:t>
      </w:r>
      <w:r>
        <w:t xml:space="preserve"> </w:t>
      </w:r>
      <w:r>
        <w:t xml:space="preserve">green, full-suite retest from the Phase-3 baseline</w:t>
      </w:r>
      <w:r>
        <w:t xml:space="preserve"> </w:t>
      </w:r>
      <w:r>
        <w:t xml:space="preserve">(constitution §11.4.40), operator explicit go/no-go decision recorded.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00484a7f9eb21ad693ea45e03a31d1bb7b18dab"/>
    <w:p>
      <w:pPr>
        <w:pStyle w:val="Heading2"/>
      </w:pPr>
      <w:r>
        <w:t xml:space="preserve">6. Reconciliation with the existing audit/reproducible-builds epics</w:t>
      </w:r>
    </w:p>
    <w:p>
      <w:pPr>
        <w:pStyle w:val="FirstParagraph"/>
      </w:pPr>
      <w:r>
        <w:t xml:space="preserve">To avoid any ambiguity about ownership: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Owning epic</w:t>
            </w:r>
          </w:p>
        </w:tc>
        <w:tc>
          <w:tcPr/>
          <w:p>
            <w:pPr>
              <w:pStyle w:val="Compact"/>
            </w:pPr>
            <w:r>
              <w:t xml:space="preserve">What GA readiness adds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Third-party security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HVPN-P3-E25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mvp/final/09-phase3-reach-wbs.md</w:t>
            </w:r>
            <w:r>
              <w:t xml:space="preserve">), gate</w:t>
            </w:r>
            <w:r>
              <w:t xml:space="preserve"> </w:t>
            </w:r>
            <w:r>
              <w:rPr>
                <w:rStyle w:val="VerbatimChar"/>
              </w:rPr>
              <w:t xml:space="preserve">G25</w:t>
            </w:r>
          </w:p>
        </w:tc>
        <w:tc>
          <w:tcPr/>
          <w:p>
            <w:pPr>
              <w:pStyle w:val="Compact"/>
            </w:pPr>
            <w:r>
              <w:t xml:space="preserve">GA adds a</w:t>
            </w:r>
            <w:r>
              <w:t xml:space="preserve"> </w:t>
            </w:r>
            <w:r>
              <w:rPr>
                <w:b/>
                <w:bCs/>
              </w:rPr>
              <w:t xml:space="preserve">follow-up, narrower</w:t>
            </w:r>
            <w:r>
              <w:t xml:space="preserve"> </w:t>
            </w:r>
            <w:r>
              <w:t xml:space="preserve">pen-test scoped to the enterprise surface</w:t>
            </w:r>
            <w:r>
              <w:t xml:space="preserve"> </w:t>
            </w:r>
            <w:r>
              <w:rPr>
                <w:rStyle w:val="VerbatimChar"/>
              </w:rPr>
              <w:t xml:space="preserve">G25</w:t>
            </w:r>
            <w:r>
              <w:t xml:space="preserve"> </w:t>
            </w:r>
            <w:r>
              <w:t xml:space="preserve">predates (§2.1) — it does not re-run or replace</w:t>
            </w:r>
            <w:r>
              <w:t xml:space="preserve"> </w:t>
            </w:r>
            <w:r>
              <w:rPr>
                <w:rStyle w:val="VerbatimChar"/>
              </w:rPr>
              <w:t xml:space="preserve">G25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Reproducible builds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HVPN-P3-E26</w:t>
            </w:r>
            <w:r>
              <w:t xml:space="preserve"> </w:t>
            </w:r>
            <w:r>
              <w:t xml:space="preserve">(same document), gate</w:t>
            </w:r>
            <w:r>
              <w:t xml:space="preserve"> </w:t>
            </w:r>
            <w:r>
              <w:rPr>
                <w:rStyle w:val="VerbatimChar"/>
              </w:rPr>
              <w:t xml:space="preserve">G26</w:t>
            </w:r>
          </w:p>
        </w:tc>
        <w:tc>
          <w:tcPr/>
          <w:p>
            <w:pPr>
              <w:pStyle w:val="Compact"/>
            </w:pPr>
            <w:r>
              <w:t xml:space="preserve">GA</w:t>
            </w:r>
            <w:r>
              <w:t xml:space="preserve"> </w:t>
            </w:r>
            <w:r>
              <w:rPr>
                <w:b/>
                <w:bCs/>
              </w:rPr>
              <w:t xml:space="preserve">requires</w:t>
            </w:r>
            <w:r>
              <w:t xml:space="preserve"> </w:t>
            </w:r>
            <w:r>
              <w:rPr>
                <w:rStyle w:val="VerbatimChar"/>
              </w:rPr>
              <w:t xml:space="preserve">G26</w:t>
            </w:r>
            <w:r>
              <w:t xml:space="preserve"> </w:t>
            </w:r>
            <w:r>
              <w:t xml:space="preserve">as an entry condition (public reproducible-build attestation is referenced from the Linux/</w:t>
            </w:r>
            <w:r>
              <w:rPr>
                <w:rStyle w:val="VerbatimChar"/>
              </w:rPr>
              <w:t xml:space="preserve">.AppImage</w:t>
            </w:r>
            <w:r>
              <w:t xml:space="preserve"> </w:t>
            </w:r>
            <w:r>
              <w:t xml:space="preserve">app-store listing, §3.3) but does not re-specify the reproducible-build mechanism itself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Billing-optional multi-tenant foundation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HVPN-P3-E24</w:t>
            </w:r>
            <w:r>
              <w:t xml:space="preserve"> </w:t>
            </w:r>
            <w:r>
              <w:t xml:space="preserve">(same document)</w:t>
            </w:r>
          </w:p>
        </w:tc>
        <w:tc>
          <w:tcPr/>
          <w:p>
            <w:pPr>
              <w:pStyle w:val="Compact"/>
            </w:pPr>
            <w:r>
              <w:t xml:space="preserve">Superseded in practice by the fuller organization/billing model in</w:t>
            </w:r>
            <w:r>
              <w:t xml:space="preserve"> </w:t>
            </w:r>
            <w:r>
              <w:rPr>
                <w:rStyle w:val="VerbatimChar"/>
              </w:rPr>
              <w:t xml:space="preserve">mvp3/MVP3_ENTERPRISE_SCALE.md</w:t>
            </w:r>
            <w:r>
              <w:t xml:space="preserve"> </w:t>
            </w:r>
            <w:r>
              <w:t xml:space="preserve">§3, §8 — GA readiness's pricing/legal work (§3.1, §3.2) operates on the</w:t>
            </w:r>
            <w:r>
              <w:t xml:space="preserve"> </w:t>
            </w:r>
            <w:r>
              <w:rPr>
                <w:rStyle w:val="VerbatimChar"/>
              </w:rPr>
              <w:t xml:space="preserve">mvp3/</w:t>
            </w:r>
            <w:r>
              <w:t xml:space="preserve"> </w:t>
            </w:r>
            <w:r>
              <w:t xml:space="preserve">model, which is additive on top of</w:t>
            </w:r>
            <w:r>
              <w:t xml:space="preserve"> </w:t>
            </w:r>
            <w:r>
              <w:rPr>
                <w:rStyle w:val="VerbatimChar"/>
              </w:rPr>
              <w:t xml:space="preserve">E24</w:t>
            </w:r>
            <w:r>
              <w:t xml:space="preserve">'s schema, not a replacement of 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5be60ae5ebae668cef259e1438e1ead308032a0"/>
    <w:p>
      <w:pPr>
        <w:pStyle w:val="Heading2"/>
      </w:pPr>
      <w:r>
        <w:t xml:space="preserve">7. Decision register (operator input needed)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Resolved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D-GA-1</w:t>
            </w:r>
          </w:p>
        </w:tc>
        <w:tc>
          <w:tcPr/>
          <w:p>
            <w:pPr>
              <w:pStyle w:val="Compact"/>
            </w:pPr>
            <w:r>
              <w:t xml:space="preserve">Exact pricing (§3.1)</w:t>
            </w:r>
          </w:p>
        </w:tc>
        <w:tc>
          <w:tcPr/>
          <w:p>
            <w:pPr>
              <w:pStyle w:val="Compact"/>
            </w:pPr>
            <w:r>
              <w:t xml:space="preserve">per-tier $ amounts, monthly vs. annual, overage pricing</w:t>
            </w:r>
          </w:p>
        </w:tc>
        <w:tc>
          <w:tcPr/>
          <w:p>
            <w:pPr>
              <w:pStyle w:val="Compact"/>
            </w:pPr>
            <w:r>
              <w:t xml:space="preserve">not specified — the single highest-priority open business decision blocking GA</w:t>
            </w:r>
          </w:p>
        </w:tc>
        <w:tc>
          <w:tcPr/>
          <w:p>
            <w:pPr>
              <w:pStyle w:val="Compact"/>
            </w:pPr>
            <w:r>
              <w:t xml:space="preserve">operator + go-to-market, before</w:t>
            </w:r>
            <w:r>
              <w:t xml:space="preserve"> </w:t>
            </w:r>
            <w:r>
              <w:rPr>
                <w:rStyle w:val="VerbatimChar"/>
              </w:rPr>
              <w:t xml:space="preserve">HVPN-GA-420</w:t>
            </w:r>
            <w:r>
              <w:t xml:space="preserve"> </w:t>
            </w:r>
            <w:r>
              <w:t xml:space="preserve">starts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D-GA-2</w:t>
            </w:r>
          </w:p>
        </w:tc>
        <w:tc>
          <w:tcPr/>
          <w:p>
            <w:pPr>
              <w:pStyle w:val="Compact"/>
            </w:pPr>
            <w:r>
              <w:t xml:space="preserve">LTS cadence (§4.1)</w:t>
            </w:r>
          </w:p>
        </w:tc>
        <w:tc>
          <w:tcPr/>
          <w:p>
            <w:pPr>
              <w:pStyle w:val="Compact"/>
            </w:pPr>
            <w:r>
              <w:t xml:space="preserve">e.g. "every 4th minor," calendar-based ("every 6 months"), or no formal LTS (rolling support only)</w:t>
            </w:r>
          </w:p>
        </w:tc>
        <w:tc>
          <w:tcPr/>
          <w:p>
            <w:pPr>
              <w:pStyle w:val="Compact"/>
            </w:pPr>
            <w:r>
              <w:t xml:space="preserve">recommend calendar-based (simpler to communicate publicly) but not decided here</w:t>
            </w:r>
          </w:p>
        </w:tc>
        <w:tc>
          <w:tcPr/>
          <w:p>
            <w:pPr>
              <w:pStyle w:val="Compact"/>
            </w:pPr>
            <w:r>
              <w:t xml:space="preserve">operator, before</w:t>
            </w:r>
            <w:r>
              <w:t xml:space="preserve"> </w:t>
            </w:r>
            <w:r>
              <w:rPr>
                <w:rStyle w:val="VerbatimChar"/>
              </w:rPr>
              <w:t xml:space="preserve">HVPN-GA-430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D-GA-3</w:t>
            </w:r>
          </w:p>
        </w:tc>
        <w:tc>
          <w:tcPr/>
          <w:p>
            <w:pPr>
              <w:pStyle w:val="Compact"/>
            </w:pPr>
            <w:r>
              <w:t xml:space="preserve">Security-patch SLA numbers (§4.4)</w:t>
            </w:r>
          </w:p>
        </w:tc>
        <w:tc>
          <w:tcPr/>
          <w:p>
            <w:pPr>
              <w:pStyle w:val="Compact"/>
            </w:pPr>
            <w:r>
              <w:t xml:space="preserve">the 72h/2wk/next-release table as drafted, or tighter/looser per legal &amp; insurance requirements</w:t>
            </w:r>
          </w:p>
        </w:tc>
        <w:tc>
          <w:tcPr/>
          <w:p>
            <w:pPr>
              <w:pStyle w:val="Compact"/>
            </w:pPr>
            <w:r>
              <w:t xml:space="preserve">draft table proposed; confirm before publishing</w:t>
            </w:r>
          </w:p>
        </w:tc>
        <w:tc>
          <w:tcPr/>
          <w:p>
            <w:pPr>
              <w:pStyle w:val="Compact"/>
            </w:pPr>
            <w:r>
              <w:t xml:space="preserve">operator + legal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D-GA-4</w:t>
            </w:r>
          </w:p>
        </w:tc>
        <w:tc>
          <w:tcPr/>
          <w:p>
            <w:pPr>
              <w:pStyle w:val="Compact"/>
            </w:pPr>
            <w:r>
              <w:t xml:space="preserve">Which compliance certification (if any) to have completed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GA vs. pursued post-GA</w:t>
            </w:r>
          </w:p>
        </w:tc>
        <w:tc>
          <w:tcPr/>
          <w:p>
            <w:pPr>
              <w:pStyle w:val="Compact"/>
            </w:pPr>
            <w:r>
              <w:t xml:space="preserve">SOC2 Type II before GA (slower, stronger enterprise signal) vs. after GA (faster launch, retrofit risk)</w:t>
            </w:r>
          </w:p>
        </w:tc>
        <w:tc>
          <w:tcPr/>
          <w:p>
            <w:pPr>
              <w:pStyle w:val="Compact"/>
            </w:pPr>
            <w:r>
              <w:t xml:space="preserve">cross-references</w:t>
            </w:r>
            <w:r>
              <w:t xml:space="preserve"> </w:t>
            </w:r>
            <w:r>
              <w:rPr>
                <w:rStyle w:val="VerbatimChar"/>
              </w:rPr>
              <w:t xml:space="preserve">mvp3/MVP3_ENTERPRISE_SCALE.md</w:t>
            </w:r>
            <w:r>
              <w:t xml:space="preserve"> </w:t>
            </w:r>
            <w:r>
              <w:t xml:space="preserve">D-ENT-3 — same underlying decision, restated here because it also gates the enterprise app-store/legal claims in §3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D-GA-5</w:t>
            </w:r>
          </w:p>
        </w:tc>
        <w:tc>
          <w:tcPr/>
          <w:p>
            <w:pPr>
              <w:pStyle w:val="Compact"/>
            </w:pPr>
            <w:r>
              <w:t xml:space="preserve">Launch sequencing across the 8 platforms (§3.3) — simultaneous GA on all 8, or staged (Tier-1 first per</w:t>
            </w:r>
            <w:r>
              <w:t xml:space="preserve"> </w:t>
            </w:r>
            <w:r>
              <w:rPr>
                <w:rStyle w:val="VerbatimChar"/>
              </w:rPr>
              <w:t xml:space="preserve">mvp2/MVP2_OVERVIEW.md</w:t>
            </w:r>
            <w:r>
              <w:t xml:space="preserve"> </w:t>
            </w:r>
            <w:r>
              <w:t xml:space="preserve">§4.2 priority tiers, HarmonyOS/Aurora once</w:t>
            </w:r>
            <w:r>
              <w:t xml:space="preserve"> </w:t>
            </w:r>
            <w:r>
              <w:rPr>
                <w:rStyle w:val="VerbatimChar"/>
              </w:rPr>
              <w:t xml:space="preserve">G21</w:t>
            </w:r>
            <w:r>
              <w:t xml:space="preserve">/</w:t>
            </w:r>
            <w:r>
              <w:rPr>
                <w:rStyle w:val="VerbatimChar"/>
              </w:rPr>
              <w:t xml:space="preserve">G22</w:t>
            </w:r>
            <w:r>
              <w:t xml:space="preserve"> </w:t>
            </w:r>
            <w:r>
              <w:t xml:space="preserve">are genuinely device-proven)</w:t>
            </w:r>
          </w:p>
        </w:tc>
        <w:tc>
          <w:tcPr/>
          <w:p>
            <w:pPr>
              <w:pStyle w:val="Compact"/>
            </w:pPr>
            <w:r>
              <w:t xml:space="preserve">simultaneous vs. staged</w:t>
            </w:r>
          </w:p>
        </w:tc>
        <w:tc>
          <w:tcPr/>
          <w:p>
            <w:pPr>
              <w:pStyle w:val="Compact"/>
            </w:pPr>
            <w:r>
              <w:t xml:space="preserve">recommend staged, gated by</w:t>
            </w:r>
            <w:r>
              <w:t xml:space="preserve"> </w:t>
            </w:r>
            <w:r>
              <w:rPr>
                <w:rStyle w:val="VerbatimChar"/>
              </w:rPr>
              <w:t xml:space="preserve">mvp/final</w:t>
            </w:r>
            <w:r>
              <w:t xml:space="preserve"> </w:t>
            </w:r>
            <w:r>
              <w:rPr>
                <w:rStyle w:val="VerbatimChar"/>
              </w:rPr>
              <w:t xml:space="preserve">G21</w:t>
            </w:r>
            <w:r>
              <w:t xml:space="preserve">/</w:t>
            </w:r>
            <w:r>
              <w:rPr>
                <w:rStyle w:val="VerbatimChar"/>
              </w:rPr>
              <w:t xml:space="preserve">G22</w:t>
            </w:r>
            <w:r>
              <w:t xml:space="preserve"> </w:t>
            </w:r>
            <w:r>
              <w:t xml:space="preserve">device-proof status (avoids the honest</w:t>
            </w:r>
            <w:r>
              <w:t xml:space="preserve"> </w:t>
            </w:r>
            <w:r>
              <w:rPr>
                <w:rStyle w:val="VerbatimChar"/>
              </w:rPr>
              <w:t xml:space="preserve">PENDING_DEVICE</w:t>
            </w:r>
            <w:r>
              <w:t xml:space="preserve"> </w:t>
            </w:r>
            <w:r>
              <w:t xml:space="preserve">items in that WBS blocking the entire GA date)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docs/research/mvp3/MVP3_ENTERPRISE_SCALE.md</w:t>
      </w:r>
      <w:r>
        <w:t xml:space="preserve"> </w:t>
      </w:r>
      <w:r>
        <w:t xml:space="preserve">— the immediately-preceding phase this document depends on; entry condition, org/billing/SLA schema this document's go-to-market section builds on.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docs/research/mvp/final/09-phase3-reach-wbs.md</w:t>
      </w:r>
      <w:r>
        <w:t xml:space="preserve"> </w:t>
      </w:r>
      <w:r>
        <w:t xml:space="preserve">— pre-existing third-party audit (</w:t>
      </w:r>
      <w:r>
        <w:rPr>
          <w:rStyle w:val="VerbatimChar"/>
        </w:rPr>
        <w:t xml:space="preserve">E25</w:t>
      </w:r>
      <w:r>
        <w:t xml:space="preserve">/</w:t>
      </w:r>
      <w:r>
        <w:rPr>
          <w:rStyle w:val="VerbatimChar"/>
        </w:rPr>
        <w:t xml:space="preserve">G25</w:t>
      </w:r>
      <w:r>
        <w:t xml:space="preserve">) and reproducible-builds (</w:t>
      </w:r>
      <w:r>
        <w:rPr>
          <w:rStyle w:val="VerbatimChar"/>
        </w:rPr>
        <w:t xml:space="preserve">E26</w:t>
      </w:r>
      <w:r>
        <w:t xml:space="preserve">/</w:t>
      </w:r>
      <w:r>
        <w:rPr>
          <w:rStyle w:val="VerbatimChar"/>
        </w:rPr>
        <w:t xml:space="preserve">G26</w:t>
      </w:r>
      <w:r>
        <w:t xml:space="preserve">) epics, reconciled in §6.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docs/research/mvp/final/v06-deploy/ha-and-multiregion.md</w:t>
      </w:r>
      <w:r>
        <w:t xml:space="preserve"> </w:t>
      </w:r>
      <w:r>
        <w:t xml:space="preserve">— chaos-test discipline extended to commercial scale in §2.3.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docs/research/mvp/final/SPECIFICATION.md</w:t>
      </w:r>
      <w:r>
        <w:t xml:space="preserve"> </w:t>
      </w:r>
      <w:r>
        <w:t xml:space="preserve">— schema-first/zero-drift principle (§4 clause 8), the basis for §4.2/§4.3's deprecation and compatibility guarantees.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docs/research/mvp/final/v04-client/ffi-surface.md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helix-ffi</w:t>
      </w:r>
      <w:r>
        <w:t xml:space="preserve"> </w:t>
      </w:r>
      <w:r>
        <w:t xml:space="preserve">surface whose backward-compatibility guarantee is specified in §4.3.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docs/research/mvp2/MVP2_OVERVIEW.md</w:t>
      </w:r>
      <w:r>
        <w:t xml:space="preserve"> </w:t>
      </w:r>
      <w:r>
        <w:t xml:space="preserve">— the 8-platform matrix and priority tiers enumerated in §3.3.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docs/research/UNIFIED_PHASE_ROADMAP.md</w:t>
      </w:r>
      <w:r>
        <w:t xml:space="preserve"> </w:t>
      </w:r>
      <w:r>
        <w:t xml:space="preserve">— full phase reconciliation, read alongside this document.</w:t>
      </w:r>
    </w:p>
    <w:p>
      <w:pPr>
        <w:pStyle w:val="FirstParagraph"/>
      </w:pPr>
      <w:r>
        <w:rPr>
          <w:i/>
          <w:iCs/>
        </w:rPr>
        <w:t xml:space="preserve">End of Final Phase (GA Readiness) specification.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HelixVPN — Final Phase: General Availability (GA) Readiness</dc:title>
  <dc:creator/>
  <cp:keywords/>
  <dcterms:created xsi:type="dcterms:W3CDTF">2026-07-04T13:55:52Z</dcterms:created>
  <dcterms:modified xsi:type="dcterms:W3CDTF">2026-07-04T13:55:52Z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