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8F8"/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36"/>
      </w:tblGrid>
      <w:tr w:rsidR="00692703" w:rsidRPr="00CF1A49" w14:paraId="028C302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0510AE3" w14:textId="77777777" w:rsidR="00407DA8" w:rsidRDefault="000808F5" w:rsidP="00407DA8">
            <w:pPr>
              <w:pStyle w:val="Title"/>
              <w:spacing w:before="60" w:after="60"/>
              <w:jc w:val="left"/>
              <w:rPr>
                <w:rFonts w:ascii="Franklin Gothic Demi" w:hAnsi="Franklin Gothic Demi"/>
                <w:caps w:val="0"/>
                <w:color w:val="1D824C" w:themeColor="accent1"/>
                <w:sz w:val="24"/>
                <w:szCs w:val="24"/>
              </w:rPr>
            </w:pPr>
            <w:r>
              <w:rPr>
                <w:rFonts w:ascii="Franklin Gothic Demi" w:hAnsi="Franklin Gothic Demi"/>
                <w:caps w:val="0"/>
                <w:color w:val="1D824C" w:themeColor="accent1"/>
                <w:sz w:val="24"/>
                <w:szCs w:val="24"/>
              </w:rPr>
              <w:t xml:space="preserve">   </w:t>
            </w:r>
          </w:p>
          <w:p w14:paraId="001B7C1D" w14:textId="77777777" w:rsidR="00692703" w:rsidRPr="00407DA8" w:rsidRDefault="000808F5" w:rsidP="00407DA8">
            <w:pPr>
              <w:pStyle w:val="Title"/>
              <w:spacing w:before="60" w:after="60"/>
              <w:jc w:val="left"/>
              <w:rPr>
                <w:color w:val="1D824C" w:themeColor="accent1"/>
                <w:sz w:val="24"/>
                <w:szCs w:val="24"/>
              </w:rPr>
            </w:pPr>
            <w:r>
              <w:rPr>
                <w:rFonts w:ascii="Franklin Gothic Demi" w:hAnsi="Franklin Gothic Demi"/>
                <w:caps w:val="0"/>
                <w:color w:val="1D824C" w:themeColor="accent1"/>
                <w:sz w:val="24"/>
                <w:szCs w:val="24"/>
              </w:rPr>
              <w:t xml:space="preserve"> </w:t>
            </w:r>
            <w:r w:rsidR="00407DA8">
              <w:rPr>
                <w:rFonts w:ascii="Franklin Gothic Demi" w:hAnsi="Franklin Gothic Demi"/>
                <w:caps w:val="0"/>
                <w:color w:val="1D824C" w:themeColor="accent1"/>
                <w:sz w:val="24"/>
                <w:szCs w:val="24"/>
              </w:rPr>
              <w:t xml:space="preserve">   </w:t>
            </w:r>
            <w:r w:rsidR="00D72C2E" w:rsidRPr="00D72C2E">
              <w:rPr>
                <w:rFonts w:ascii="Franklin Gothic Demi" w:hAnsi="Franklin Gothic Demi"/>
                <w:caps w:val="0"/>
                <w:color w:val="1D824C" w:themeColor="accent1"/>
                <w:sz w:val="24"/>
                <w:szCs w:val="24"/>
              </w:rPr>
              <w:t xml:space="preserve">Course Title:  </w:t>
            </w:r>
            <w:r w:rsidR="00407DA8">
              <w:rPr>
                <w:rFonts w:ascii="Franklin Gothic Demi" w:hAnsi="Franklin Gothic Demi"/>
                <w:caps w:val="0"/>
                <w:color w:val="1D824C" w:themeColor="accent1"/>
                <w:sz w:val="24"/>
                <w:szCs w:val="24"/>
              </w:rPr>
              <w:t xml:space="preserve">     </w:t>
            </w:r>
            <w:r w:rsidR="00407DA8" w:rsidRPr="00B4319A">
              <w:rPr>
                <w:rFonts w:ascii="Franklin Gothic Demi" w:hAnsi="Franklin Gothic Demi"/>
                <w:color w:val="auto"/>
                <w:sz w:val="30"/>
                <w:szCs w:val="30"/>
              </w:rPr>
              <w:t>Sociology of Crime</w:t>
            </w:r>
            <w:r w:rsidR="00407DA8">
              <w:rPr>
                <w:rFonts w:ascii="Franklin Gothic Demi" w:hAnsi="Franklin Gothic Demi"/>
                <w:color w:val="auto"/>
                <w:sz w:val="24"/>
                <w:szCs w:val="24"/>
              </w:rPr>
              <w:t xml:space="preserve">  </w:t>
            </w:r>
            <w:r w:rsidR="00C94172">
              <w:rPr>
                <w:rFonts w:ascii="Franklin Gothic Demi" w:hAnsi="Franklin Gothic Demi"/>
                <w:color w:val="auto"/>
                <w:sz w:val="24"/>
                <w:szCs w:val="24"/>
              </w:rPr>
              <w:t xml:space="preserve"> </w:t>
            </w:r>
            <w:r w:rsidR="00407DA8" w:rsidRPr="00C94172">
              <w:rPr>
                <w:rFonts w:ascii="Franklin Gothic Demi" w:hAnsi="Franklin Gothic Demi"/>
                <w:color w:val="auto"/>
                <w:sz w:val="22"/>
                <w:szCs w:val="22"/>
              </w:rPr>
              <w:t>(</w:t>
            </w:r>
            <w:proofErr w:type="spellStart"/>
            <w:r w:rsidR="00407DA8" w:rsidRPr="00C94172">
              <w:rPr>
                <w:rFonts w:ascii="Franklin Gothic Demi" w:eastAsia="Malgun Gothic" w:hAnsi="Franklin Gothic Demi"/>
                <w:b/>
                <w:color w:val="auto"/>
                <w:sz w:val="20"/>
                <w:szCs w:val="20"/>
              </w:rPr>
              <w:t>범죄사회학</w:t>
            </w:r>
            <w:proofErr w:type="spellEnd"/>
            <w:r w:rsidR="00407DA8" w:rsidRPr="00C94172">
              <w:rPr>
                <w:rFonts w:ascii="Franklin Gothic Demi" w:hAnsi="Franklin Gothic Demi"/>
                <w:color w:val="auto"/>
                <w:sz w:val="22"/>
                <w:szCs w:val="22"/>
              </w:rPr>
              <w:t>)</w:t>
            </w:r>
            <w:r w:rsidR="00407DA8" w:rsidRPr="00407DA8">
              <w:rPr>
                <w:rFonts w:ascii="Franklin Gothic Demi" w:hAnsi="Franklin Gothic Demi"/>
                <w:b/>
                <w:color w:val="auto"/>
                <w:sz w:val="22"/>
                <w:szCs w:val="22"/>
              </w:rPr>
              <w:t xml:space="preserve">   </w:t>
            </w:r>
            <w:r w:rsidR="00407DA8" w:rsidRPr="00407DA8">
              <w:rPr>
                <w:rFonts w:ascii="Franklin Gothic Demi" w:hAnsi="Franklin Gothic Demi"/>
                <w:color w:val="auto"/>
                <w:sz w:val="22"/>
                <w:szCs w:val="22"/>
              </w:rPr>
              <w:t xml:space="preserve">(30205-01)                                                                                        </w:t>
            </w:r>
          </w:p>
          <w:p w14:paraId="39750940" w14:textId="77777777" w:rsidR="00D72C2E" w:rsidRPr="009F67D2" w:rsidRDefault="000808F5" w:rsidP="00464E8C">
            <w:pPr>
              <w:pStyle w:val="ContactInfoEmphasis"/>
              <w:spacing w:before="60" w:after="60"/>
              <w:contextualSpacing w:val="0"/>
              <w:jc w:val="both"/>
              <w:rPr>
                <w:rFonts w:ascii="Franklin Gothic Demi" w:hAnsi="Franklin Gothic Demi"/>
                <w:b w:val="0"/>
                <w:color w:val="auto"/>
                <w:sz w:val="24"/>
                <w:szCs w:val="24"/>
              </w:rPr>
            </w:pPr>
            <w:r>
              <w:rPr>
                <w:rFonts w:ascii="Franklin Gothic Demi" w:hAnsi="Franklin Gothic Demi"/>
                <w:b w:val="0"/>
                <w:sz w:val="24"/>
                <w:szCs w:val="24"/>
              </w:rPr>
              <w:t xml:space="preserve">    </w:t>
            </w:r>
            <w:r w:rsidR="00D72C2E">
              <w:rPr>
                <w:rFonts w:ascii="Franklin Gothic Demi" w:hAnsi="Franklin Gothic Demi"/>
                <w:b w:val="0"/>
                <w:sz w:val="24"/>
                <w:szCs w:val="24"/>
              </w:rPr>
              <w:t>Class Times:</w:t>
            </w:r>
            <w:r w:rsidR="009F67D2">
              <w:rPr>
                <w:rFonts w:ascii="Franklin Gothic Demi" w:hAnsi="Franklin Gothic Demi"/>
                <w:b w:val="0"/>
                <w:sz w:val="24"/>
                <w:szCs w:val="24"/>
              </w:rPr>
              <w:t xml:space="preserve"> </w:t>
            </w:r>
            <w:r w:rsidR="009F67D2">
              <w:rPr>
                <w:rFonts w:ascii="Franklin Gothic Demi" w:hAnsi="Franklin Gothic Demi"/>
                <w:b w:val="0"/>
                <w:color w:val="auto"/>
                <w:sz w:val="24"/>
                <w:szCs w:val="24"/>
              </w:rPr>
              <w:t xml:space="preserve">      Monday, 12:30-1:45,  Thursday, 2:00-3:15</w:t>
            </w:r>
          </w:p>
          <w:p w14:paraId="59F0B63D" w14:textId="79A22FE8" w:rsidR="00D72C2E" w:rsidRPr="00D72C2E" w:rsidRDefault="009F67D2" w:rsidP="00464E8C">
            <w:pPr>
              <w:pStyle w:val="ContactInfoEmphasis"/>
              <w:spacing w:before="60" w:after="60"/>
              <w:contextualSpacing w:val="0"/>
              <w:jc w:val="both"/>
              <w:rPr>
                <w:rFonts w:ascii="Franklin Gothic Demi" w:hAnsi="Franklin Gothic Demi"/>
                <w:b w:val="0"/>
                <w:sz w:val="24"/>
                <w:szCs w:val="24"/>
              </w:rPr>
            </w:pPr>
            <w:r>
              <w:rPr>
                <w:noProof/>
                <w:lang w:val="en-NZ" w:eastAsia="zh-CN"/>
              </w:rPr>
              <w:drawing>
                <wp:anchor distT="0" distB="0" distL="114300" distR="114300" simplePos="0" relativeHeight="251659264" behindDoc="1" locked="0" layoutInCell="1" allowOverlap="1" wp14:anchorId="18760CF4" wp14:editId="03DBA2D1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109855</wp:posOffset>
                  </wp:positionV>
                  <wp:extent cx="3615055" cy="1828780"/>
                  <wp:effectExtent l="0" t="0" r="4445" b="635"/>
                  <wp:wrapNone/>
                  <wp:docPr id="15" name="Picture 15" descr="https://manoa.hawaii.edu/mix/wp-content/uploads/2017/11/WV7G2510-2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noa.hawaii.edu/mix/wp-content/uploads/2017/11/WV7G2510-2000x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126" cy="18318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7DA8" w:rsidRPr="007F4AD3">
              <w:rPr>
                <w:rFonts w:ascii="Franklin Gothic Medium" w:hAnsi="Franklin Gothic Medium"/>
                <w:b w:val="0"/>
                <w:noProof/>
                <w:sz w:val="24"/>
                <w:szCs w:val="24"/>
                <w:lang w:val="en-NZ" w:eastAsia="zh-CN"/>
              </w:rPr>
              <w:drawing>
                <wp:anchor distT="0" distB="0" distL="114300" distR="114300" simplePos="0" relativeHeight="251660288" behindDoc="1" locked="0" layoutInCell="1" allowOverlap="1" wp14:anchorId="1C01EBEB" wp14:editId="10C44E7F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247015</wp:posOffset>
                  </wp:positionV>
                  <wp:extent cx="754380" cy="957215"/>
                  <wp:effectExtent l="0" t="0" r="7620" b="0"/>
                  <wp:wrapNone/>
                  <wp:docPr id="2" name="Picture 2" descr="C:\Users\SAMSUNG\Pictures\Profile pic 2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Pictures\Profile pic 2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344" cy="96732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08F5">
              <w:rPr>
                <w:rFonts w:ascii="Franklin Gothic Demi" w:hAnsi="Franklin Gothic Demi"/>
                <w:b w:val="0"/>
                <w:sz w:val="24"/>
                <w:szCs w:val="24"/>
              </w:rPr>
              <w:t xml:space="preserve">    </w:t>
            </w:r>
            <w:r w:rsidR="00D72C2E">
              <w:rPr>
                <w:rFonts w:ascii="Franklin Gothic Demi" w:hAnsi="Franklin Gothic Demi"/>
                <w:b w:val="0"/>
                <w:sz w:val="24"/>
                <w:szCs w:val="24"/>
              </w:rPr>
              <w:t>Classroom:</w:t>
            </w:r>
            <w:r w:rsidR="007A6788">
              <w:rPr>
                <w:rFonts w:ascii="Franklin Gothic Demi" w:hAnsi="Franklin Gothic Demi"/>
                <w:b w:val="0"/>
                <w:sz w:val="24"/>
                <w:szCs w:val="24"/>
              </w:rPr>
              <w:t xml:space="preserve">         </w:t>
            </w:r>
            <w:r w:rsidR="007A6788" w:rsidRPr="007A6788">
              <w:rPr>
                <w:rFonts w:ascii="Franklin Gothic Demi" w:hAnsi="Franklin Gothic Demi"/>
                <w:b w:val="0"/>
                <w:color w:val="auto"/>
                <w:sz w:val="24"/>
                <w:szCs w:val="24"/>
              </w:rPr>
              <w:t>Online (at least to begin with)</w:t>
            </w:r>
          </w:p>
        </w:tc>
      </w:tr>
      <w:tr w:rsidR="009571D8" w:rsidRPr="00CF1A49" w14:paraId="1E6D7414" w14:textId="77777777" w:rsidTr="00692703">
        <w:tc>
          <w:tcPr>
            <w:tcW w:w="9360" w:type="dxa"/>
            <w:tcMar>
              <w:top w:w="432" w:type="dxa"/>
            </w:tcMar>
          </w:tcPr>
          <w:p w14:paraId="57203AE2" w14:textId="77777777" w:rsidR="00D72C2E" w:rsidRPr="007F4AD3" w:rsidRDefault="00464E8C" w:rsidP="00D72C2E">
            <w:pPr>
              <w:pStyle w:val="ContactInfoEmphasis"/>
              <w:spacing w:before="60" w:after="60"/>
              <w:contextualSpacing w:val="0"/>
              <w:jc w:val="both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>
              <w:rPr>
                <w:rFonts w:ascii="Franklin Gothic Medium" w:hAnsi="Franklin Gothic Medium"/>
                <w:b w:val="0"/>
                <w:sz w:val="24"/>
                <w:szCs w:val="24"/>
              </w:rPr>
              <w:t xml:space="preserve">        </w:t>
            </w:r>
            <w:r w:rsidR="00D72C2E" w:rsidRPr="00407DA8">
              <w:rPr>
                <w:rFonts w:ascii="Franklin Gothic Medium" w:hAnsi="Franklin Gothic Medium"/>
                <w:sz w:val="24"/>
                <w:szCs w:val="24"/>
              </w:rPr>
              <w:t>Lecturer</w:t>
            </w:r>
            <w:r w:rsidR="00D72C2E" w:rsidRPr="007F4AD3">
              <w:rPr>
                <w:rFonts w:ascii="Franklin Gothic Medium" w:hAnsi="Franklin Gothic Medium"/>
                <w:b w:val="0"/>
                <w:sz w:val="24"/>
                <w:szCs w:val="24"/>
              </w:rPr>
              <w:t xml:space="preserve">:       </w:t>
            </w:r>
            <w:r w:rsidR="000808F5" w:rsidRPr="007F4AD3">
              <w:rPr>
                <w:rFonts w:ascii="Franklin Gothic Medium" w:hAnsi="Franklin Gothic Medium"/>
                <w:b w:val="0"/>
                <w:sz w:val="24"/>
                <w:szCs w:val="24"/>
              </w:rPr>
              <w:t xml:space="preserve">     </w:t>
            </w:r>
            <w:r w:rsidR="00280FD4" w:rsidRPr="007F4AD3">
              <w:rPr>
                <w:rFonts w:ascii="Franklin Gothic Medium" w:hAnsi="Franklin Gothic Medium"/>
                <w:b w:val="0"/>
                <w:sz w:val="24"/>
                <w:szCs w:val="24"/>
              </w:rPr>
              <w:t xml:space="preserve">   </w:t>
            </w:r>
            <w:r w:rsidR="00D72C2E" w:rsidRPr="00464E8C">
              <w:rPr>
                <w:rFonts w:ascii="Franklin Gothic Medium" w:hAnsi="Franklin Gothic Medium"/>
                <w:color w:val="auto"/>
                <w:sz w:val="24"/>
                <w:szCs w:val="24"/>
              </w:rPr>
              <w:t>Trent Bax</w:t>
            </w:r>
            <w:r w:rsidR="00280FD4" w:rsidRPr="007F4AD3">
              <w:rPr>
                <w:rFonts w:ascii="Franklin Gothic Medium" w:hAnsi="Franklin Gothic Medium"/>
                <w:b w:val="0"/>
                <w:color w:val="auto"/>
                <w:sz w:val="24"/>
                <w:szCs w:val="24"/>
              </w:rPr>
              <w:t xml:space="preserve"> (Sociology</w:t>
            </w:r>
            <w:r w:rsidR="00D72C2E" w:rsidRPr="007F4AD3">
              <w:rPr>
                <w:rFonts w:ascii="Franklin Gothic Medium" w:hAnsi="Franklin Gothic Medium"/>
                <w:b w:val="0"/>
                <w:color w:val="auto"/>
                <w:sz w:val="24"/>
                <w:szCs w:val="24"/>
              </w:rPr>
              <w:t>)</w:t>
            </w:r>
          </w:p>
          <w:p w14:paraId="0A7FCD78" w14:textId="77777777" w:rsidR="0001214A" w:rsidRPr="007F4AD3" w:rsidRDefault="00D72C2E" w:rsidP="00280FD4">
            <w:pPr>
              <w:pStyle w:val="ContactInfoEmphasis"/>
              <w:tabs>
                <w:tab w:val="left" w:pos="1572"/>
              </w:tabs>
              <w:spacing w:before="60" w:after="60"/>
              <w:contextualSpacing w:val="0"/>
              <w:jc w:val="both"/>
              <w:rPr>
                <w:rFonts w:ascii="Franklin Gothic Medium" w:hAnsi="Franklin Gothic Medium"/>
                <w:b w:val="0"/>
              </w:rPr>
            </w:pPr>
            <w:r w:rsidRPr="007F4AD3">
              <w:rPr>
                <w:rFonts w:ascii="Franklin Gothic Medium" w:hAnsi="Franklin Gothic Medium"/>
                <w:b w:val="0"/>
              </w:rPr>
              <w:t xml:space="preserve">  </w:t>
            </w:r>
            <w:r w:rsidR="0001214A" w:rsidRPr="007F4AD3">
              <w:rPr>
                <w:rFonts w:ascii="Franklin Gothic Medium" w:hAnsi="Franklin Gothic Medium"/>
                <w:b w:val="0"/>
              </w:rPr>
              <w:t xml:space="preserve"> </w:t>
            </w:r>
            <w:r w:rsidR="00280FD4" w:rsidRPr="007F4AD3">
              <w:rPr>
                <w:rFonts w:ascii="Franklin Gothic Medium" w:hAnsi="Franklin Gothic Medium"/>
                <w:b w:val="0"/>
              </w:rPr>
              <w:tab/>
            </w:r>
          </w:p>
          <w:p w14:paraId="63FA2525" w14:textId="77777777" w:rsidR="00D72C2E" w:rsidRPr="007F4AD3" w:rsidRDefault="0001214A" w:rsidP="00D72C2E">
            <w:pPr>
              <w:pStyle w:val="ContactInfoEmphasis"/>
              <w:spacing w:before="60" w:after="60"/>
              <w:contextualSpacing w:val="0"/>
              <w:jc w:val="both"/>
              <w:rPr>
                <w:rFonts w:ascii="Franklin Gothic Medium" w:hAnsi="Franklin Gothic Medium"/>
                <w:b w:val="0"/>
              </w:rPr>
            </w:pPr>
            <w:r w:rsidRPr="007F4AD3">
              <w:rPr>
                <w:rFonts w:ascii="Franklin Gothic Medium" w:hAnsi="Franklin Gothic Medium"/>
                <w:b w:val="0"/>
              </w:rPr>
              <w:t xml:space="preserve">   </w:t>
            </w:r>
            <w:r w:rsidR="007F4AD3">
              <w:rPr>
                <w:rFonts w:ascii="Franklin Gothic Medium" w:hAnsi="Franklin Gothic Medium"/>
                <w:b w:val="0"/>
              </w:rPr>
              <w:t xml:space="preserve">     </w:t>
            </w:r>
            <w:r w:rsidR="00D72C2E" w:rsidRPr="007F4AD3">
              <w:rPr>
                <w:rFonts w:ascii="Franklin Gothic Medium" w:hAnsi="Franklin Gothic Medium"/>
                <w:b w:val="0"/>
              </w:rPr>
              <w:t>Office number:</w:t>
            </w:r>
            <w:r w:rsidR="000808F5" w:rsidRPr="007F4AD3">
              <w:rPr>
                <w:rFonts w:ascii="Franklin Gothic Medium" w:hAnsi="Franklin Gothic Medium"/>
                <w:b w:val="0"/>
              </w:rPr>
              <w:t xml:space="preserve">  </w:t>
            </w:r>
            <w:r w:rsidR="00280FD4" w:rsidRPr="007F4AD3">
              <w:rPr>
                <w:rFonts w:ascii="Franklin Gothic Medium" w:hAnsi="Franklin Gothic Medium"/>
                <w:b w:val="0"/>
              </w:rPr>
              <w:t xml:space="preserve"> </w:t>
            </w:r>
            <w:r w:rsidR="007F4AD3">
              <w:rPr>
                <w:rFonts w:ascii="Franklin Gothic Medium" w:hAnsi="Franklin Gothic Medium"/>
                <w:b w:val="0"/>
              </w:rPr>
              <w:t xml:space="preserve">     </w:t>
            </w:r>
            <w:r w:rsidR="00D72C2E" w:rsidRPr="007F4AD3">
              <w:rPr>
                <w:rFonts w:ascii="Franklin Gothic Medium" w:hAnsi="Franklin Gothic Medium"/>
                <w:b w:val="0"/>
                <w:color w:val="auto"/>
              </w:rPr>
              <w:t>201-2  (POSCO Building)</w:t>
            </w:r>
          </w:p>
          <w:p w14:paraId="0E6FF142" w14:textId="77777777" w:rsidR="00D72C2E" w:rsidRPr="007F4AD3" w:rsidRDefault="0001214A" w:rsidP="00D72C2E">
            <w:pPr>
              <w:pStyle w:val="ContactInfoEmphasis"/>
              <w:spacing w:before="60" w:after="60"/>
              <w:contextualSpacing w:val="0"/>
              <w:jc w:val="both"/>
              <w:rPr>
                <w:rFonts w:ascii="Franklin Gothic Medium" w:hAnsi="Franklin Gothic Medium"/>
                <w:b w:val="0"/>
              </w:rPr>
            </w:pPr>
            <w:r w:rsidRPr="007F4AD3">
              <w:rPr>
                <w:rFonts w:ascii="Franklin Gothic Medium" w:hAnsi="Franklin Gothic Medium"/>
                <w:b w:val="0"/>
              </w:rPr>
              <w:t xml:space="preserve">   </w:t>
            </w:r>
            <w:r w:rsidR="007F4AD3">
              <w:rPr>
                <w:rFonts w:ascii="Franklin Gothic Medium" w:hAnsi="Franklin Gothic Medium"/>
                <w:b w:val="0"/>
              </w:rPr>
              <w:t xml:space="preserve">     </w:t>
            </w:r>
            <w:r w:rsidR="00D72C2E" w:rsidRPr="007F4AD3">
              <w:rPr>
                <w:rFonts w:ascii="Franklin Gothic Medium" w:hAnsi="Franklin Gothic Medium"/>
                <w:b w:val="0"/>
              </w:rPr>
              <w:t>Office phone:</w:t>
            </w:r>
            <w:r w:rsidR="000808F5" w:rsidRPr="007F4AD3">
              <w:rPr>
                <w:rFonts w:ascii="Franklin Gothic Medium" w:hAnsi="Franklin Gothic Medium"/>
                <w:b w:val="0"/>
              </w:rPr>
              <w:t xml:space="preserve">     </w:t>
            </w:r>
            <w:r w:rsidR="00280FD4" w:rsidRPr="007F4AD3">
              <w:rPr>
                <w:rFonts w:ascii="Franklin Gothic Medium" w:hAnsi="Franklin Gothic Medium"/>
                <w:b w:val="0"/>
              </w:rPr>
              <w:t xml:space="preserve"> </w:t>
            </w:r>
            <w:r w:rsidR="007F4AD3">
              <w:rPr>
                <w:rFonts w:ascii="Franklin Gothic Medium" w:hAnsi="Franklin Gothic Medium"/>
                <w:b w:val="0"/>
              </w:rPr>
              <w:t xml:space="preserve">     </w:t>
            </w:r>
            <w:r w:rsidR="00D72C2E" w:rsidRPr="007F4AD3">
              <w:rPr>
                <w:rFonts w:ascii="Franklin Gothic Medium" w:hAnsi="Franklin Gothic Medium"/>
                <w:b w:val="0"/>
                <w:color w:val="auto"/>
              </w:rPr>
              <w:t>3277-2246</w:t>
            </w:r>
          </w:p>
          <w:p w14:paraId="77872B45" w14:textId="77777777" w:rsidR="00D72C2E" w:rsidRPr="007F4AD3" w:rsidRDefault="0001214A" w:rsidP="00D72C2E">
            <w:pPr>
              <w:pStyle w:val="ContactInfoEmphasis"/>
              <w:spacing w:before="60" w:after="60"/>
              <w:contextualSpacing w:val="0"/>
              <w:jc w:val="both"/>
              <w:rPr>
                <w:rFonts w:ascii="Franklin Gothic Medium" w:hAnsi="Franklin Gothic Medium"/>
                <w:b w:val="0"/>
              </w:rPr>
            </w:pPr>
            <w:r w:rsidRPr="007F4AD3">
              <w:rPr>
                <w:rFonts w:ascii="Franklin Gothic Medium" w:hAnsi="Franklin Gothic Medium"/>
                <w:b w:val="0"/>
              </w:rPr>
              <w:t xml:space="preserve">   </w:t>
            </w:r>
            <w:r w:rsidR="007F4AD3">
              <w:rPr>
                <w:rFonts w:ascii="Franklin Gothic Medium" w:hAnsi="Franklin Gothic Medium"/>
                <w:b w:val="0"/>
              </w:rPr>
              <w:t xml:space="preserve">     </w:t>
            </w:r>
            <w:r w:rsidR="00D72C2E" w:rsidRPr="007F4AD3">
              <w:rPr>
                <w:rFonts w:ascii="Franklin Gothic Medium" w:hAnsi="Franklin Gothic Medium"/>
                <w:b w:val="0"/>
              </w:rPr>
              <w:t xml:space="preserve">Office hours:         </w:t>
            </w:r>
            <w:r w:rsidR="00A96099">
              <w:rPr>
                <w:rFonts w:ascii="Franklin Gothic Medium" w:hAnsi="Franklin Gothic Medium"/>
                <w:b w:val="0"/>
              </w:rPr>
              <w:t xml:space="preserve">   </w:t>
            </w:r>
            <w:r w:rsidR="00A96099" w:rsidRPr="00A96099">
              <w:rPr>
                <w:rFonts w:ascii="Franklin Gothic Medium" w:hAnsi="Franklin Gothic Medium"/>
                <w:b w:val="0"/>
                <w:color w:val="auto"/>
              </w:rPr>
              <w:t>Available by appointment</w:t>
            </w:r>
          </w:p>
          <w:p w14:paraId="1793DC0C" w14:textId="77777777" w:rsidR="0001214A" w:rsidRPr="0010305A" w:rsidRDefault="0001214A" w:rsidP="00D72C2E">
            <w:pPr>
              <w:pStyle w:val="ContactInfoEmphasis"/>
              <w:spacing w:before="60" w:after="60"/>
              <w:contextualSpacing w:val="0"/>
              <w:jc w:val="both"/>
              <w:rPr>
                <w:rFonts w:ascii="Arial Narrow" w:hAnsi="Arial Narrow"/>
                <w:color w:val="006600"/>
                <w:sz w:val="20"/>
                <w:szCs w:val="20"/>
              </w:rPr>
            </w:pPr>
            <w:r w:rsidRPr="007F4AD3">
              <w:rPr>
                <w:rFonts w:ascii="Franklin Gothic Medium" w:hAnsi="Franklin Gothic Medium"/>
                <w:b w:val="0"/>
              </w:rPr>
              <w:t xml:space="preserve">   </w:t>
            </w:r>
            <w:r w:rsidR="007F4AD3">
              <w:rPr>
                <w:rFonts w:ascii="Franklin Gothic Medium" w:hAnsi="Franklin Gothic Medium"/>
                <w:b w:val="0"/>
              </w:rPr>
              <w:t xml:space="preserve">     </w:t>
            </w:r>
            <w:r w:rsidR="00D72C2E" w:rsidRPr="007F4AD3">
              <w:rPr>
                <w:rFonts w:ascii="Franklin Gothic Medium" w:hAnsi="Franklin Gothic Medium"/>
                <w:b w:val="0"/>
              </w:rPr>
              <w:t xml:space="preserve">Email:                 </w:t>
            </w:r>
            <w:r w:rsidR="000808F5" w:rsidRPr="007F4AD3">
              <w:rPr>
                <w:rFonts w:ascii="Franklin Gothic Medium" w:hAnsi="Franklin Gothic Medium"/>
                <w:b w:val="0"/>
              </w:rPr>
              <w:t xml:space="preserve"> </w:t>
            </w:r>
            <w:r w:rsidR="007F4AD3">
              <w:rPr>
                <w:rFonts w:ascii="Franklin Gothic Medium" w:hAnsi="Franklin Gothic Medium"/>
                <w:b w:val="0"/>
              </w:rPr>
              <w:t xml:space="preserve">     </w:t>
            </w:r>
            <w:hyperlink r:id="rId9" w:history="1">
              <w:r w:rsidR="00D72C2E" w:rsidRPr="000808F5">
                <w:rPr>
                  <w:rStyle w:val="Hyperlink"/>
                  <w:rFonts w:ascii="Franklin Gothic Medium" w:hAnsi="Franklin Gothic Medium"/>
                  <w:b w:val="0"/>
                </w:rPr>
                <w:t>trentbax@ewha.ac.kr</w:t>
              </w:r>
            </w:hyperlink>
            <w:r w:rsidR="00D72C2E" w:rsidRPr="007C3A37">
              <w:rPr>
                <w:rFonts w:ascii="Arial Narrow" w:hAnsi="Arial Narrow"/>
                <w:color w:val="006600"/>
                <w:sz w:val="20"/>
                <w:szCs w:val="20"/>
              </w:rPr>
              <w:t xml:space="preserve">    </w:t>
            </w:r>
          </w:p>
        </w:tc>
      </w:tr>
    </w:tbl>
    <w:p w14:paraId="680AF430" w14:textId="77777777" w:rsidR="004E01EB" w:rsidRPr="0001214A" w:rsidRDefault="000B1035" w:rsidP="0036063D">
      <w:pPr>
        <w:pStyle w:val="Heading1"/>
        <w:tabs>
          <w:tab w:val="left" w:pos="8040"/>
          <w:tab w:val="left" w:pos="8316"/>
          <w:tab w:val="right" w:pos="9360"/>
        </w:tabs>
        <w:rPr>
          <w:sz w:val="24"/>
          <w:szCs w:val="24"/>
        </w:rPr>
      </w:pPr>
      <w:r w:rsidRPr="00AB0783">
        <w:rPr>
          <w:noProof/>
          <w:lang w:val="en-NZ" w:eastAsia="zh-CN"/>
        </w:rPr>
        <w:drawing>
          <wp:anchor distT="0" distB="0" distL="114300" distR="114300" simplePos="0" relativeHeight="251662336" behindDoc="0" locked="0" layoutInCell="1" allowOverlap="1" wp14:anchorId="5604137C" wp14:editId="756C6279">
            <wp:simplePos x="0" y="0"/>
            <wp:positionH relativeFrom="column">
              <wp:posOffset>5356860</wp:posOffset>
            </wp:positionH>
            <wp:positionV relativeFrom="paragraph">
              <wp:posOffset>4089356</wp:posOffset>
            </wp:positionV>
            <wp:extent cx="1092834" cy="1318939"/>
            <wp:effectExtent l="0" t="0" r="0" b="0"/>
            <wp:wrapNone/>
            <wp:docPr id="4" name="Picture 4" descr="C:\Users\SAMSUNG\Desktop\tuhoe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tuhoe2 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8" t="14037" r="21394" b="42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14" cy="132844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C2E" w:rsidRPr="0001214A">
        <w:rPr>
          <w:color w:val="1D824C" w:themeColor="accent1"/>
          <w:sz w:val="24"/>
          <w:szCs w:val="24"/>
        </w:rPr>
        <w:t>course description</w:t>
      </w:r>
      <w:r w:rsidR="0008433B" w:rsidRPr="0001214A">
        <w:rPr>
          <w:sz w:val="24"/>
          <w:szCs w:val="24"/>
        </w:rPr>
        <w:tab/>
      </w:r>
      <w:r w:rsidR="0036063D" w:rsidRPr="0001214A">
        <w:rPr>
          <w:sz w:val="24"/>
          <w:szCs w:val="24"/>
        </w:rPr>
        <w:tab/>
      </w:r>
      <w:r w:rsidR="00597B68" w:rsidRPr="0001214A">
        <w:rPr>
          <w:sz w:val="24"/>
          <w:szCs w:val="24"/>
        </w:rPr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3"/>
      </w:tblGrid>
      <w:tr w:rsidR="001D0BF1" w:rsidRPr="00CF1A49" w14:paraId="4692B779" w14:textId="77777777" w:rsidTr="00464E8C">
        <w:tc>
          <w:tcPr>
            <w:tcW w:w="9863" w:type="dxa"/>
          </w:tcPr>
          <w:p w14:paraId="0746B5E0" w14:textId="77777777" w:rsidR="0001214A" w:rsidRDefault="0001214A" w:rsidP="0001214A">
            <w:pPr>
              <w:spacing w:line="360" w:lineRule="auto"/>
              <w:jc w:val="both"/>
              <w:rPr>
                <w:rFonts w:asciiTheme="majorHAnsi" w:hAnsiTheme="majorHAnsi" w:cstheme="minorHAnsi"/>
                <w:color w:val="auto"/>
              </w:rPr>
            </w:pPr>
          </w:p>
          <w:p w14:paraId="3EBBFD16" w14:textId="77777777" w:rsidR="00407DA8" w:rsidRPr="001E00F2" w:rsidRDefault="00407DA8" w:rsidP="00407DA8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 w:rsidRPr="001E00F2">
              <w:rPr>
                <w:rFonts w:asciiTheme="majorHAnsi" w:hAnsiTheme="majorHAnsi"/>
                <w:color w:val="auto"/>
              </w:rPr>
              <w:t xml:space="preserve">This course takes a novel approach to the sociological study of crime and criminals. </w:t>
            </w:r>
          </w:p>
          <w:p w14:paraId="4CE8FCFF" w14:textId="77777777" w:rsidR="00407DA8" w:rsidRPr="001E00F2" w:rsidRDefault="00407DA8" w:rsidP="00407DA8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 w:rsidRPr="001E00F2">
              <w:rPr>
                <w:rFonts w:asciiTheme="majorHAnsi" w:hAnsiTheme="majorHAnsi"/>
                <w:color w:val="auto"/>
              </w:rPr>
              <w:t xml:space="preserve">Using a </w:t>
            </w:r>
            <w:r w:rsidRPr="001E00F2">
              <w:rPr>
                <w:rFonts w:asciiTheme="majorHAnsi" w:hAnsiTheme="majorHAnsi"/>
                <w:b/>
                <w:color w:val="auto"/>
              </w:rPr>
              <w:t>‘life course’ approach</w:t>
            </w:r>
            <w:r w:rsidRPr="001E00F2">
              <w:rPr>
                <w:rFonts w:asciiTheme="majorHAnsi" w:hAnsiTheme="majorHAnsi"/>
                <w:i/>
                <w:color w:val="auto"/>
              </w:rPr>
              <w:t xml:space="preserve"> </w:t>
            </w:r>
            <w:r w:rsidR="009C4937">
              <w:rPr>
                <w:rFonts w:asciiTheme="majorHAnsi" w:hAnsiTheme="majorHAnsi"/>
                <w:color w:val="auto"/>
              </w:rPr>
              <w:t>we will follow three</w:t>
            </w:r>
            <w:r w:rsidRPr="001E00F2">
              <w:rPr>
                <w:rFonts w:asciiTheme="majorHAnsi" w:hAnsiTheme="majorHAnsi"/>
                <w:color w:val="auto"/>
              </w:rPr>
              <w:t xml:space="preserve"> criminals through their life course. </w:t>
            </w:r>
          </w:p>
          <w:p w14:paraId="213EB1D5" w14:textId="77777777" w:rsidR="00407DA8" w:rsidRPr="001E00F2" w:rsidRDefault="00407DA8" w:rsidP="00407DA8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 w:rsidRPr="001E00F2">
              <w:rPr>
                <w:rFonts w:asciiTheme="majorHAnsi" w:hAnsiTheme="majorHAnsi"/>
                <w:color w:val="auto"/>
              </w:rPr>
              <w:t>Structured around memoirs from an ex-Mongrel Mob gang leader in New Zealand,</w:t>
            </w:r>
            <w:r w:rsidR="00A55B1E">
              <w:rPr>
                <w:rFonts w:asciiTheme="majorHAnsi" w:hAnsiTheme="majorHAnsi"/>
                <w:color w:val="auto"/>
              </w:rPr>
              <w:t xml:space="preserve"> </w:t>
            </w:r>
            <w:r w:rsidR="009B494C">
              <w:rPr>
                <w:rFonts w:asciiTheme="majorHAnsi" w:hAnsiTheme="majorHAnsi"/>
                <w:color w:val="auto"/>
              </w:rPr>
              <w:t>an ex-Latin Kings female gang leader in Chicago, and</w:t>
            </w:r>
            <w:r w:rsidRPr="001E00F2">
              <w:rPr>
                <w:rFonts w:asciiTheme="majorHAnsi" w:hAnsiTheme="majorHAnsi"/>
                <w:color w:val="auto"/>
              </w:rPr>
              <w:t xml:space="preserve"> </w:t>
            </w:r>
            <w:r w:rsidR="00A149F7">
              <w:rPr>
                <w:rFonts w:asciiTheme="majorHAnsi" w:hAnsiTheme="majorHAnsi"/>
                <w:color w:val="auto"/>
              </w:rPr>
              <w:t>a female fraudster in England</w:t>
            </w:r>
            <w:r w:rsidRPr="001E00F2">
              <w:rPr>
                <w:rFonts w:asciiTheme="majorHAnsi" w:hAnsiTheme="majorHAnsi"/>
                <w:color w:val="auto"/>
              </w:rPr>
              <w:t>, we will follo</w:t>
            </w:r>
            <w:r w:rsidR="00A149F7">
              <w:rPr>
                <w:rFonts w:asciiTheme="majorHAnsi" w:hAnsiTheme="majorHAnsi"/>
                <w:color w:val="auto"/>
              </w:rPr>
              <w:t>w ‘</w:t>
            </w:r>
            <w:proofErr w:type="spellStart"/>
            <w:r w:rsidR="00A149F7">
              <w:rPr>
                <w:rFonts w:asciiTheme="majorHAnsi" w:hAnsiTheme="majorHAnsi"/>
                <w:color w:val="auto"/>
              </w:rPr>
              <w:t>Tuhoe</w:t>
            </w:r>
            <w:proofErr w:type="spellEnd"/>
            <w:r w:rsidR="00A149F7">
              <w:rPr>
                <w:rFonts w:asciiTheme="majorHAnsi" w:hAnsiTheme="majorHAnsi"/>
                <w:color w:val="auto"/>
              </w:rPr>
              <w:t xml:space="preserve"> Isaac’</w:t>
            </w:r>
            <w:r w:rsidR="009C4937">
              <w:rPr>
                <w:rFonts w:asciiTheme="majorHAnsi" w:hAnsiTheme="majorHAnsi"/>
                <w:color w:val="auto"/>
              </w:rPr>
              <w:t>,</w:t>
            </w:r>
            <w:r w:rsidR="00A149F7">
              <w:rPr>
                <w:rFonts w:asciiTheme="majorHAnsi" w:hAnsiTheme="majorHAnsi"/>
                <w:color w:val="auto"/>
              </w:rPr>
              <w:t xml:space="preserve"> </w:t>
            </w:r>
            <w:r w:rsidR="009B494C">
              <w:rPr>
                <w:rFonts w:asciiTheme="majorHAnsi" w:hAnsiTheme="majorHAnsi"/>
                <w:color w:val="auto"/>
              </w:rPr>
              <w:t xml:space="preserve">‘Lady Q’ </w:t>
            </w:r>
            <w:r w:rsidR="00A149F7">
              <w:rPr>
                <w:rFonts w:asciiTheme="majorHAnsi" w:hAnsiTheme="majorHAnsi"/>
                <w:color w:val="auto"/>
              </w:rPr>
              <w:t>and ‘Jenny Hicks’ from their childhoods to their</w:t>
            </w:r>
            <w:r w:rsidRPr="001E00F2">
              <w:rPr>
                <w:rFonts w:asciiTheme="majorHAnsi" w:hAnsiTheme="majorHAnsi"/>
                <w:color w:val="auto"/>
              </w:rPr>
              <w:t xml:space="preserve"> onset of offending. </w:t>
            </w:r>
          </w:p>
          <w:p w14:paraId="7D390122" w14:textId="1385E016" w:rsidR="00407DA8" w:rsidRPr="001E00F2" w:rsidRDefault="007A6788" w:rsidP="00407DA8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Then</w:t>
            </w:r>
            <w:r w:rsidR="00407DA8" w:rsidRPr="001E00F2">
              <w:rPr>
                <w:rFonts w:asciiTheme="majorHAnsi" w:hAnsiTheme="majorHAnsi"/>
                <w:color w:val="auto"/>
              </w:rPr>
              <w:t xml:space="preserve"> </w:t>
            </w:r>
            <w:r>
              <w:rPr>
                <w:rFonts w:asciiTheme="majorHAnsi" w:hAnsiTheme="majorHAnsi"/>
                <w:color w:val="auto"/>
              </w:rPr>
              <w:t xml:space="preserve">we </w:t>
            </w:r>
            <w:r w:rsidR="00407DA8" w:rsidRPr="001E00F2">
              <w:rPr>
                <w:rFonts w:asciiTheme="majorHAnsi" w:hAnsiTheme="majorHAnsi"/>
                <w:color w:val="auto"/>
              </w:rPr>
              <w:t>will</w:t>
            </w:r>
            <w:r w:rsidR="009C4937">
              <w:rPr>
                <w:rFonts w:asciiTheme="majorHAnsi" w:hAnsiTheme="majorHAnsi"/>
                <w:color w:val="auto"/>
              </w:rPr>
              <w:t xml:space="preserve"> seek to better contextualiz</w:t>
            </w:r>
            <w:r w:rsidR="00407DA8" w:rsidRPr="001E00F2">
              <w:rPr>
                <w:rFonts w:asciiTheme="majorHAnsi" w:hAnsiTheme="majorHAnsi"/>
                <w:color w:val="auto"/>
              </w:rPr>
              <w:t xml:space="preserve">e their delinquent and criminal conduct by studying </w:t>
            </w:r>
            <w:r w:rsidR="00A149F7">
              <w:rPr>
                <w:rFonts w:asciiTheme="majorHAnsi" w:hAnsiTheme="majorHAnsi"/>
                <w:color w:val="auto"/>
              </w:rPr>
              <w:t xml:space="preserve">sociological and </w:t>
            </w:r>
            <w:r w:rsidR="00407DA8" w:rsidRPr="001E00F2">
              <w:rPr>
                <w:rFonts w:asciiTheme="majorHAnsi" w:hAnsiTheme="majorHAnsi"/>
                <w:color w:val="auto"/>
              </w:rPr>
              <w:t>develop</w:t>
            </w:r>
            <w:r w:rsidR="00A149F7">
              <w:rPr>
                <w:rFonts w:asciiTheme="majorHAnsi" w:hAnsiTheme="majorHAnsi"/>
                <w:color w:val="auto"/>
              </w:rPr>
              <w:t>mental theories</w:t>
            </w:r>
            <w:r w:rsidR="00407DA8" w:rsidRPr="001E00F2">
              <w:rPr>
                <w:rFonts w:asciiTheme="majorHAnsi" w:hAnsiTheme="majorHAnsi"/>
                <w:color w:val="auto"/>
              </w:rPr>
              <w:t xml:space="preserve"> of delinquency, crime and gangs. </w:t>
            </w:r>
          </w:p>
          <w:p w14:paraId="0EED5D81" w14:textId="77777777" w:rsidR="00A149F7" w:rsidRPr="001E00F2" w:rsidRDefault="009C4937" w:rsidP="00A149F7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Since they</w:t>
            </w:r>
            <w:r w:rsidR="00A149F7" w:rsidRPr="001E00F2">
              <w:rPr>
                <w:rFonts w:asciiTheme="majorHAnsi" w:hAnsiTheme="majorHAnsi"/>
                <w:color w:val="auto"/>
              </w:rPr>
              <w:t xml:space="preserve"> victimize others and are </w:t>
            </w:r>
            <w:r>
              <w:rPr>
                <w:rFonts w:asciiTheme="majorHAnsi" w:hAnsiTheme="majorHAnsi"/>
                <w:color w:val="auto"/>
              </w:rPr>
              <w:t>victims themselves, we will then</w:t>
            </w:r>
            <w:r w:rsidR="00A149F7" w:rsidRPr="001E00F2">
              <w:rPr>
                <w:rFonts w:asciiTheme="majorHAnsi" w:hAnsiTheme="majorHAnsi"/>
                <w:color w:val="auto"/>
              </w:rPr>
              <w:t xml:space="preserve"> investigate victimization and the role of emotions in crime. </w:t>
            </w:r>
          </w:p>
          <w:p w14:paraId="4328E3EC" w14:textId="77777777" w:rsidR="00407DA8" w:rsidRPr="001E00F2" w:rsidRDefault="00A149F7" w:rsidP="00407DA8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Following their imprisonment for criminal</w:t>
            </w:r>
            <w:r w:rsidR="009C4937">
              <w:rPr>
                <w:rFonts w:asciiTheme="majorHAnsi" w:hAnsiTheme="majorHAnsi"/>
                <w:color w:val="auto"/>
              </w:rPr>
              <w:t xml:space="preserve"> offending, we will then</w:t>
            </w:r>
            <w:r w:rsidR="00407DA8" w:rsidRPr="001E00F2">
              <w:rPr>
                <w:rFonts w:asciiTheme="majorHAnsi" w:hAnsiTheme="majorHAnsi"/>
                <w:color w:val="auto"/>
              </w:rPr>
              <w:t xml:space="preserve"> study the role of punishment and imprisonment in dealing with criminal offenders. </w:t>
            </w:r>
          </w:p>
          <w:p w14:paraId="12BCA835" w14:textId="77777777" w:rsidR="00407DA8" w:rsidRPr="001E00F2" w:rsidRDefault="00407DA8" w:rsidP="00407DA8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 w:rsidRPr="001E00F2">
              <w:rPr>
                <w:rFonts w:asciiTheme="majorHAnsi" w:hAnsiTheme="majorHAnsi"/>
                <w:color w:val="auto"/>
              </w:rPr>
              <w:t xml:space="preserve">And as they move away from a criminal lifestyle in their adulthood we will end the course by studying desistance from crime. </w:t>
            </w:r>
          </w:p>
          <w:p w14:paraId="6A8DBA11" w14:textId="77777777" w:rsidR="00407DA8" w:rsidRPr="001E00F2" w:rsidRDefault="00407DA8" w:rsidP="00407DA8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 w:rsidRPr="001E00F2">
              <w:rPr>
                <w:rFonts w:asciiTheme="majorHAnsi" w:hAnsiTheme="majorHAnsi"/>
                <w:color w:val="auto"/>
              </w:rPr>
              <w:t xml:space="preserve">Taken together, we will investigate the </w:t>
            </w:r>
            <w:r w:rsidRPr="001E00F2">
              <w:rPr>
                <w:rFonts w:asciiTheme="majorHAnsi" w:hAnsiTheme="majorHAnsi"/>
                <w:i/>
                <w:color w:val="auto"/>
              </w:rPr>
              <w:t>onset</w:t>
            </w:r>
            <w:r w:rsidRPr="001E00F2">
              <w:rPr>
                <w:rFonts w:asciiTheme="majorHAnsi" w:hAnsiTheme="majorHAnsi"/>
                <w:color w:val="auto"/>
              </w:rPr>
              <w:t xml:space="preserve">, </w:t>
            </w:r>
            <w:r w:rsidRPr="001E00F2">
              <w:rPr>
                <w:rFonts w:asciiTheme="majorHAnsi" w:hAnsiTheme="majorHAnsi"/>
                <w:i/>
                <w:color w:val="auto"/>
              </w:rPr>
              <w:t>continuation, escalation</w:t>
            </w:r>
            <w:r w:rsidRPr="001E00F2">
              <w:rPr>
                <w:rFonts w:asciiTheme="majorHAnsi" w:hAnsiTheme="majorHAnsi"/>
                <w:color w:val="auto"/>
              </w:rPr>
              <w:t xml:space="preserve"> and </w:t>
            </w:r>
            <w:r w:rsidRPr="001E00F2">
              <w:rPr>
                <w:rFonts w:asciiTheme="majorHAnsi" w:hAnsiTheme="majorHAnsi"/>
                <w:i/>
                <w:color w:val="auto"/>
              </w:rPr>
              <w:t>desistance</w:t>
            </w:r>
            <w:r w:rsidRPr="001E00F2">
              <w:rPr>
                <w:rFonts w:asciiTheme="majorHAnsi" w:hAnsiTheme="majorHAnsi"/>
                <w:color w:val="auto"/>
              </w:rPr>
              <w:t xml:space="preserve"> from crime throughout the life course. </w:t>
            </w:r>
          </w:p>
          <w:p w14:paraId="5A27FC96" w14:textId="77777777" w:rsidR="0010305A" w:rsidRDefault="000B1035" w:rsidP="0010305A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noProof/>
                <w:lang w:val="en-NZ" w:eastAsia="zh-CN"/>
              </w:rPr>
              <w:drawing>
                <wp:anchor distT="0" distB="0" distL="114300" distR="114300" simplePos="0" relativeHeight="251663360" behindDoc="0" locked="0" layoutInCell="1" allowOverlap="1" wp14:anchorId="5A0AA169" wp14:editId="64DF10E2">
                  <wp:simplePos x="0" y="0"/>
                  <wp:positionH relativeFrom="column">
                    <wp:posOffset>3647440</wp:posOffset>
                  </wp:positionH>
                  <wp:positionV relativeFrom="paragraph">
                    <wp:posOffset>80645</wp:posOffset>
                  </wp:positionV>
                  <wp:extent cx="1357630" cy="1010920"/>
                  <wp:effectExtent l="1905" t="0" r="0" b="0"/>
                  <wp:wrapThrough wrapText="bothSides">
                    <wp:wrapPolygon edited="0">
                      <wp:start x="30" y="13500"/>
                      <wp:lineTo x="333" y="14721"/>
                      <wp:lineTo x="4274" y="20420"/>
                      <wp:lineTo x="5486" y="20420"/>
                      <wp:lineTo x="10032" y="21641"/>
                      <wp:lineTo x="10335" y="21641"/>
                      <wp:lineTo x="14882" y="21234"/>
                      <wp:lineTo x="19731" y="17163"/>
                      <wp:lineTo x="20943" y="13907"/>
                      <wp:lineTo x="21246" y="13500"/>
                      <wp:lineTo x="21246" y="8616"/>
                      <wp:lineTo x="20943" y="8209"/>
                      <wp:lineTo x="19731" y="5359"/>
                      <wp:lineTo x="14882" y="475"/>
                      <wp:lineTo x="5183" y="475"/>
                      <wp:lineTo x="333" y="882"/>
                      <wp:lineTo x="30" y="8616"/>
                      <wp:lineTo x="30" y="1350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4" t="10212" r="12950" b="15629"/>
                          <a:stretch/>
                        </pic:blipFill>
                        <pic:spPr>
                          <a:xfrm rot="5400000">
                            <a:off x="0" y="0"/>
                            <a:ext cx="1357630" cy="10109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0783">
              <w:rPr>
                <w:noProof/>
                <w:lang w:val="en-NZ" w:eastAsia="zh-CN"/>
              </w:rPr>
              <w:drawing>
                <wp:anchor distT="0" distB="0" distL="114300" distR="114300" simplePos="0" relativeHeight="251661312" behindDoc="0" locked="0" layoutInCell="1" allowOverlap="1" wp14:anchorId="5C97A2D7" wp14:editId="404EEBCC">
                  <wp:simplePos x="0" y="0"/>
                  <wp:positionH relativeFrom="column">
                    <wp:posOffset>2696845</wp:posOffset>
                  </wp:positionH>
                  <wp:positionV relativeFrom="paragraph">
                    <wp:posOffset>225425</wp:posOffset>
                  </wp:positionV>
                  <wp:extent cx="1123950" cy="1230148"/>
                  <wp:effectExtent l="0" t="0" r="0" b="8255"/>
                  <wp:wrapNone/>
                  <wp:docPr id="3" name="Picture 3" descr="C:\Users\SAMSUNG\Desktop\tuhoe1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tuhoe1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88" t="40161" r="51645" b="493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3014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7DA8" w:rsidRPr="001E00F2">
              <w:rPr>
                <w:rFonts w:asciiTheme="majorHAnsi" w:hAnsiTheme="majorHAnsi"/>
                <w:color w:val="auto"/>
              </w:rPr>
              <w:t>In the process we will seek to try and explain</w:t>
            </w:r>
            <w:r w:rsidR="0010305A">
              <w:rPr>
                <w:rFonts w:asciiTheme="majorHAnsi" w:hAnsiTheme="majorHAnsi"/>
                <w:color w:val="auto"/>
              </w:rPr>
              <w:t xml:space="preserve">:    </w:t>
            </w:r>
          </w:p>
          <w:p w14:paraId="4B11DB3C" w14:textId="77777777" w:rsidR="0010305A" w:rsidRDefault="000B1035" w:rsidP="0010305A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       </w:t>
            </w:r>
            <w:r w:rsidR="00407DA8" w:rsidRPr="001E00F2">
              <w:rPr>
                <w:rFonts w:asciiTheme="majorHAnsi" w:hAnsiTheme="majorHAnsi"/>
                <w:b/>
                <w:color w:val="auto"/>
              </w:rPr>
              <w:t>a)</w:t>
            </w:r>
            <w:r w:rsidR="00407DA8" w:rsidRPr="001E00F2">
              <w:rPr>
                <w:rFonts w:asciiTheme="majorHAnsi" w:hAnsiTheme="majorHAnsi"/>
                <w:color w:val="auto"/>
              </w:rPr>
              <w:t xml:space="preserve">  Why individuals start offending, </w:t>
            </w:r>
          </w:p>
          <w:p w14:paraId="07147759" w14:textId="77777777" w:rsidR="00407DA8" w:rsidRPr="001E00F2" w:rsidRDefault="0010305A" w:rsidP="0010305A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        </w:t>
            </w:r>
            <w:r w:rsidR="00407DA8" w:rsidRPr="001E00F2">
              <w:rPr>
                <w:rFonts w:asciiTheme="majorHAnsi" w:hAnsiTheme="majorHAnsi"/>
                <w:b/>
                <w:color w:val="auto"/>
              </w:rPr>
              <w:t>b)</w:t>
            </w:r>
            <w:r w:rsidR="009C4937">
              <w:rPr>
                <w:rFonts w:asciiTheme="majorHAnsi" w:hAnsiTheme="majorHAnsi"/>
                <w:color w:val="auto"/>
              </w:rPr>
              <w:t xml:space="preserve">  Why they continue to </w:t>
            </w:r>
            <w:r w:rsidR="00407DA8" w:rsidRPr="001E00F2">
              <w:rPr>
                <w:rFonts w:asciiTheme="majorHAnsi" w:hAnsiTheme="majorHAnsi"/>
                <w:color w:val="auto"/>
              </w:rPr>
              <w:t xml:space="preserve">offend, and </w:t>
            </w:r>
          </w:p>
          <w:p w14:paraId="3733500C" w14:textId="77777777" w:rsidR="00055A8D" w:rsidRPr="001E00F2" w:rsidRDefault="0010305A" w:rsidP="0010305A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b/>
                <w:color w:val="auto"/>
              </w:rPr>
              <w:t xml:space="preserve">        </w:t>
            </w:r>
            <w:r w:rsidR="00407DA8" w:rsidRPr="001E00F2">
              <w:rPr>
                <w:rFonts w:asciiTheme="majorHAnsi" w:hAnsiTheme="majorHAnsi"/>
                <w:b/>
                <w:color w:val="auto"/>
              </w:rPr>
              <w:t>c)</w:t>
            </w:r>
            <w:r w:rsidR="00407DA8" w:rsidRPr="001E00F2">
              <w:rPr>
                <w:rFonts w:asciiTheme="majorHAnsi" w:hAnsiTheme="majorHAnsi"/>
                <w:color w:val="auto"/>
              </w:rPr>
              <w:t xml:space="preserve">  Why</w:t>
            </w:r>
            <w:r w:rsidR="001E00F2">
              <w:rPr>
                <w:rFonts w:asciiTheme="majorHAnsi" w:hAnsiTheme="majorHAnsi"/>
                <w:color w:val="auto"/>
              </w:rPr>
              <w:t xml:space="preserve"> they ultimately stop offending.</w:t>
            </w:r>
          </w:p>
        </w:tc>
      </w:tr>
    </w:tbl>
    <w:p w14:paraId="05957201" w14:textId="77777777" w:rsidR="00D83E94" w:rsidRDefault="000808F5" w:rsidP="00D83E94">
      <w:pPr>
        <w:pStyle w:val="Heading1"/>
        <w:rPr>
          <w:color w:val="1D824C" w:themeColor="accent1"/>
          <w:sz w:val="24"/>
          <w:szCs w:val="24"/>
        </w:rPr>
      </w:pPr>
      <w:r w:rsidRPr="00280FD4">
        <w:rPr>
          <w:color w:val="1D824C" w:themeColor="accent1"/>
          <w:sz w:val="24"/>
          <w:szCs w:val="24"/>
        </w:rPr>
        <w:lastRenderedPageBreak/>
        <w:t>course work</w:t>
      </w:r>
    </w:p>
    <w:p w14:paraId="51434A0F" w14:textId="77777777" w:rsidR="003C48B5" w:rsidRPr="00280FD4" w:rsidRDefault="003C48B5" w:rsidP="00D83E94">
      <w:pPr>
        <w:pStyle w:val="Heading1"/>
        <w:rPr>
          <w:color w:val="1D824C" w:themeColor="accent1"/>
          <w:sz w:val="24"/>
          <w:szCs w:val="24"/>
        </w:rPr>
      </w:pPr>
    </w:p>
    <w:tbl>
      <w:tblPr>
        <w:tblW w:w="9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Education layout table"/>
      </w:tblPr>
      <w:tblGrid>
        <w:gridCol w:w="696"/>
        <w:gridCol w:w="8440"/>
      </w:tblGrid>
      <w:tr w:rsidR="001E00F2" w:rsidRPr="00B80F68" w14:paraId="4F7357DC" w14:textId="77777777" w:rsidTr="007E0155">
        <w:trPr>
          <w:trHeight w:val="1194"/>
          <w:jc w:val="center"/>
        </w:trPr>
        <w:tc>
          <w:tcPr>
            <w:tcW w:w="649" w:type="dxa"/>
            <w:shd w:val="clear" w:color="auto" w:fill="E2EFD9"/>
          </w:tcPr>
          <w:p w14:paraId="1D7CF60C" w14:textId="77777777" w:rsidR="001E00F2" w:rsidRPr="001E00F2" w:rsidRDefault="001E00F2" w:rsidP="004F06E7">
            <w:pPr>
              <w:spacing w:line="360" w:lineRule="auto"/>
              <w:jc w:val="center"/>
              <w:rPr>
                <w:rFonts w:asciiTheme="majorHAnsi" w:hAnsiTheme="majorHAnsi"/>
                <w:b/>
                <w:color w:val="006600"/>
              </w:rPr>
            </w:pPr>
            <w:r w:rsidRPr="001E00F2">
              <w:rPr>
                <w:rFonts w:asciiTheme="majorHAnsi" w:hAnsiTheme="majorHAnsi"/>
                <w:b/>
                <w:color w:val="006600"/>
              </w:rPr>
              <w:t>50%</w:t>
            </w:r>
          </w:p>
        </w:tc>
        <w:tc>
          <w:tcPr>
            <w:tcW w:w="8487" w:type="dxa"/>
            <w:shd w:val="clear" w:color="auto" w:fill="auto"/>
          </w:tcPr>
          <w:p w14:paraId="5DF7E09B" w14:textId="77777777" w:rsidR="001E00F2" w:rsidRPr="001E00F2" w:rsidRDefault="001E00F2" w:rsidP="004F06E7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1E00F2">
              <w:rPr>
                <w:rFonts w:asciiTheme="majorHAnsi" w:hAnsiTheme="majorHAnsi"/>
                <w:b/>
                <w:color w:val="006600"/>
              </w:rPr>
              <w:t xml:space="preserve"> Book Review  </w:t>
            </w:r>
          </w:p>
          <w:p w14:paraId="097087A2" w14:textId="77777777" w:rsidR="007E0155" w:rsidRDefault="007E0155" w:rsidP="004F06E7">
            <w:pPr>
              <w:spacing w:line="360" w:lineRule="auto"/>
              <w:jc w:val="both"/>
              <w:rPr>
                <w:rFonts w:asciiTheme="majorHAnsi" w:hAnsiTheme="majorHAnsi"/>
                <w:i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a) W</w:t>
            </w:r>
            <w:r w:rsidR="001E00F2" w:rsidRPr="001E00F2">
              <w:rPr>
                <w:rFonts w:asciiTheme="majorHAnsi" w:hAnsiTheme="majorHAnsi"/>
                <w:color w:val="auto"/>
              </w:rPr>
              <w:t>rite a critical review of my book “</w:t>
            </w:r>
            <w:r w:rsidR="001E00F2" w:rsidRPr="001E00F2">
              <w:rPr>
                <w:rFonts w:asciiTheme="majorHAnsi" w:hAnsiTheme="majorHAnsi"/>
                <w:i/>
                <w:color w:val="auto"/>
              </w:rPr>
              <w:t xml:space="preserve">Bullying and Violence in South Korea: From </w:t>
            </w:r>
          </w:p>
          <w:p w14:paraId="3D1005DA" w14:textId="77777777" w:rsidR="001E00F2" w:rsidRDefault="007E0155" w:rsidP="004F06E7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     </w:t>
            </w:r>
            <w:r w:rsidR="001E00F2" w:rsidRPr="001E00F2">
              <w:rPr>
                <w:rFonts w:asciiTheme="majorHAnsi" w:hAnsiTheme="majorHAnsi"/>
                <w:i/>
                <w:color w:val="auto"/>
              </w:rPr>
              <w:t>home to school and beyond</w:t>
            </w:r>
            <w:r w:rsidR="001E00F2" w:rsidRPr="001E00F2">
              <w:rPr>
                <w:rFonts w:asciiTheme="majorHAnsi" w:hAnsiTheme="majorHAnsi"/>
                <w:color w:val="auto"/>
              </w:rPr>
              <w:t>”.</w:t>
            </w:r>
          </w:p>
          <w:p w14:paraId="2ABD5849" w14:textId="77777777" w:rsidR="007E0155" w:rsidRDefault="007E0155" w:rsidP="004F06E7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 w:rsidRPr="007E0155">
              <w:rPr>
                <w:rFonts w:asciiTheme="majorHAnsi" w:hAnsiTheme="majorHAnsi"/>
                <w:b/>
                <w:color w:val="auto"/>
              </w:rPr>
              <w:t>Or</w:t>
            </w:r>
          </w:p>
          <w:p w14:paraId="3CF0A510" w14:textId="77777777" w:rsidR="007E0155" w:rsidRDefault="007E0155" w:rsidP="004F06E7">
            <w:pPr>
              <w:spacing w:line="360" w:lineRule="auto"/>
              <w:jc w:val="both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b) Use the knowledge you have gained so far in the course to analyse the life course of </w:t>
            </w:r>
          </w:p>
          <w:p w14:paraId="76F927A8" w14:textId="77777777" w:rsidR="007E0155" w:rsidRPr="001E00F2" w:rsidRDefault="007E0155" w:rsidP="004F06E7">
            <w:pPr>
              <w:spacing w:line="360" w:lineRule="auto"/>
              <w:jc w:val="both"/>
              <w:rPr>
                <w:rFonts w:asciiTheme="majorHAnsi" w:hAnsiTheme="majorHAnsi"/>
                <w:b/>
                <w:color w:val="006600"/>
              </w:rPr>
            </w:pPr>
            <w:r>
              <w:rPr>
                <w:rFonts w:asciiTheme="majorHAnsi" w:hAnsiTheme="majorHAnsi"/>
                <w:color w:val="auto"/>
              </w:rPr>
              <w:t xml:space="preserve">     either Cho Ju-bin (</w:t>
            </w:r>
            <w:r w:rsidRPr="007E0155">
              <w:rPr>
                <w:rFonts w:cstheme="minorHAnsi"/>
                <w:color w:val="222222"/>
                <w:lang w:eastAsia="ko-KR"/>
              </w:rPr>
              <w:t>조</w:t>
            </w:r>
            <w:r>
              <w:rPr>
                <w:rFonts w:asciiTheme="majorHAnsi" w:hAnsiTheme="majorHAnsi" w:hint="eastAsia"/>
                <w:color w:val="auto"/>
                <w:lang w:eastAsia="ko-KR"/>
              </w:rPr>
              <w:t>주빈</w:t>
            </w:r>
            <w:r w:rsidRPr="007E0155">
              <w:rPr>
                <w:rFonts w:asciiTheme="majorHAnsi" w:hAnsiTheme="majorHAnsi"/>
                <w:color w:val="auto"/>
              </w:rPr>
              <w:t>)</w:t>
            </w:r>
            <w:r>
              <w:rPr>
                <w:rFonts w:asciiTheme="majorHAnsi" w:hAnsiTheme="majorHAnsi"/>
                <w:color w:val="auto"/>
              </w:rPr>
              <w:t xml:space="preserve"> or Cho Doo-soon (</w:t>
            </w:r>
            <w:r w:rsidRPr="007E0155">
              <w:rPr>
                <w:rFonts w:cstheme="minorHAnsi"/>
                <w:color w:val="222222"/>
                <w:lang w:eastAsia="ko-KR"/>
              </w:rPr>
              <w:t>조</w:t>
            </w:r>
            <w:r>
              <w:rPr>
                <w:rFonts w:cstheme="minorHAnsi" w:hint="eastAsia"/>
                <w:color w:val="222222"/>
                <w:lang w:eastAsia="ko-KR"/>
              </w:rPr>
              <w:t>두순</w:t>
            </w:r>
            <w:r>
              <w:rPr>
                <w:rFonts w:asciiTheme="majorHAnsi" w:hAnsiTheme="majorHAnsi"/>
                <w:color w:val="auto"/>
              </w:rPr>
              <w:t>)</w:t>
            </w:r>
          </w:p>
        </w:tc>
      </w:tr>
      <w:tr w:rsidR="001E00F2" w:rsidRPr="00B80F68" w14:paraId="10F3E73F" w14:textId="77777777" w:rsidTr="001E00F2">
        <w:trPr>
          <w:trHeight w:val="1576"/>
          <w:jc w:val="center"/>
        </w:trPr>
        <w:tc>
          <w:tcPr>
            <w:tcW w:w="649" w:type="dxa"/>
            <w:shd w:val="clear" w:color="auto" w:fill="E2EFD9"/>
          </w:tcPr>
          <w:p w14:paraId="16FE6845" w14:textId="77777777" w:rsidR="001E00F2" w:rsidRPr="001E00F2" w:rsidRDefault="001E00F2" w:rsidP="004F06E7">
            <w:pPr>
              <w:spacing w:line="360" w:lineRule="auto"/>
              <w:jc w:val="center"/>
              <w:rPr>
                <w:rFonts w:asciiTheme="majorHAnsi" w:hAnsiTheme="majorHAnsi"/>
                <w:b/>
                <w:color w:val="006600"/>
              </w:rPr>
            </w:pPr>
            <w:r w:rsidRPr="001E00F2">
              <w:rPr>
                <w:rFonts w:asciiTheme="majorHAnsi" w:hAnsiTheme="majorHAnsi"/>
                <w:b/>
                <w:color w:val="006600"/>
              </w:rPr>
              <w:t>50%</w:t>
            </w:r>
          </w:p>
        </w:tc>
        <w:tc>
          <w:tcPr>
            <w:tcW w:w="8487" w:type="dxa"/>
            <w:shd w:val="clear" w:color="auto" w:fill="F2F2F2"/>
          </w:tcPr>
          <w:p w14:paraId="38F2CE46" w14:textId="77777777" w:rsidR="001E00F2" w:rsidRPr="001E00F2" w:rsidRDefault="001E00F2" w:rsidP="004F06E7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1E00F2">
              <w:rPr>
                <w:rFonts w:asciiTheme="majorHAnsi" w:hAnsiTheme="majorHAnsi"/>
                <w:b/>
                <w:color w:val="006600"/>
              </w:rPr>
              <w:t xml:space="preserve"> Take-Home Exam: ‘Memoir of a Criminal’  </w:t>
            </w:r>
          </w:p>
          <w:p w14:paraId="55E0178A" w14:textId="77777777" w:rsidR="001E00F2" w:rsidRPr="001E00F2" w:rsidRDefault="001E00F2" w:rsidP="004F06E7">
            <w:pPr>
              <w:spacing w:line="360" w:lineRule="auto"/>
              <w:jc w:val="both"/>
              <w:rPr>
                <w:rFonts w:asciiTheme="majorHAnsi" w:hAnsiTheme="majorHAnsi"/>
                <w:b/>
                <w:color w:val="006600"/>
              </w:rPr>
            </w:pPr>
            <w:r w:rsidRPr="001E00F2">
              <w:rPr>
                <w:rFonts w:asciiTheme="majorHAnsi" w:hAnsiTheme="majorHAnsi"/>
                <w:color w:val="auto"/>
              </w:rPr>
              <w:t xml:space="preserve">Using your ‘criminological imagination’ you will create a criminal. By imagining you are this criminal, and by applying the knowledge you have gained in the course, you will write a short ‘memoir’ of this criminal’s life-course. </w:t>
            </w:r>
          </w:p>
        </w:tc>
      </w:tr>
    </w:tbl>
    <w:tbl>
      <w:tblPr>
        <w:tblStyle w:val="TableGrid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3"/>
      </w:tblGrid>
      <w:tr w:rsidR="00703E00" w:rsidRPr="00703E00" w14:paraId="76582B24" w14:textId="77777777" w:rsidTr="003D1340">
        <w:trPr>
          <w:trHeight w:val="68"/>
        </w:trPr>
        <w:tc>
          <w:tcPr>
            <w:tcW w:w="9290" w:type="dxa"/>
          </w:tcPr>
          <w:p w14:paraId="77FB14C1" w14:textId="77777777" w:rsidR="000808F5" w:rsidRPr="002A5656" w:rsidRDefault="000808F5" w:rsidP="003D1340">
            <w:pPr>
              <w:pStyle w:val="hc"/>
              <w:spacing w:before="0" w:beforeAutospacing="0" w:after="0" w:afterAutospacing="0" w:line="360" w:lineRule="auto"/>
              <w:jc w:val="both"/>
              <w:rPr>
                <w:rFonts w:ascii="Georgia" w:hAnsi="Georgia"/>
                <w:color w:val="292929"/>
                <w:spacing w:val="-1"/>
                <w:sz w:val="10"/>
                <w:szCs w:val="10"/>
              </w:rPr>
            </w:pPr>
          </w:p>
        </w:tc>
      </w:tr>
    </w:tbl>
    <w:p w14:paraId="2F7C0E2C" w14:textId="77777777" w:rsidR="000808F5" w:rsidRDefault="000808F5" w:rsidP="000808F5">
      <w:pPr>
        <w:pStyle w:val="Heading1"/>
        <w:rPr>
          <w:color w:val="auto"/>
          <w:sz w:val="10"/>
          <w:szCs w:val="10"/>
        </w:rPr>
      </w:pPr>
    </w:p>
    <w:p w14:paraId="45387ED5" w14:textId="77777777" w:rsidR="007E0155" w:rsidRPr="003D1340" w:rsidRDefault="007E0155" w:rsidP="000808F5">
      <w:pPr>
        <w:pStyle w:val="Heading1"/>
        <w:rPr>
          <w:color w:val="auto"/>
          <w:sz w:val="10"/>
          <w:szCs w:val="10"/>
        </w:rPr>
      </w:pPr>
    </w:p>
    <w:p w14:paraId="23668AD8" w14:textId="77777777" w:rsidR="000808F5" w:rsidRPr="00280FD4" w:rsidRDefault="00280FD4" w:rsidP="000808F5">
      <w:pPr>
        <w:pStyle w:val="Heading1"/>
        <w:rPr>
          <w:color w:val="1D824C" w:themeColor="accent1"/>
          <w:sz w:val="24"/>
          <w:szCs w:val="24"/>
        </w:rPr>
      </w:pPr>
      <w:r w:rsidRPr="00280FD4">
        <w:rPr>
          <w:color w:val="1D824C" w:themeColor="accent1"/>
          <w:sz w:val="24"/>
          <w:szCs w:val="24"/>
        </w:rPr>
        <w:t>course readings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3"/>
      </w:tblGrid>
      <w:tr w:rsidR="003C48B5" w:rsidRPr="003C48B5" w14:paraId="01D565F2" w14:textId="77777777" w:rsidTr="00015AD7">
        <w:tc>
          <w:tcPr>
            <w:tcW w:w="9290" w:type="dxa"/>
          </w:tcPr>
          <w:p w14:paraId="2FE955AA" w14:textId="77777777" w:rsidR="00FF0BB6" w:rsidRPr="002A5656" w:rsidRDefault="00FF0BB6" w:rsidP="001E00F2">
            <w:pPr>
              <w:spacing w:line="360" w:lineRule="auto"/>
              <w:rPr>
                <w:rFonts w:asciiTheme="majorHAnsi" w:hAnsiTheme="majorHAnsi"/>
                <w:b/>
                <w:color w:val="006600"/>
                <w:sz w:val="14"/>
                <w:szCs w:val="14"/>
              </w:rPr>
            </w:pPr>
          </w:p>
          <w:p w14:paraId="25882264" w14:textId="77777777" w:rsidR="001E00F2" w:rsidRPr="001E00F2" w:rsidRDefault="001E00F2" w:rsidP="001E00F2">
            <w:pPr>
              <w:spacing w:line="360" w:lineRule="auto"/>
              <w:rPr>
                <w:rFonts w:asciiTheme="majorHAnsi" w:hAnsiTheme="majorHAnsi"/>
                <w:color w:val="006600"/>
              </w:rPr>
            </w:pPr>
            <w:r w:rsidRPr="001E00F2">
              <w:rPr>
                <w:rFonts w:asciiTheme="majorHAnsi" w:hAnsiTheme="majorHAnsi"/>
                <w:b/>
                <w:color w:val="006600"/>
              </w:rPr>
              <w:t xml:space="preserve">PART </w:t>
            </w:r>
            <w:r w:rsidR="00FF0BB6">
              <w:rPr>
                <w:rFonts w:asciiTheme="majorHAnsi" w:hAnsiTheme="majorHAnsi"/>
                <w:b/>
                <w:color w:val="006600"/>
              </w:rPr>
              <w:t>1:  Childhood</w:t>
            </w:r>
          </w:p>
          <w:p w14:paraId="729C22AD" w14:textId="77777777" w:rsidR="00AA61C5" w:rsidRDefault="001E00F2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1)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54A7F" w:rsidRPr="00854A7F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Definitions of Deviance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(1-21)</w:t>
            </w:r>
            <w:r w:rsidR="00854A7F">
              <w:rPr>
                <w:rFonts w:asciiTheme="majorHAnsi" w:hAnsiTheme="majorHAnsi"/>
                <w:color w:val="auto"/>
                <w:sz w:val="20"/>
                <w:szCs w:val="20"/>
              </w:rPr>
              <w:t>, by Desmond Ellis (in</w:t>
            </w:r>
            <w:r w:rsidR="00854A7F" w:rsidRPr="00854A7F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854A7F" w:rsidRPr="00854A7F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The Wrong Stuff</w:t>
            </w:r>
            <w:r w:rsidR="00AA61C5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: An introduction to the </w:t>
            </w:r>
          </w:p>
          <w:p w14:paraId="6AEB4A92" w14:textId="77777777" w:rsidR="00854A7F" w:rsidRPr="00854A7F" w:rsidRDefault="00AA61C5" w:rsidP="001E00F2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    </w:t>
            </w: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sociological study of deviance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1996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)</w:t>
            </w:r>
            <w:r w:rsidR="00854A7F" w:rsidRPr="00854A7F">
              <w:rPr>
                <w:rFonts w:asciiTheme="majorHAnsi" w:hAnsiTheme="majorHAnsi"/>
                <w:color w:val="auto"/>
                <w:sz w:val="20"/>
                <w:szCs w:val="20"/>
              </w:rPr>
              <w:t>.</w:t>
            </w:r>
          </w:p>
          <w:p w14:paraId="5F98A977" w14:textId="77777777" w:rsidR="00300FB4" w:rsidRDefault="002E1040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2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E00F2"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Family of Origins</w:t>
            </w:r>
            <w:r w:rsidR="00300FB4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(17-24)</w:t>
            </w:r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</w:t>
            </w:r>
            <w:proofErr w:type="spellStart"/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>Tuhoe</w:t>
            </w:r>
            <w:proofErr w:type="spellEnd"/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Isaac (in </w:t>
            </w:r>
            <w:r w:rsidR="001E00F2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True Red: The Life of an ex-Mongrel Mob Gang </w:t>
            </w:r>
          </w:p>
          <w:p w14:paraId="7EAA1FC1" w14:textId="77777777" w:rsidR="001E00F2" w:rsidRPr="00300FB4" w:rsidRDefault="00300FB4" w:rsidP="001E00F2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1E00F2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Leader</w:t>
            </w:r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2007)</w:t>
            </w:r>
          </w:p>
          <w:p w14:paraId="5F913409" w14:textId="77777777" w:rsidR="00300FB4" w:rsidRDefault="002A5656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3) 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Touch of Love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(1-14)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Sonia Rodriguez &amp; </w:t>
            </w:r>
            <w:proofErr w:type="spellStart"/>
            <w:r>
              <w:rPr>
                <w:rFonts w:asciiTheme="majorHAnsi" w:hAnsiTheme="majorHAnsi"/>
                <w:color w:val="auto"/>
                <w:sz w:val="20"/>
                <w:szCs w:val="20"/>
              </w:rPr>
              <w:t>Reymundo</w:t>
            </w:r>
            <w:proofErr w:type="spellEnd"/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Sanchez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(</w:t>
            </w:r>
            <w:r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Lady Q: The Rise and Fall of a </w:t>
            </w:r>
          </w:p>
          <w:p w14:paraId="60862019" w14:textId="77777777" w:rsidR="002A5656" w:rsidRPr="00300FB4" w:rsidRDefault="00300FB4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Latin </w:t>
            </w:r>
            <w:r w:rsidR="002A5656"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Queen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2008</w:t>
            </w:r>
            <w:r w:rsidR="002A5656">
              <w:rPr>
                <w:rFonts w:asciiTheme="majorHAnsi" w:hAnsiTheme="majorHAnsi"/>
                <w:color w:val="auto"/>
                <w:sz w:val="20"/>
                <w:szCs w:val="20"/>
              </w:rPr>
              <w:t>) (1-14)</w:t>
            </w:r>
          </w:p>
          <w:p w14:paraId="148A4F54" w14:textId="77777777" w:rsidR="00390338" w:rsidRPr="00FF0BB6" w:rsidRDefault="002A5656" w:rsidP="001E00F2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4</w:t>
            </w:r>
            <w:r w:rsidR="00390338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) </w:t>
            </w:r>
            <w:r w:rsidR="00390338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Jenny: In a Criminal Business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(104-110)</w:t>
            </w:r>
            <w:r w:rsidR="00FF0BB6">
              <w:rPr>
                <w:rFonts w:asciiTheme="majorHAnsi" w:hAnsiTheme="majorHAnsi"/>
                <w:color w:val="auto"/>
                <w:sz w:val="20"/>
                <w:szCs w:val="20"/>
              </w:rPr>
              <w:t>, by Jenny Hicks &amp;</w:t>
            </w:r>
            <w:r w:rsidR="00390338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Pat Carlen (in </w:t>
            </w:r>
            <w:r w:rsidR="00390338" w:rsidRPr="00390338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Criminal Women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, 1985)</w:t>
            </w:r>
          </w:p>
          <w:p w14:paraId="191200BE" w14:textId="77777777" w:rsidR="00300FB4" w:rsidRDefault="002A5656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5</w:t>
            </w:r>
            <w:r w:rsidR="001E00F2"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="001E00F2"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54A7F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Sociological Views of Delinquency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(81-106)</w:t>
            </w:r>
            <w:r w:rsidR="00854A7F" w:rsidRPr="00854A7F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Larry Siegel &amp; Brandon Welsh (in </w:t>
            </w:r>
            <w:r w:rsidR="00854A7F" w:rsidRPr="00854A7F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Juvenile </w:t>
            </w:r>
          </w:p>
          <w:p w14:paraId="62B3277A" w14:textId="77777777" w:rsidR="001E00F2" w:rsidRPr="00300FB4" w:rsidRDefault="00300FB4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854A7F" w:rsidRPr="00854A7F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Delinquency: The Core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>, 2005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)</w:t>
            </w:r>
          </w:p>
          <w:p w14:paraId="0DFE64D7" w14:textId="77777777" w:rsidR="001E00F2" w:rsidRPr="001E00F2" w:rsidRDefault="001E00F2" w:rsidP="001E00F2">
            <w:pPr>
              <w:rPr>
                <w:rFonts w:asciiTheme="majorHAnsi" w:hAnsiTheme="majorHAnsi"/>
              </w:rPr>
            </w:pPr>
          </w:p>
          <w:p w14:paraId="736F46B2" w14:textId="77777777" w:rsidR="001E00F2" w:rsidRPr="001E00F2" w:rsidRDefault="001E00F2" w:rsidP="001E00F2">
            <w:pPr>
              <w:spacing w:line="360" w:lineRule="auto"/>
              <w:rPr>
                <w:rFonts w:asciiTheme="majorHAnsi" w:hAnsiTheme="majorHAnsi"/>
                <w:color w:val="006600"/>
              </w:rPr>
            </w:pPr>
            <w:r w:rsidRPr="001E00F2">
              <w:rPr>
                <w:rFonts w:asciiTheme="majorHAnsi" w:hAnsiTheme="majorHAnsi"/>
                <w:b/>
                <w:color w:val="006600"/>
              </w:rPr>
              <w:t>PART 2:  Juvenile Delinquency</w:t>
            </w:r>
          </w:p>
          <w:p w14:paraId="0EF81C85" w14:textId="77777777" w:rsidR="006E53CC" w:rsidRDefault="002A5656" w:rsidP="002A565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1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Developmental Views of Delinquency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(107-129), by Larry Siegel and Brandon</w:t>
            </w:r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Welsh (in </w:t>
            </w:r>
          </w:p>
          <w:p w14:paraId="5F6AC58C" w14:textId="77777777" w:rsidR="002A5656" w:rsidRPr="006E53CC" w:rsidRDefault="006E53CC" w:rsidP="002A5656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   </w:t>
            </w:r>
            <w:r w:rsidR="002A5656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Juvenile Delinquency: The Core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2005)</w:t>
            </w:r>
          </w:p>
          <w:p w14:paraId="1E2984A5" w14:textId="77777777" w:rsidR="006E53CC" w:rsidRDefault="002A5656" w:rsidP="002A5656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2) 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Loss of Innocence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(39-45)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Sonia Rodriguez &amp; </w:t>
            </w:r>
            <w:proofErr w:type="spellStart"/>
            <w:r>
              <w:rPr>
                <w:rFonts w:asciiTheme="majorHAnsi" w:hAnsiTheme="majorHAnsi"/>
                <w:color w:val="auto"/>
                <w:sz w:val="20"/>
                <w:szCs w:val="20"/>
              </w:rPr>
              <w:t>Reymundo</w:t>
            </w:r>
            <w:proofErr w:type="spellEnd"/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Sanchez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(</w:t>
            </w:r>
            <w:r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Lady Q: The Rise and Fall </w:t>
            </w:r>
          </w:p>
          <w:p w14:paraId="39D2804A" w14:textId="77777777" w:rsidR="002A5656" w:rsidRPr="002A5656" w:rsidRDefault="006E53CC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2A5656"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of a Latin Queen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2008)</w:t>
            </w:r>
          </w:p>
          <w:p w14:paraId="5B906242" w14:textId="77777777" w:rsidR="00C511C5" w:rsidRPr="00FF0BB6" w:rsidRDefault="002A5656" w:rsidP="001E00F2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3</w:t>
            </w:r>
            <w:r w:rsidR="00C511C5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) </w:t>
            </w:r>
            <w:r w:rsidR="00C511C5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Jenny: In a Criminal Business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(110-114)</w:t>
            </w:r>
            <w:r w:rsidR="00FF0BB6">
              <w:rPr>
                <w:rFonts w:asciiTheme="majorHAnsi" w:hAnsiTheme="majorHAnsi"/>
                <w:color w:val="auto"/>
                <w:sz w:val="20"/>
                <w:szCs w:val="20"/>
              </w:rPr>
              <w:t>, by Jenny Hicks &amp;</w:t>
            </w:r>
            <w:r w:rsidR="00C511C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Pat Carlen (in </w:t>
            </w:r>
            <w:r w:rsidR="00C511C5" w:rsidRPr="00390338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Criminal Women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>, 1985)</w:t>
            </w:r>
          </w:p>
          <w:p w14:paraId="4D1673D7" w14:textId="77777777" w:rsidR="00FF0BB6" w:rsidRDefault="00FF0BB6" w:rsidP="00FF0BB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  <w:p w14:paraId="7166CE3A" w14:textId="77777777" w:rsidR="007E0155" w:rsidRDefault="007E0155" w:rsidP="00FF0BB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  <w:p w14:paraId="10028015" w14:textId="77777777" w:rsidR="007E0155" w:rsidRDefault="007E0155" w:rsidP="00FF0BB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  <w:p w14:paraId="4AF86697" w14:textId="77777777" w:rsidR="007E0155" w:rsidRDefault="007E0155" w:rsidP="00FF0BB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  <w:p w14:paraId="36849B34" w14:textId="77777777" w:rsidR="001E00F2" w:rsidRPr="00FF0BB6" w:rsidRDefault="00FF0BB6" w:rsidP="00FF0BB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006600"/>
              </w:rPr>
              <w:lastRenderedPageBreak/>
              <w:t>PART 3</w:t>
            </w:r>
            <w:r w:rsidRPr="001E00F2">
              <w:rPr>
                <w:rFonts w:asciiTheme="majorHAnsi" w:hAnsiTheme="majorHAnsi"/>
                <w:b/>
                <w:bCs/>
                <w:color w:val="006600"/>
              </w:rPr>
              <w:t xml:space="preserve">: </w:t>
            </w:r>
            <w:r>
              <w:rPr>
                <w:rFonts w:asciiTheme="majorHAnsi" w:hAnsiTheme="majorHAnsi"/>
                <w:b/>
                <w:bCs/>
                <w:color w:val="006600"/>
              </w:rPr>
              <w:t>Gang Life</w:t>
            </w:r>
          </w:p>
          <w:p w14:paraId="1842E665" w14:textId="77777777" w:rsidR="006E53CC" w:rsidRDefault="002A5656" w:rsidP="002A565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1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Peers &amp; Delinquency: Juvenile Gangs &amp; Groups</w:t>
            </w:r>
            <w:r w:rsidR="006E53CC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>(183-202)</w:t>
            </w:r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Larry Siegel &amp; Brandon Welsh (in </w:t>
            </w:r>
          </w:p>
          <w:p w14:paraId="598D75A0" w14:textId="77777777" w:rsidR="002A5656" w:rsidRPr="006E53CC" w:rsidRDefault="006E53CC" w:rsidP="002A5656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    </w:t>
            </w:r>
            <w:r w:rsidR="002A5656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Juvenile Delinquency: The Core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2005)</w:t>
            </w:r>
          </w:p>
          <w:p w14:paraId="22E65929" w14:textId="77777777" w:rsidR="006E53CC" w:rsidRDefault="002A5656" w:rsidP="00FF0BB6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2</w:t>
            </w:r>
            <w:r w:rsidR="00FF0BB6"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="00FF0BB6"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F0BB6"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The Dog Rules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(1-15)</w:t>
            </w:r>
            <w:r w:rsidR="00FF0BB6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</w:t>
            </w:r>
            <w:proofErr w:type="spellStart"/>
            <w:r w:rsidR="00FF0BB6" w:rsidRPr="001E00F2">
              <w:rPr>
                <w:rFonts w:asciiTheme="majorHAnsi" w:hAnsiTheme="majorHAnsi"/>
                <w:color w:val="auto"/>
                <w:sz w:val="20"/>
                <w:szCs w:val="20"/>
              </w:rPr>
              <w:t>Tuhoe</w:t>
            </w:r>
            <w:proofErr w:type="spellEnd"/>
            <w:r w:rsidR="00FF0BB6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Isaac (in </w:t>
            </w:r>
            <w:r w:rsidR="00FF0BB6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True Red: The Life of an ex-Mongrel Mob Gang </w:t>
            </w:r>
          </w:p>
          <w:p w14:paraId="79F75228" w14:textId="77777777" w:rsidR="00FF0BB6" w:rsidRPr="006E53CC" w:rsidRDefault="006E53CC" w:rsidP="00FF0BB6">
            <w:pPr>
              <w:spacing w:line="360" w:lineRule="auto"/>
              <w:rPr>
                <w:rFonts w:asciiTheme="majorHAnsi" w:hAnsiTheme="majorHAns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FF0BB6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Leader</w:t>
            </w:r>
            <w:r>
              <w:rPr>
                <w:rFonts w:asciiTheme="majorHAnsi" w:hAnsiTheme="majorHAnsi"/>
                <w:b/>
                <w:i/>
                <w:color w:val="auto"/>
                <w:sz w:val="20"/>
                <w:szCs w:val="20"/>
              </w:rPr>
              <w:t>,</w:t>
            </w:r>
            <w:r w:rsidR="00FF0BB6">
              <w:rPr>
                <w:rFonts w:asciiTheme="majorHAnsi" w:hAnsiTheme="majorHAnsi"/>
                <w:b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2007)</w:t>
            </w:r>
          </w:p>
          <w:p w14:paraId="2017C7B0" w14:textId="77777777" w:rsidR="006E53CC" w:rsidRDefault="002A5656" w:rsidP="002A565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3) 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Lady Q Emerges</w:t>
            </w:r>
            <w:r w:rsidR="006E53CC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>(47-54)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; </w:t>
            </w:r>
            <w:r w:rsidR="00300FB4" w:rsidRPr="006E53CC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The Benefits of Royalty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(83-85)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;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 w:rsidR="006E53CC" w:rsidRPr="006E53CC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The Queen of Kings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(128-135)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by Sonia </w:t>
            </w:r>
          </w:p>
          <w:p w14:paraId="4B5467DB" w14:textId="77777777" w:rsidR="00FF0BB6" w:rsidRPr="002A5656" w:rsidRDefault="006E53CC" w:rsidP="00F24168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    </w:t>
            </w:r>
            <w:r w:rsidR="002A565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Rodriguez &amp; </w:t>
            </w:r>
            <w:proofErr w:type="spellStart"/>
            <w:r w:rsidR="002A5656">
              <w:rPr>
                <w:rFonts w:asciiTheme="majorHAnsi" w:hAnsiTheme="majorHAnsi"/>
                <w:color w:val="auto"/>
                <w:sz w:val="20"/>
                <w:szCs w:val="20"/>
              </w:rPr>
              <w:t>Reymundo</w:t>
            </w:r>
            <w:proofErr w:type="spellEnd"/>
            <w:r w:rsidR="002A5656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Sanchez</w:t>
            </w:r>
            <w:r w:rsidR="002A5656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2A5656">
              <w:rPr>
                <w:rFonts w:asciiTheme="majorHAnsi" w:hAnsiTheme="majorHAnsi"/>
                <w:color w:val="auto"/>
                <w:sz w:val="20"/>
                <w:szCs w:val="20"/>
              </w:rPr>
              <w:t>(</w:t>
            </w:r>
            <w:r w:rsidR="002A5656"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L</w:t>
            </w: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ady Q: The Rise and Fall of a</w:t>
            </w:r>
            <w:r w:rsidR="002A5656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2A5656"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Latin Queen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2008)</w:t>
            </w:r>
          </w:p>
          <w:p w14:paraId="002109E4" w14:textId="77777777" w:rsidR="00FF0BB6" w:rsidRDefault="00FF0BB6" w:rsidP="00F24168">
            <w:pPr>
              <w:spacing w:line="360" w:lineRule="auto"/>
              <w:rPr>
                <w:rFonts w:asciiTheme="majorHAnsi" w:hAnsiTheme="majorHAnsi"/>
                <w:b/>
                <w:bCs/>
                <w:color w:val="006600"/>
              </w:rPr>
            </w:pPr>
          </w:p>
          <w:p w14:paraId="0E850E54" w14:textId="77777777" w:rsidR="00F24168" w:rsidRPr="001E00F2" w:rsidRDefault="00FF0BB6" w:rsidP="00F24168">
            <w:pPr>
              <w:spacing w:line="360" w:lineRule="auto"/>
              <w:rPr>
                <w:rFonts w:asciiTheme="majorHAnsi" w:hAnsiTheme="majorHAnsi"/>
                <w:color w:val="006600"/>
              </w:rPr>
            </w:pPr>
            <w:r>
              <w:rPr>
                <w:rFonts w:asciiTheme="majorHAnsi" w:hAnsiTheme="majorHAnsi"/>
                <w:b/>
                <w:bCs/>
                <w:color w:val="006600"/>
              </w:rPr>
              <w:t>PART 4</w:t>
            </w:r>
            <w:r w:rsidR="00F24168" w:rsidRPr="001E00F2">
              <w:rPr>
                <w:rFonts w:asciiTheme="majorHAnsi" w:hAnsiTheme="majorHAnsi"/>
                <w:b/>
                <w:bCs/>
                <w:color w:val="006600"/>
              </w:rPr>
              <w:t xml:space="preserve">:  </w:t>
            </w:r>
            <w:r w:rsidR="00F24168" w:rsidRPr="001E00F2">
              <w:rPr>
                <w:rFonts w:asciiTheme="majorHAnsi" w:hAnsiTheme="majorHAnsi"/>
                <w:b/>
                <w:color w:val="006600"/>
              </w:rPr>
              <w:t>Victimization</w:t>
            </w:r>
            <w:r w:rsidR="00F24168" w:rsidRPr="001E00F2">
              <w:rPr>
                <w:rFonts w:asciiTheme="majorHAnsi" w:hAnsiTheme="majorHAnsi"/>
                <w:color w:val="006600"/>
              </w:rPr>
              <w:t xml:space="preserve"> </w:t>
            </w:r>
            <w:r w:rsidR="00F24168" w:rsidRPr="001E00F2">
              <w:rPr>
                <w:rFonts w:asciiTheme="majorHAnsi" w:hAnsiTheme="majorHAnsi"/>
                <w:b/>
                <w:color w:val="006600"/>
              </w:rPr>
              <w:t>&amp; Emotion</w:t>
            </w:r>
          </w:p>
          <w:p w14:paraId="21835D39" w14:textId="77777777" w:rsidR="002A5656" w:rsidRDefault="002A5656" w:rsidP="002A5656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1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Victims and Victimization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(113-129)</w:t>
            </w:r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Eamon </w:t>
            </w:r>
            <w:proofErr w:type="spellStart"/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>Carrabine</w:t>
            </w:r>
            <w:proofErr w:type="spellEnd"/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et al. (in </w:t>
            </w:r>
            <w:r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Criminology: A sociological </w:t>
            </w:r>
          </w:p>
          <w:p w14:paraId="479C1819" w14:textId="77777777" w:rsidR="002A5656" w:rsidRPr="001E00F2" w:rsidRDefault="002A5656" w:rsidP="002A5656">
            <w:pPr>
              <w:spacing w:line="36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introduction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>, 2004)</w:t>
            </w:r>
          </w:p>
          <w:p w14:paraId="4A555292" w14:textId="77777777" w:rsidR="006E53CC" w:rsidRDefault="002A5656" w:rsidP="002A5656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2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Crime and Emotion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(170-183)</w:t>
            </w:r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Eamon </w:t>
            </w:r>
            <w:proofErr w:type="spellStart"/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>Carrabine</w:t>
            </w:r>
            <w:proofErr w:type="spellEnd"/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et al. (in </w:t>
            </w:r>
            <w:r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Criminology: A sociological </w:t>
            </w:r>
          </w:p>
          <w:p w14:paraId="464D7C90" w14:textId="77777777" w:rsidR="002A5656" w:rsidRPr="006E53CC" w:rsidRDefault="006E53CC" w:rsidP="002A5656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2A5656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introduction</w:t>
            </w:r>
            <w:r w:rsidR="002A5656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2004)</w:t>
            </w:r>
          </w:p>
          <w:p w14:paraId="25B06BC4" w14:textId="77777777" w:rsidR="006E53CC" w:rsidRDefault="002A5656" w:rsidP="00F24168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3</w:t>
            </w:r>
            <w:r w:rsidR="00F24168"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="00F24168"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24168"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Bottom Rocker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(35-47)</w:t>
            </w:r>
            <w:r w:rsidR="00F24168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</w:t>
            </w:r>
            <w:proofErr w:type="spellStart"/>
            <w:r w:rsidR="00F24168" w:rsidRPr="001E00F2">
              <w:rPr>
                <w:rFonts w:asciiTheme="majorHAnsi" w:hAnsiTheme="majorHAnsi"/>
                <w:color w:val="auto"/>
                <w:sz w:val="20"/>
                <w:szCs w:val="20"/>
              </w:rPr>
              <w:t>Tuhoe</w:t>
            </w:r>
            <w:proofErr w:type="spellEnd"/>
            <w:r w:rsidR="00F24168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Isaac (in </w:t>
            </w:r>
            <w:r w:rsidR="00F24168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True Red: The Life of an ex-Mongrel Mob Gang </w:t>
            </w:r>
          </w:p>
          <w:p w14:paraId="7C2314AB" w14:textId="77777777" w:rsidR="00F24168" w:rsidRPr="001E00F2" w:rsidRDefault="006E53CC" w:rsidP="00F24168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F24168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Leader</w:t>
            </w:r>
            <w:r w:rsidR="00F24168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2007)</w:t>
            </w:r>
          </w:p>
          <w:p w14:paraId="68DCD57C" w14:textId="77777777" w:rsidR="006E53CC" w:rsidRDefault="00113F72" w:rsidP="00113F7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4) </w:t>
            </w:r>
            <w:r w:rsidR="00300FB4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The Queen of Talk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(95-117)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Sonia Rodriguez &amp; </w:t>
            </w:r>
            <w:proofErr w:type="spellStart"/>
            <w:r>
              <w:rPr>
                <w:rFonts w:asciiTheme="majorHAnsi" w:hAnsiTheme="majorHAnsi"/>
                <w:color w:val="auto"/>
                <w:sz w:val="20"/>
                <w:szCs w:val="20"/>
              </w:rPr>
              <w:t>Reymundo</w:t>
            </w:r>
            <w:proofErr w:type="spellEnd"/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Sanchez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(</w:t>
            </w:r>
            <w:r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Lady Q: The Rise and Fall </w:t>
            </w:r>
          </w:p>
          <w:p w14:paraId="7AF6EF81" w14:textId="77777777" w:rsidR="002A5656" w:rsidRPr="00113F72" w:rsidRDefault="006E53CC" w:rsidP="00F24168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113F72"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of a Latin Queen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2008)</w:t>
            </w:r>
          </w:p>
          <w:p w14:paraId="6E4F128F" w14:textId="77777777" w:rsidR="00C511C5" w:rsidRDefault="00113F72" w:rsidP="00F24168">
            <w:pPr>
              <w:spacing w:line="360" w:lineRule="auto"/>
              <w:rPr>
                <w:rFonts w:asciiTheme="majorHAnsi" w:hAnsiTheme="majorHAnsi"/>
                <w:b/>
                <w:color w:val="0066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5</w:t>
            </w:r>
            <w:r w:rsidR="00C511C5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) </w:t>
            </w:r>
            <w:r w:rsidR="00C511C5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Jenny: In a Criminal Business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(114-129</w:t>
            </w:r>
            <w:r w:rsidR="00FF0BB6">
              <w:rPr>
                <w:rFonts w:asciiTheme="majorHAnsi" w:hAnsiTheme="majorHAnsi"/>
                <w:color w:val="auto"/>
                <w:sz w:val="20"/>
                <w:szCs w:val="20"/>
              </w:rPr>
              <w:t>, by Jenny Hicks &amp;</w:t>
            </w:r>
            <w:r w:rsidR="00C511C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Pat Carlen (in </w:t>
            </w:r>
            <w:r w:rsidR="00C511C5" w:rsidRPr="00390338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Criminal Women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>, 1985)</w:t>
            </w:r>
          </w:p>
          <w:p w14:paraId="6A87EAF6" w14:textId="77777777" w:rsidR="00F24168" w:rsidRPr="001E00F2" w:rsidRDefault="00F24168" w:rsidP="001E00F2">
            <w:pPr>
              <w:rPr>
                <w:rFonts w:asciiTheme="majorHAnsi" w:hAnsiTheme="majorHAnsi" w:cs="Arial"/>
                <w:bCs/>
              </w:rPr>
            </w:pPr>
          </w:p>
          <w:p w14:paraId="7B4DD8AC" w14:textId="77777777" w:rsidR="001E00F2" w:rsidRPr="001E00F2" w:rsidRDefault="00FF0BB6" w:rsidP="001E00F2">
            <w:pPr>
              <w:spacing w:line="360" w:lineRule="auto"/>
              <w:rPr>
                <w:rFonts w:asciiTheme="majorHAnsi" w:hAnsiTheme="majorHAnsi"/>
                <w:color w:val="006600"/>
              </w:rPr>
            </w:pPr>
            <w:r>
              <w:rPr>
                <w:rFonts w:asciiTheme="majorHAnsi" w:hAnsiTheme="majorHAnsi"/>
                <w:b/>
                <w:bCs/>
                <w:color w:val="006600"/>
              </w:rPr>
              <w:t>PART 5</w:t>
            </w:r>
            <w:r w:rsidR="001E00F2" w:rsidRPr="001E00F2">
              <w:rPr>
                <w:rFonts w:asciiTheme="majorHAnsi" w:hAnsiTheme="majorHAnsi"/>
                <w:b/>
                <w:bCs/>
                <w:color w:val="006600"/>
              </w:rPr>
              <w:t xml:space="preserve">:  </w:t>
            </w:r>
            <w:r w:rsidR="001E00F2" w:rsidRPr="001E00F2">
              <w:rPr>
                <w:rFonts w:asciiTheme="majorHAnsi" w:hAnsiTheme="majorHAnsi"/>
                <w:b/>
                <w:color w:val="006600"/>
              </w:rPr>
              <w:t>Prison and Punishment</w:t>
            </w:r>
          </w:p>
          <w:p w14:paraId="747E419B" w14:textId="77777777" w:rsidR="006E53CC" w:rsidRDefault="00300FB4" w:rsidP="00300FB4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1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The History of Punishment</w:t>
            </w:r>
            <w:r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/ The Goals of Modern Sentencing</w:t>
            </w:r>
            <w:r w:rsidR="006E53CC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(294-299), by Larry Siegel &amp; Joseph</w:t>
            </w:r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</w:p>
          <w:p w14:paraId="2AA7D2B8" w14:textId="77777777" w:rsidR="00300FB4" w:rsidRPr="001E00F2" w:rsidRDefault="006E53CC" w:rsidP="00300FB4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    </w:t>
            </w:r>
            <w:r w:rsidR="00300FB4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Senna (in </w:t>
            </w:r>
            <w:r w:rsidR="00300FB4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Essentials of Criminal Justice</w:t>
            </w:r>
            <w:r w:rsidR="00300FB4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2007)</w:t>
            </w:r>
          </w:p>
          <w:p w14:paraId="034B969E" w14:textId="77777777" w:rsidR="004622A0" w:rsidRDefault="00300FB4" w:rsidP="00300FB4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2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Prison Life: Living and Leaving Prison</w:t>
            </w:r>
            <w:r w:rsidR="004622A0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(386-404), by Larry Siegel and Joseph</w:t>
            </w:r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Senna (in </w:t>
            </w:r>
            <w:r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Essentials </w:t>
            </w:r>
          </w:p>
          <w:p w14:paraId="05DDE09A" w14:textId="77777777" w:rsidR="00300FB4" w:rsidRPr="004622A0" w:rsidRDefault="004622A0" w:rsidP="00300FB4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300FB4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of Criminal Justice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2007)</w:t>
            </w:r>
          </w:p>
          <w:p w14:paraId="2BFE2614" w14:textId="77777777" w:rsidR="00BB7D5D" w:rsidRDefault="00300FB4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3</w:t>
            </w:r>
            <w:r w:rsidR="001E00F2"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="001E00F2"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E00F2"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Doing the Lag</w:t>
            </w:r>
            <w:r w:rsidR="004622A0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BB7D5D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(25-34); </w:t>
            </w:r>
            <w:r w:rsidR="00BB7D5D"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Inside </w:t>
            </w:r>
            <w:proofErr w:type="spellStart"/>
            <w:r w:rsidR="00BB7D5D"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Paremoremo</w:t>
            </w:r>
            <w:proofErr w:type="spellEnd"/>
            <w:r w:rsidR="00BB7D5D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(49-67),</w:t>
            </w:r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by </w:t>
            </w:r>
            <w:proofErr w:type="spellStart"/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>Tuhoe</w:t>
            </w:r>
            <w:proofErr w:type="spellEnd"/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Isaac (in </w:t>
            </w:r>
            <w:r w:rsidR="001E00F2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True Red: The Life of an </w:t>
            </w:r>
          </w:p>
          <w:p w14:paraId="5007853A" w14:textId="77777777" w:rsidR="001E00F2" w:rsidRPr="00BB7D5D" w:rsidRDefault="00BB7D5D" w:rsidP="001E00F2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1E00F2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ex-Mongrel Mob Gang Leader</w:t>
            </w:r>
            <w:r w:rsidR="001E00F2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2007)</w:t>
            </w:r>
          </w:p>
          <w:p w14:paraId="4B8EE6F6" w14:textId="77777777" w:rsidR="00BB7D5D" w:rsidRDefault="00BB7D5D" w:rsidP="00300FB4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4</w:t>
            </w:r>
            <w:r w:rsidR="00300FB4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) </w:t>
            </w:r>
            <w:r w:rsidR="00300FB4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Thy Kingdom Gone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(189-196)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; </w:t>
            </w:r>
            <w:r w:rsidR="00300FB4" w:rsidRPr="00300FB4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Change but Still the Same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(199-216)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Sonia Rodriguez &amp; </w:t>
            </w:r>
            <w:proofErr w:type="spellStart"/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Reymundo</w:t>
            </w:r>
            <w:proofErr w:type="spellEnd"/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</w:p>
          <w:p w14:paraId="443F4847" w14:textId="77777777" w:rsidR="00300FB4" w:rsidRPr="00300FB4" w:rsidRDefault="00BB7D5D" w:rsidP="001E00F2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    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Sanchez</w:t>
            </w:r>
            <w:r w:rsidR="00300FB4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(</w:t>
            </w:r>
            <w:r w:rsidR="00300FB4"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Lady Q: The Rise and Fall of a Latin Queen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2008)</w:t>
            </w:r>
          </w:p>
          <w:p w14:paraId="4AC4AEA0" w14:textId="77777777" w:rsidR="00C511C5" w:rsidRDefault="00BB7D5D" w:rsidP="001E00F2">
            <w:pPr>
              <w:spacing w:line="360" w:lineRule="auto"/>
              <w:rPr>
                <w:rFonts w:asciiTheme="majorHAnsi" w:hAnsiTheme="majorHAnsi"/>
                <w:b/>
                <w:color w:val="0066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5</w:t>
            </w:r>
            <w:r w:rsidR="00C511C5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) </w:t>
            </w:r>
            <w:r w:rsidR="00C511C5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Jenny: In a Criminal Business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(130-135)</w:t>
            </w:r>
            <w:r w:rsidR="00647FE4">
              <w:rPr>
                <w:rFonts w:asciiTheme="majorHAnsi" w:hAnsiTheme="majorHAnsi"/>
                <w:color w:val="auto"/>
                <w:sz w:val="20"/>
                <w:szCs w:val="20"/>
              </w:rPr>
              <w:t>, by Jenny Hicks &amp;</w:t>
            </w:r>
            <w:r w:rsidR="00C511C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Pat Carlen (in </w:t>
            </w:r>
            <w:r w:rsidR="00C511C5" w:rsidRPr="00390338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Criminal Women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1985)</w:t>
            </w:r>
          </w:p>
          <w:p w14:paraId="766BFA00" w14:textId="77777777" w:rsidR="001E00F2" w:rsidRPr="001E00F2" w:rsidRDefault="001E00F2" w:rsidP="001E00F2">
            <w:pPr>
              <w:rPr>
                <w:rFonts w:asciiTheme="majorHAnsi" w:hAnsiTheme="majorHAnsi"/>
              </w:rPr>
            </w:pPr>
          </w:p>
          <w:p w14:paraId="2762D5F3" w14:textId="77777777" w:rsidR="001E00F2" w:rsidRPr="001E00F2" w:rsidRDefault="00FF0BB6" w:rsidP="001E00F2">
            <w:pPr>
              <w:spacing w:line="360" w:lineRule="auto"/>
              <w:rPr>
                <w:rFonts w:asciiTheme="majorHAnsi" w:hAnsiTheme="majorHAnsi"/>
                <w:color w:val="006600"/>
              </w:rPr>
            </w:pPr>
            <w:r>
              <w:rPr>
                <w:rFonts w:asciiTheme="majorHAnsi" w:hAnsiTheme="majorHAnsi"/>
                <w:b/>
                <w:bCs/>
                <w:color w:val="006600"/>
              </w:rPr>
              <w:t>PART 6</w:t>
            </w:r>
            <w:r w:rsidR="001E00F2" w:rsidRPr="001E00F2">
              <w:rPr>
                <w:rFonts w:asciiTheme="majorHAnsi" w:hAnsiTheme="majorHAnsi"/>
                <w:b/>
                <w:bCs/>
                <w:color w:val="006600"/>
              </w:rPr>
              <w:t xml:space="preserve">:  </w:t>
            </w:r>
            <w:r w:rsidR="001E00F2" w:rsidRPr="001E00F2">
              <w:rPr>
                <w:rFonts w:asciiTheme="majorHAnsi" w:hAnsiTheme="majorHAnsi"/>
                <w:b/>
                <w:color w:val="006600"/>
              </w:rPr>
              <w:t>Desistance from Crime</w:t>
            </w:r>
          </w:p>
          <w:p w14:paraId="15B6A02D" w14:textId="77777777" w:rsidR="00BB7D5D" w:rsidRDefault="00300FB4" w:rsidP="00300FB4">
            <w:pPr>
              <w:spacing w:line="360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1</w:t>
            </w:r>
            <w:r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Desistance from Crime over the Life Course</w:t>
            </w:r>
            <w:r w:rsidR="00BB7D5D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  <w:r w:rsidR="00BB7D5D">
              <w:rPr>
                <w:rFonts w:asciiTheme="majorHAnsi" w:hAnsiTheme="majorHAnsi"/>
                <w:color w:val="auto"/>
                <w:sz w:val="20"/>
                <w:szCs w:val="20"/>
              </w:rPr>
              <w:t>(295-309), by Robert Sampson &amp; John</w:t>
            </w:r>
            <w:r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Laub (in </w:t>
            </w:r>
          </w:p>
          <w:p w14:paraId="1A2B8A1C" w14:textId="77777777" w:rsidR="00300FB4" w:rsidRPr="00BB7D5D" w:rsidRDefault="00BB7D5D" w:rsidP="00300FB4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    </w:t>
            </w:r>
            <w:r w:rsidR="00300FB4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Handbook of the Life Course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2004)</w:t>
            </w:r>
          </w:p>
          <w:p w14:paraId="135E0AA6" w14:textId="77777777" w:rsidR="00BB7D5D" w:rsidRDefault="00BB7D5D" w:rsidP="00BB7D5D">
            <w:pPr>
              <w:spacing w:line="360" w:lineRule="auto"/>
              <w:rPr>
                <w:rFonts w:asciiTheme="majorHAnsi" w:hAnsiTheme="majorHAnsi"/>
                <w:b/>
                <w:color w:val="0066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2) </w:t>
            </w: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Jenny: In a Criminal Business 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(135-137), by Jenny Hicks &amp; Pat Carlen (in </w:t>
            </w:r>
            <w:r w:rsidRPr="00390338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Criminal Women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1985)</w:t>
            </w:r>
          </w:p>
          <w:p w14:paraId="19CB37CE" w14:textId="77777777" w:rsidR="00BB7D5D" w:rsidRDefault="00BB7D5D" w:rsidP="00F24168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3</w:t>
            </w:r>
            <w:r w:rsidR="00F24168" w:rsidRPr="001E00F2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)</w:t>
            </w:r>
            <w:r w:rsidR="00F24168" w:rsidRPr="001E00F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24168" w:rsidRPr="001E00F2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Return to the Dog’s Vomit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(105-108); </w:t>
            </w:r>
            <w:r w:rsidRPr="00BB7D5D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Surrender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(91-103; 117-119)</w:t>
            </w:r>
            <w:r w:rsidR="00F24168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, by </w:t>
            </w:r>
            <w:proofErr w:type="spellStart"/>
            <w:r w:rsidR="00F24168" w:rsidRPr="001E00F2">
              <w:rPr>
                <w:rFonts w:asciiTheme="majorHAnsi" w:hAnsiTheme="majorHAnsi"/>
                <w:color w:val="auto"/>
                <w:sz w:val="20"/>
                <w:szCs w:val="20"/>
              </w:rPr>
              <w:t>Tuhoe</w:t>
            </w:r>
            <w:proofErr w:type="spellEnd"/>
            <w:r w:rsidR="00F24168" w:rsidRPr="001E00F2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Isaac (in </w:t>
            </w:r>
            <w:r w:rsidR="00F24168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True Red: </w:t>
            </w:r>
          </w:p>
          <w:p w14:paraId="2428A7D7" w14:textId="77777777" w:rsidR="00F24168" w:rsidRPr="00BB7D5D" w:rsidRDefault="00BB7D5D" w:rsidP="00F24168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 xml:space="preserve">     </w:t>
            </w:r>
            <w:r w:rsidR="00F24168" w:rsidRPr="001E00F2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The Life of an ex-Mongrel Mob Gang Leader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2007)</w:t>
            </w:r>
          </w:p>
          <w:p w14:paraId="46BB99F4" w14:textId="77777777" w:rsidR="00BB7D5D" w:rsidRDefault="00BB7D5D" w:rsidP="00300FB4">
            <w:pPr>
              <w:spacing w:line="360" w:lineRule="auto"/>
              <w:rPr>
                <w:rFonts w:asciiTheme="majorHAnsi" w:hAnsiTheme="majorHAnsi"/>
                <w:i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>4</w:t>
            </w:r>
            <w:r w:rsidR="00300FB4">
              <w:rPr>
                <w:rFonts w:asciiTheme="majorHAnsi" w:hAnsiTheme="majorHAnsi"/>
                <w:b/>
                <w:color w:val="006600"/>
                <w:sz w:val="20"/>
                <w:szCs w:val="20"/>
              </w:rPr>
              <w:t xml:space="preserve">) </w:t>
            </w:r>
            <w:r w:rsidRPr="00BB7D5D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Results of a Discarded Life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(252-259); </w:t>
            </w:r>
            <w:r w:rsidRPr="00BB7D5D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>Epilogue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(261-265) 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by Sonia Rodriguez &amp; </w:t>
            </w:r>
            <w:proofErr w:type="spellStart"/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Reymundo</w:t>
            </w:r>
            <w:proofErr w:type="spellEnd"/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Sanchez</w:t>
            </w:r>
            <w:r w:rsidR="00300FB4"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</w:t>
            </w:r>
          </w:p>
          <w:p w14:paraId="260DFDFC" w14:textId="77777777" w:rsidR="003D1340" w:rsidRPr="007E0155" w:rsidRDefault="00BB7D5D" w:rsidP="007E0155">
            <w:pPr>
              <w:spacing w:line="360" w:lineRule="auto"/>
              <w:rPr>
                <w:rFonts w:asciiTheme="majorHAnsi" w:hAnsiTheme="majorHAnsi"/>
                <w:b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auto"/>
                <w:sz w:val="20"/>
                <w:szCs w:val="20"/>
              </w:rPr>
              <w:t xml:space="preserve">     </w:t>
            </w:r>
            <w:r w:rsidR="00300FB4">
              <w:rPr>
                <w:rFonts w:asciiTheme="majorHAnsi" w:hAnsiTheme="majorHAnsi"/>
                <w:color w:val="auto"/>
                <w:sz w:val="20"/>
                <w:szCs w:val="20"/>
              </w:rPr>
              <w:t>(</w:t>
            </w:r>
            <w:r w:rsidR="00300FB4" w:rsidRPr="002A5656">
              <w:rPr>
                <w:rFonts w:asciiTheme="majorHAnsi" w:hAnsiTheme="majorHAnsi"/>
                <w:b/>
                <w:color w:val="auto"/>
                <w:sz w:val="20"/>
                <w:szCs w:val="20"/>
              </w:rPr>
              <w:t>Lady Q: The Rise and Fall of a Latin Queen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>, 2008)</w:t>
            </w:r>
          </w:p>
        </w:tc>
      </w:tr>
    </w:tbl>
    <w:p w14:paraId="72B4ADA2" w14:textId="77777777" w:rsidR="00F13098" w:rsidRPr="00270993" w:rsidRDefault="00F13098" w:rsidP="003D1340">
      <w:pPr>
        <w:pStyle w:val="ListBullet"/>
        <w:numPr>
          <w:ilvl w:val="0"/>
          <w:numId w:val="0"/>
        </w:numPr>
        <w:spacing w:before="40" w:after="40"/>
        <w:rPr>
          <w:color w:val="auto"/>
          <w:sz w:val="2"/>
          <w:szCs w:val="2"/>
          <w14:textOutline w14:w="50800" w14:cap="rnd" w14:cmpd="sng" w14:algn="ctr">
            <w14:solidFill>
              <w14:schemeClr w14:val="bg2">
                <w14:lumMod w14:val="90000"/>
              </w14:schemeClr>
            </w14:solidFill>
            <w14:prstDash w14:val="solid"/>
            <w14:bevel/>
          </w14:textOutline>
        </w:rPr>
      </w:pPr>
    </w:p>
    <w:sectPr w:rsidR="00F13098" w:rsidRPr="00270993" w:rsidSect="00464E8C">
      <w:footerReference w:type="default" r:id="rId13"/>
      <w:headerReference w:type="first" r:id="rId14"/>
      <w:pgSz w:w="12240" w:h="15840" w:code="1"/>
      <w:pgMar w:top="1152" w:right="1152" w:bottom="1152" w:left="115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728C3" w14:textId="77777777" w:rsidR="0004693A" w:rsidRDefault="0004693A" w:rsidP="0068194B">
      <w:r>
        <w:separator/>
      </w:r>
    </w:p>
    <w:p w14:paraId="7CE38BEA" w14:textId="77777777" w:rsidR="0004693A" w:rsidRDefault="0004693A"/>
    <w:p w14:paraId="407B905C" w14:textId="77777777" w:rsidR="0004693A" w:rsidRDefault="0004693A"/>
  </w:endnote>
  <w:endnote w:type="continuationSeparator" w:id="0">
    <w:p w14:paraId="332A58ED" w14:textId="77777777" w:rsidR="0004693A" w:rsidRDefault="0004693A" w:rsidP="0068194B">
      <w:r>
        <w:continuationSeparator/>
      </w:r>
    </w:p>
    <w:p w14:paraId="7AA246F3" w14:textId="77777777" w:rsidR="0004693A" w:rsidRDefault="0004693A"/>
    <w:p w14:paraId="3E88C3BA" w14:textId="77777777" w:rsidR="0004693A" w:rsidRDefault="000469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92B3F" w14:textId="77777777" w:rsidR="005F3D45" w:rsidRDefault="005F3D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1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5B696" w14:textId="77777777" w:rsidR="0004693A" w:rsidRDefault="0004693A" w:rsidP="0068194B">
      <w:r>
        <w:separator/>
      </w:r>
    </w:p>
    <w:p w14:paraId="4ADA6A2A" w14:textId="77777777" w:rsidR="0004693A" w:rsidRDefault="0004693A"/>
    <w:p w14:paraId="3827A6A6" w14:textId="77777777" w:rsidR="0004693A" w:rsidRDefault="0004693A"/>
  </w:footnote>
  <w:footnote w:type="continuationSeparator" w:id="0">
    <w:p w14:paraId="4654B929" w14:textId="77777777" w:rsidR="0004693A" w:rsidRDefault="0004693A" w:rsidP="0068194B">
      <w:r>
        <w:continuationSeparator/>
      </w:r>
    </w:p>
    <w:p w14:paraId="3B5025DF" w14:textId="77777777" w:rsidR="0004693A" w:rsidRDefault="0004693A"/>
    <w:p w14:paraId="0CC9BCE6" w14:textId="77777777" w:rsidR="0004693A" w:rsidRDefault="000469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B3100" w14:textId="77777777" w:rsidR="005F3D45" w:rsidRPr="004E01EB" w:rsidRDefault="005F3D45" w:rsidP="005A1B10">
    <w:pPr>
      <w:pStyle w:val="Header"/>
    </w:pPr>
    <w:r w:rsidRPr="004E01EB">
      <w:rPr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8B3FD2" wp14:editId="001C33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ECCA2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A9D41E4"/>
    <w:multiLevelType w:val="hybridMultilevel"/>
    <w:tmpl w:val="0880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B07A15"/>
    <w:multiLevelType w:val="hybridMultilevel"/>
    <w:tmpl w:val="BB927EE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4785785F"/>
    <w:multiLevelType w:val="hybridMultilevel"/>
    <w:tmpl w:val="E046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215787B"/>
    <w:multiLevelType w:val="hybridMultilevel"/>
    <w:tmpl w:val="5A0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7D"/>
    <w:rsid w:val="000001EF"/>
    <w:rsid w:val="00004F96"/>
    <w:rsid w:val="00007322"/>
    <w:rsid w:val="00007728"/>
    <w:rsid w:val="0001214A"/>
    <w:rsid w:val="00015A1D"/>
    <w:rsid w:val="00017955"/>
    <w:rsid w:val="00024584"/>
    <w:rsid w:val="00024730"/>
    <w:rsid w:val="00041F09"/>
    <w:rsid w:val="0004693A"/>
    <w:rsid w:val="00055A8D"/>
    <w:rsid w:val="00055C81"/>
    <w:rsid w:val="00055E95"/>
    <w:rsid w:val="00064F09"/>
    <w:rsid w:val="0006608E"/>
    <w:rsid w:val="0007021F"/>
    <w:rsid w:val="0007094C"/>
    <w:rsid w:val="00071A6F"/>
    <w:rsid w:val="000808F5"/>
    <w:rsid w:val="0008433B"/>
    <w:rsid w:val="000B1035"/>
    <w:rsid w:val="000B2BA5"/>
    <w:rsid w:val="000B6B6E"/>
    <w:rsid w:val="000C4479"/>
    <w:rsid w:val="000F2F8C"/>
    <w:rsid w:val="0010006E"/>
    <w:rsid w:val="0010305A"/>
    <w:rsid w:val="001045A8"/>
    <w:rsid w:val="00113F72"/>
    <w:rsid w:val="00114A91"/>
    <w:rsid w:val="00132A77"/>
    <w:rsid w:val="00137DB5"/>
    <w:rsid w:val="001427E1"/>
    <w:rsid w:val="0014762A"/>
    <w:rsid w:val="00156F12"/>
    <w:rsid w:val="00163668"/>
    <w:rsid w:val="00171566"/>
    <w:rsid w:val="00174676"/>
    <w:rsid w:val="001755A8"/>
    <w:rsid w:val="00184014"/>
    <w:rsid w:val="00190268"/>
    <w:rsid w:val="00192008"/>
    <w:rsid w:val="00193882"/>
    <w:rsid w:val="001C0E68"/>
    <w:rsid w:val="001C451D"/>
    <w:rsid w:val="001C4B6F"/>
    <w:rsid w:val="001D0BF1"/>
    <w:rsid w:val="001E00F2"/>
    <w:rsid w:val="001E3120"/>
    <w:rsid w:val="001E7E0C"/>
    <w:rsid w:val="001F0BB0"/>
    <w:rsid w:val="001F4E6D"/>
    <w:rsid w:val="001F6140"/>
    <w:rsid w:val="00203573"/>
    <w:rsid w:val="0020597D"/>
    <w:rsid w:val="00213B4C"/>
    <w:rsid w:val="002151E6"/>
    <w:rsid w:val="002253B0"/>
    <w:rsid w:val="00236D54"/>
    <w:rsid w:val="00241D8C"/>
    <w:rsid w:val="00241FDB"/>
    <w:rsid w:val="002429E5"/>
    <w:rsid w:val="00243E2F"/>
    <w:rsid w:val="0024720C"/>
    <w:rsid w:val="002617AE"/>
    <w:rsid w:val="002638D0"/>
    <w:rsid w:val="002647D3"/>
    <w:rsid w:val="00270993"/>
    <w:rsid w:val="00275EAE"/>
    <w:rsid w:val="00280FD4"/>
    <w:rsid w:val="00294998"/>
    <w:rsid w:val="00297F18"/>
    <w:rsid w:val="002A1945"/>
    <w:rsid w:val="002A5656"/>
    <w:rsid w:val="002B2958"/>
    <w:rsid w:val="002B3FC8"/>
    <w:rsid w:val="002D23C5"/>
    <w:rsid w:val="002D6137"/>
    <w:rsid w:val="002E1040"/>
    <w:rsid w:val="002E7E61"/>
    <w:rsid w:val="002F05E5"/>
    <w:rsid w:val="002F254D"/>
    <w:rsid w:val="002F30E4"/>
    <w:rsid w:val="002F43AF"/>
    <w:rsid w:val="00300FB4"/>
    <w:rsid w:val="00306BEC"/>
    <w:rsid w:val="00307140"/>
    <w:rsid w:val="00316DFF"/>
    <w:rsid w:val="00325B57"/>
    <w:rsid w:val="00336056"/>
    <w:rsid w:val="003544E1"/>
    <w:rsid w:val="0036016B"/>
    <w:rsid w:val="0036063D"/>
    <w:rsid w:val="00364AE2"/>
    <w:rsid w:val="00366398"/>
    <w:rsid w:val="0037790E"/>
    <w:rsid w:val="00390338"/>
    <w:rsid w:val="003A0632"/>
    <w:rsid w:val="003A30E5"/>
    <w:rsid w:val="003A6ADF"/>
    <w:rsid w:val="003A6D3B"/>
    <w:rsid w:val="003B5928"/>
    <w:rsid w:val="003C48B5"/>
    <w:rsid w:val="003C6845"/>
    <w:rsid w:val="003C7270"/>
    <w:rsid w:val="003D1340"/>
    <w:rsid w:val="003D1C7D"/>
    <w:rsid w:val="003D380F"/>
    <w:rsid w:val="003D694E"/>
    <w:rsid w:val="003E160D"/>
    <w:rsid w:val="003E54B4"/>
    <w:rsid w:val="003F1D5F"/>
    <w:rsid w:val="00405128"/>
    <w:rsid w:val="00406CFF"/>
    <w:rsid w:val="00407DA8"/>
    <w:rsid w:val="00416B25"/>
    <w:rsid w:val="00420592"/>
    <w:rsid w:val="004319E0"/>
    <w:rsid w:val="00437E8C"/>
    <w:rsid w:val="00440225"/>
    <w:rsid w:val="00440C9D"/>
    <w:rsid w:val="004622A0"/>
    <w:rsid w:val="00464E8C"/>
    <w:rsid w:val="004726BC"/>
    <w:rsid w:val="00474105"/>
    <w:rsid w:val="00480E6E"/>
    <w:rsid w:val="00486277"/>
    <w:rsid w:val="0049403F"/>
    <w:rsid w:val="00494CF6"/>
    <w:rsid w:val="00495F8D"/>
    <w:rsid w:val="004A1FAE"/>
    <w:rsid w:val="004A32FF"/>
    <w:rsid w:val="004B06EB"/>
    <w:rsid w:val="004B6AD0"/>
    <w:rsid w:val="004C2D5D"/>
    <w:rsid w:val="004C33E1"/>
    <w:rsid w:val="004D0ACE"/>
    <w:rsid w:val="004E01EB"/>
    <w:rsid w:val="004E237F"/>
    <w:rsid w:val="004E2794"/>
    <w:rsid w:val="004E29E1"/>
    <w:rsid w:val="00510392"/>
    <w:rsid w:val="00513E2A"/>
    <w:rsid w:val="00531337"/>
    <w:rsid w:val="005478F7"/>
    <w:rsid w:val="00565D42"/>
    <w:rsid w:val="00566A35"/>
    <w:rsid w:val="0056701E"/>
    <w:rsid w:val="005710F7"/>
    <w:rsid w:val="005740D7"/>
    <w:rsid w:val="00586DCE"/>
    <w:rsid w:val="00597B68"/>
    <w:rsid w:val="005A0F26"/>
    <w:rsid w:val="005A1B10"/>
    <w:rsid w:val="005A6850"/>
    <w:rsid w:val="005B1B1B"/>
    <w:rsid w:val="005C5932"/>
    <w:rsid w:val="005D3CA7"/>
    <w:rsid w:val="005D4CC1"/>
    <w:rsid w:val="005F3D45"/>
    <w:rsid w:val="005F4B91"/>
    <w:rsid w:val="005F55D2"/>
    <w:rsid w:val="006007FC"/>
    <w:rsid w:val="0060648D"/>
    <w:rsid w:val="0062312F"/>
    <w:rsid w:val="00625F2C"/>
    <w:rsid w:val="00631099"/>
    <w:rsid w:val="00647FE4"/>
    <w:rsid w:val="00652BA8"/>
    <w:rsid w:val="0065540B"/>
    <w:rsid w:val="006618E9"/>
    <w:rsid w:val="00676173"/>
    <w:rsid w:val="00676C64"/>
    <w:rsid w:val="0068194B"/>
    <w:rsid w:val="00692703"/>
    <w:rsid w:val="006A1962"/>
    <w:rsid w:val="006B5D48"/>
    <w:rsid w:val="006B7D7B"/>
    <w:rsid w:val="006C1A5E"/>
    <w:rsid w:val="006E1507"/>
    <w:rsid w:val="006E2221"/>
    <w:rsid w:val="006E53CC"/>
    <w:rsid w:val="00703E00"/>
    <w:rsid w:val="00712D8B"/>
    <w:rsid w:val="007273B7"/>
    <w:rsid w:val="00730CE7"/>
    <w:rsid w:val="00733E0A"/>
    <w:rsid w:val="0074403D"/>
    <w:rsid w:val="00746D44"/>
    <w:rsid w:val="00750197"/>
    <w:rsid w:val="007538DC"/>
    <w:rsid w:val="00757803"/>
    <w:rsid w:val="00791295"/>
    <w:rsid w:val="0079206B"/>
    <w:rsid w:val="00796076"/>
    <w:rsid w:val="007A4D83"/>
    <w:rsid w:val="007A6788"/>
    <w:rsid w:val="007C0566"/>
    <w:rsid w:val="007C606B"/>
    <w:rsid w:val="007C7B49"/>
    <w:rsid w:val="007E0155"/>
    <w:rsid w:val="007E5F03"/>
    <w:rsid w:val="007E6A61"/>
    <w:rsid w:val="007F4AD3"/>
    <w:rsid w:val="00801140"/>
    <w:rsid w:val="00803404"/>
    <w:rsid w:val="00834955"/>
    <w:rsid w:val="00854A7F"/>
    <w:rsid w:val="00855973"/>
    <w:rsid w:val="00855B59"/>
    <w:rsid w:val="00855F54"/>
    <w:rsid w:val="00860461"/>
    <w:rsid w:val="0086487C"/>
    <w:rsid w:val="00870B20"/>
    <w:rsid w:val="008829F8"/>
    <w:rsid w:val="0088534E"/>
    <w:rsid w:val="00885897"/>
    <w:rsid w:val="0089495E"/>
    <w:rsid w:val="008A6538"/>
    <w:rsid w:val="008C7056"/>
    <w:rsid w:val="008F3B14"/>
    <w:rsid w:val="00901899"/>
    <w:rsid w:val="0090344B"/>
    <w:rsid w:val="00905307"/>
    <w:rsid w:val="00905715"/>
    <w:rsid w:val="0091321E"/>
    <w:rsid w:val="00913946"/>
    <w:rsid w:val="0092726B"/>
    <w:rsid w:val="00930A81"/>
    <w:rsid w:val="009361BA"/>
    <w:rsid w:val="00944F78"/>
    <w:rsid w:val="009510E7"/>
    <w:rsid w:val="00952C89"/>
    <w:rsid w:val="0095375C"/>
    <w:rsid w:val="009571D8"/>
    <w:rsid w:val="009650EA"/>
    <w:rsid w:val="0097790C"/>
    <w:rsid w:val="0098506E"/>
    <w:rsid w:val="00987F10"/>
    <w:rsid w:val="00994734"/>
    <w:rsid w:val="009A41EC"/>
    <w:rsid w:val="009A44CE"/>
    <w:rsid w:val="009B494C"/>
    <w:rsid w:val="009C4937"/>
    <w:rsid w:val="009C4DFC"/>
    <w:rsid w:val="009D44F8"/>
    <w:rsid w:val="009E3160"/>
    <w:rsid w:val="009F220C"/>
    <w:rsid w:val="009F3B05"/>
    <w:rsid w:val="009F4931"/>
    <w:rsid w:val="009F67D2"/>
    <w:rsid w:val="00A14534"/>
    <w:rsid w:val="00A149F7"/>
    <w:rsid w:val="00A16DAA"/>
    <w:rsid w:val="00A2127A"/>
    <w:rsid w:val="00A24162"/>
    <w:rsid w:val="00A25023"/>
    <w:rsid w:val="00A270EA"/>
    <w:rsid w:val="00A34BA2"/>
    <w:rsid w:val="00A36F27"/>
    <w:rsid w:val="00A42087"/>
    <w:rsid w:val="00A42204"/>
    <w:rsid w:val="00A42C0F"/>
    <w:rsid w:val="00A42E32"/>
    <w:rsid w:val="00A46E63"/>
    <w:rsid w:val="00A51DC5"/>
    <w:rsid w:val="00A53DE1"/>
    <w:rsid w:val="00A55B1E"/>
    <w:rsid w:val="00A615E1"/>
    <w:rsid w:val="00A72B33"/>
    <w:rsid w:val="00A755E8"/>
    <w:rsid w:val="00A93A5D"/>
    <w:rsid w:val="00A96099"/>
    <w:rsid w:val="00AA61C5"/>
    <w:rsid w:val="00AB32F8"/>
    <w:rsid w:val="00AB610B"/>
    <w:rsid w:val="00AD360E"/>
    <w:rsid w:val="00AD40FB"/>
    <w:rsid w:val="00AD6279"/>
    <w:rsid w:val="00AD782D"/>
    <w:rsid w:val="00AE7650"/>
    <w:rsid w:val="00AF04B3"/>
    <w:rsid w:val="00AF7F45"/>
    <w:rsid w:val="00B10EBE"/>
    <w:rsid w:val="00B236F1"/>
    <w:rsid w:val="00B40992"/>
    <w:rsid w:val="00B4319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D5D"/>
    <w:rsid w:val="00BC575F"/>
    <w:rsid w:val="00BD431F"/>
    <w:rsid w:val="00BE423E"/>
    <w:rsid w:val="00BE6221"/>
    <w:rsid w:val="00BF18C1"/>
    <w:rsid w:val="00BF61AC"/>
    <w:rsid w:val="00C021F3"/>
    <w:rsid w:val="00C306A6"/>
    <w:rsid w:val="00C4480C"/>
    <w:rsid w:val="00C47FA6"/>
    <w:rsid w:val="00C511C5"/>
    <w:rsid w:val="00C57FC6"/>
    <w:rsid w:val="00C6350F"/>
    <w:rsid w:val="00C66A7D"/>
    <w:rsid w:val="00C779DA"/>
    <w:rsid w:val="00C814F7"/>
    <w:rsid w:val="00C94172"/>
    <w:rsid w:val="00CA4B4D"/>
    <w:rsid w:val="00CA6138"/>
    <w:rsid w:val="00CA76A7"/>
    <w:rsid w:val="00CB35C3"/>
    <w:rsid w:val="00CD323D"/>
    <w:rsid w:val="00CE4030"/>
    <w:rsid w:val="00CE64B3"/>
    <w:rsid w:val="00CF1A49"/>
    <w:rsid w:val="00D0630C"/>
    <w:rsid w:val="00D12142"/>
    <w:rsid w:val="00D243A9"/>
    <w:rsid w:val="00D24FAA"/>
    <w:rsid w:val="00D305E5"/>
    <w:rsid w:val="00D37CD3"/>
    <w:rsid w:val="00D410C4"/>
    <w:rsid w:val="00D43E9D"/>
    <w:rsid w:val="00D66A52"/>
    <w:rsid w:val="00D66EFA"/>
    <w:rsid w:val="00D72A2D"/>
    <w:rsid w:val="00D72C2E"/>
    <w:rsid w:val="00D83E94"/>
    <w:rsid w:val="00D9521A"/>
    <w:rsid w:val="00DA3914"/>
    <w:rsid w:val="00DA49F0"/>
    <w:rsid w:val="00DA59AA"/>
    <w:rsid w:val="00DB6915"/>
    <w:rsid w:val="00DB7E1E"/>
    <w:rsid w:val="00DC1B78"/>
    <w:rsid w:val="00DC2A2F"/>
    <w:rsid w:val="00DC600B"/>
    <w:rsid w:val="00DD7E6E"/>
    <w:rsid w:val="00DE0FAA"/>
    <w:rsid w:val="00DE136D"/>
    <w:rsid w:val="00DE2670"/>
    <w:rsid w:val="00DE62FB"/>
    <w:rsid w:val="00DE6534"/>
    <w:rsid w:val="00DF4D6C"/>
    <w:rsid w:val="00E01923"/>
    <w:rsid w:val="00E14498"/>
    <w:rsid w:val="00E2397A"/>
    <w:rsid w:val="00E254DB"/>
    <w:rsid w:val="00E300FC"/>
    <w:rsid w:val="00E34D2D"/>
    <w:rsid w:val="00E362DB"/>
    <w:rsid w:val="00E44D61"/>
    <w:rsid w:val="00E5632B"/>
    <w:rsid w:val="00E659C3"/>
    <w:rsid w:val="00E70240"/>
    <w:rsid w:val="00E71E6B"/>
    <w:rsid w:val="00E81CC5"/>
    <w:rsid w:val="00E85A87"/>
    <w:rsid w:val="00E85B4A"/>
    <w:rsid w:val="00E9528E"/>
    <w:rsid w:val="00E96ABE"/>
    <w:rsid w:val="00EA5099"/>
    <w:rsid w:val="00EC1351"/>
    <w:rsid w:val="00EC4CBF"/>
    <w:rsid w:val="00EE2CA8"/>
    <w:rsid w:val="00EE3B2B"/>
    <w:rsid w:val="00EF17E8"/>
    <w:rsid w:val="00EF51D9"/>
    <w:rsid w:val="00F13098"/>
    <w:rsid w:val="00F130DD"/>
    <w:rsid w:val="00F209D6"/>
    <w:rsid w:val="00F20DBB"/>
    <w:rsid w:val="00F24168"/>
    <w:rsid w:val="00F24884"/>
    <w:rsid w:val="00F342DD"/>
    <w:rsid w:val="00F4314B"/>
    <w:rsid w:val="00F476C4"/>
    <w:rsid w:val="00F61DF9"/>
    <w:rsid w:val="00F71216"/>
    <w:rsid w:val="00F74BFF"/>
    <w:rsid w:val="00F81960"/>
    <w:rsid w:val="00F83066"/>
    <w:rsid w:val="00F8769D"/>
    <w:rsid w:val="00F9350C"/>
    <w:rsid w:val="00F94EB5"/>
    <w:rsid w:val="00F9624D"/>
    <w:rsid w:val="00FA19AF"/>
    <w:rsid w:val="00FB31C1"/>
    <w:rsid w:val="00FB58F2"/>
    <w:rsid w:val="00FC6AEA"/>
    <w:rsid w:val="00FD3D13"/>
    <w:rsid w:val="00FE55A2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."/>
  <w:listSeparator w:val=","/>
  <w14:docId w14:val="42F24985"/>
  <w15:chartTrackingRefBased/>
  <w15:docId w15:val="{9F14F84A-AFD9-4D4F-9CA1-03CC6C96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uiPriority w:val="22"/>
    <w:qFormat/>
    <w:rsid w:val="0007094C"/>
    <w:rPr>
      <w:b/>
      <w:bCs/>
    </w:rPr>
  </w:style>
  <w:style w:type="paragraph" w:customStyle="1" w:styleId="hc">
    <w:name w:val="hc"/>
    <w:basedOn w:val="Normal"/>
    <w:rsid w:val="000808F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trentbax@ewha.ac.kr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trent bax</cp:lastModifiedBy>
  <cp:revision>22</cp:revision>
  <cp:lastPrinted>2020-07-10T07:59:00Z</cp:lastPrinted>
  <dcterms:created xsi:type="dcterms:W3CDTF">2020-12-16T05:50:00Z</dcterms:created>
  <dcterms:modified xsi:type="dcterms:W3CDTF">2021-02-17T01:21:00Z</dcterms:modified>
  <cp:category/>
</cp:coreProperties>
</file>