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  <w:t>Day5 任务书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color w:val="000000"/>
          <w:kern w:val="0"/>
          <w:sz w:val="27"/>
          <w:szCs w:val="27"/>
          <w:lang w:val="en-US" w:eastAsia="zh-CN" w:bidi="ar"/>
        </w:rPr>
        <w:t xml:space="preserve">【任务目标】：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 xml:space="preserve">Ø </w:t>
      </w:r>
      <w:r>
        <w:rPr>
          <w:rFonts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1：掌握 ajax 工作原理；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 xml:space="preserve">Ø 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2：实现一个基于 Jquery 的 ajax 请求 json 格式的数据；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 xml:space="preserve">Ø 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3：实现一个利用 json 数据动态添加页面表格的功能；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Bold" w:hAnsi="DengXian-Bold" w:eastAsia="DengXian-Bold" w:cs="DengXian-Bold"/>
          <w:b/>
          <w:color w:val="000000"/>
          <w:kern w:val="0"/>
          <w:sz w:val="27"/>
          <w:szCs w:val="27"/>
          <w:lang w:val="en-US" w:eastAsia="zh-CN" w:bidi="ar"/>
        </w:rPr>
        <w:t xml:space="preserve">【任务说明】：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1 描述：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ajax 请求和浏览器请求的区别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Ajax请求是局部数据的请求，是js引擎发起的请求。浏览器请求是整个页面的请求，是用户输入一个URL地址后的请求。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利用《菜鸟教程》中的实例，调试原生 ajax 案例；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在菜鸟教程上找一个简单ajax的实列，改好路径后，放到虚拟机上运行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2 描述：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利用 Jquery 框架，实现 ajax 任务 1 的案例效果；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找一个jquery的例子然后改一下里面的地址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什么是 json 格式，他的特点有哪些？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Json格式：她需要一种更合理的数据传输和解析的一种文本格式要求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特点：json的这种格式可以减少冗余，键值对的格式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利用 Jquery 框架，实现 ajax 获取 json 数据格式；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键值对的格式，再利用jquery框架把每一个键值放在网页对应的位置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3 描述：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1、完成 ajax 请求 json 数据动态添加数据的效果；</w:t>
      </w:r>
    </w:p>
    <w:p>
      <w:r>
        <w:drawing>
          <wp:inline distT="0" distB="0" distL="114300" distR="114300">
            <wp:extent cx="4605655" cy="3357880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280E43"/>
    <w:multiLevelType w:val="singleLevel"/>
    <w:tmpl w:val="F0280E4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22A9C04"/>
    <w:multiLevelType w:val="singleLevel"/>
    <w:tmpl w:val="722A9C0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13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星辰</cp:lastModifiedBy>
  <dcterms:modified xsi:type="dcterms:W3CDTF">2020-06-12T12:46:37Z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