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738854" w14:textId="2E4E3361" w:rsidR="007839FC" w:rsidRDefault="007839FC" w:rsidP="00A1122B">
      <w:pPr>
        <w:rPr>
          <w:sz w:val="24"/>
          <w:szCs w:val="24"/>
        </w:rPr>
      </w:pPr>
      <w:r>
        <w:rPr>
          <w:sz w:val="24"/>
          <w:szCs w:val="24"/>
        </w:rPr>
        <w:t>Allen Roush</w:t>
      </w:r>
      <w:bookmarkStart w:id="0" w:name="_GoBack"/>
      <w:bookmarkEnd w:id="0"/>
    </w:p>
    <w:p w14:paraId="4595BB5C" w14:textId="17E334F6" w:rsidR="00A1122B" w:rsidRPr="00ED7ABE" w:rsidRDefault="00211487" w:rsidP="00A1122B">
      <w:pPr>
        <w:rPr>
          <w:sz w:val="24"/>
          <w:szCs w:val="24"/>
        </w:rPr>
      </w:pPr>
      <w:r w:rsidRPr="00ED7ABE">
        <w:rPr>
          <w:sz w:val="24"/>
          <w:szCs w:val="24"/>
        </w:rPr>
        <w:t>PHIL 406:</w:t>
      </w:r>
    </w:p>
    <w:p w14:paraId="1804C718" w14:textId="2435C7CB" w:rsidR="00211487" w:rsidRPr="00ED7ABE" w:rsidRDefault="00211487" w:rsidP="00A1122B">
      <w:pPr>
        <w:rPr>
          <w:sz w:val="24"/>
          <w:szCs w:val="24"/>
        </w:rPr>
      </w:pPr>
      <w:r w:rsidRPr="00ED7ABE">
        <w:rPr>
          <w:sz w:val="24"/>
          <w:szCs w:val="24"/>
        </w:rPr>
        <w:t>2/16/2018</w:t>
      </w:r>
    </w:p>
    <w:p w14:paraId="435BFBB6" w14:textId="77777777" w:rsidR="00211487" w:rsidRPr="00ED7ABE" w:rsidRDefault="00211487" w:rsidP="00A1122B">
      <w:pPr>
        <w:rPr>
          <w:sz w:val="24"/>
          <w:szCs w:val="24"/>
        </w:rPr>
      </w:pPr>
    </w:p>
    <w:p w14:paraId="1E6727D3" w14:textId="256CE7B4" w:rsidR="00211487" w:rsidRPr="00ED7ABE" w:rsidRDefault="00E52647" w:rsidP="00211487">
      <w:pPr>
        <w:jc w:val="center"/>
        <w:rPr>
          <w:sz w:val="24"/>
          <w:szCs w:val="24"/>
        </w:rPr>
      </w:pPr>
      <w:r>
        <w:rPr>
          <w:i/>
          <w:sz w:val="24"/>
          <w:szCs w:val="24"/>
        </w:rPr>
        <w:t>Cities</w:t>
      </w:r>
      <w:r w:rsidR="00211487" w:rsidRPr="00ED7ABE">
        <w:rPr>
          <w:i/>
          <w:sz w:val="24"/>
          <w:szCs w:val="24"/>
        </w:rPr>
        <w:t xml:space="preserve"> of Plato</w:t>
      </w:r>
      <w:r w:rsidR="00211487" w:rsidRPr="00ED7ABE">
        <w:rPr>
          <w:sz w:val="24"/>
          <w:szCs w:val="24"/>
        </w:rPr>
        <w:t xml:space="preserve"> – Finding Politics in the Timaeus</w:t>
      </w:r>
    </w:p>
    <w:p w14:paraId="0D1488D3" w14:textId="67D1CB79" w:rsidR="00211487" w:rsidRPr="00ED7ABE" w:rsidRDefault="00211487" w:rsidP="00211487">
      <w:pPr>
        <w:jc w:val="center"/>
        <w:rPr>
          <w:sz w:val="24"/>
          <w:szCs w:val="24"/>
        </w:rPr>
      </w:pPr>
    </w:p>
    <w:p w14:paraId="7A682989" w14:textId="29F005E9" w:rsidR="00E009AE" w:rsidRPr="00381144" w:rsidRDefault="00934014" w:rsidP="00211487">
      <w:pPr>
        <w:spacing w:line="480" w:lineRule="auto"/>
        <w:rPr>
          <w:color w:val="000000"/>
          <w:sz w:val="24"/>
          <w:szCs w:val="24"/>
        </w:rPr>
      </w:pPr>
      <w:r w:rsidRPr="00ED7ABE">
        <w:rPr>
          <w:sz w:val="24"/>
          <w:szCs w:val="24"/>
        </w:rPr>
        <w:t>Trying to find “meaning” from reading th</w:t>
      </w:r>
      <w:r w:rsidR="005365B2">
        <w:rPr>
          <w:sz w:val="24"/>
          <w:szCs w:val="24"/>
        </w:rPr>
        <w:t xml:space="preserve">e early political discourse within the </w:t>
      </w:r>
      <w:r w:rsidR="005365B2">
        <w:rPr>
          <w:i/>
          <w:sz w:val="24"/>
          <w:szCs w:val="24"/>
        </w:rPr>
        <w:t>Timaeus</w:t>
      </w:r>
      <w:r w:rsidRPr="00ED7ABE">
        <w:rPr>
          <w:sz w:val="24"/>
          <w:szCs w:val="24"/>
        </w:rPr>
        <w:t xml:space="preserve"> seems like an uphill battle to the unaware reader. </w:t>
      </w:r>
      <w:r w:rsidR="005F2B93" w:rsidRPr="00ED7ABE">
        <w:rPr>
          <w:sz w:val="24"/>
          <w:szCs w:val="24"/>
        </w:rPr>
        <w:t xml:space="preserve">In the assigned translation, the word </w:t>
      </w:r>
      <w:r w:rsidR="00E52647">
        <w:rPr>
          <w:sz w:val="24"/>
          <w:szCs w:val="24"/>
        </w:rPr>
        <w:t xml:space="preserve">“politics” </w:t>
      </w:r>
      <w:r w:rsidR="005F2B93" w:rsidRPr="00ED7ABE">
        <w:rPr>
          <w:sz w:val="24"/>
          <w:szCs w:val="24"/>
        </w:rPr>
        <w:t xml:space="preserve">doesn’t seem to appear directly in the Kalkovitch </w:t>
      </w:r>
      <w:r w:rsidR="00E52647" w:rsidRPr="00ED7ABE">
        <w:rPr>
          <w:sz w:val="24"/>
          <w:szCs w:val="24"/>
        </w:rPr>
        <w:t>translation and</w:t>
      </w:r>
      <w:r w:rsidR="005F2B93" w:rsidRPr="00ED7ABE">
        <w:rPr>
          <w:sz w:val="24"/>
          <w:szCs w:val="24"/>
        </w:rPr>
        <w:t xml:space="preserve"> appears only once in the Jowett translation</w:t>
      </w:r>
      <w:r w:rsidR="00840832">
        <w:rPr>
          <w:rStyle w:val="FootnoteReference"/>
          <w:sz w:val="24"/>
          <w:szCs w:val="24"/>
        </w:rPr>
        <w:footnoteReference w:id="1"/>
      </w:r>
      <w:r w:rsidR="0062555B" w:rsidRPr="00ED7ABE">
        <w:rPr>
          <w:sz w:val="24"/>
          <w:szCs w:val="24"/>
        </w:rPr>
        <w:t xml:space="preserve">, yet the </w:t>
      </w:r>
      <w:r w:rsidR="0062555B" w:rsidRPr="00ED7ABE">
        <w:rPr>
          <w:i/>
          <w:sz w:val="24"/>
          <w:szCs w:val="24"/>
        </w:rPr>
        <w:t>Timaeus</w:t>
      </w:r>
      <w:r w:rsidR="00396179" w:rsidRPr="00ED7ABE">
        <w:rPr>
          <w:i/>
          <w:sz w:val="24"/>
          <w:szCs w:val="24"/>
        </w:rPr>
        <w:t xml:space="preserve"> </w:t>
      </w:r>
      <w:r w:rsidR="00396179" w:rsidRPr="00ED7ABE">
        <w:rPr>
          <w:sz w:val="24"/>
          <w:szCs w:val="24"/>
        </w:rPr>
        <w:t>as a text is undoubtedly political.</w:t>
      </w:r>
      <w:r w:rsidR="00DB2812" w:rsidRPr="00DB2812">
        <w:rPr>
          <w:color w:val="000000"/>
          <w:sz w:val="24"/>
          <w:szCs w:val="24"/>
        </w:rPr>
        <w:t xml:space="preserve"> </w:t>
      </w:r>
      <w:r w:rsidR="004A022C">
        <w:rPr>
          <w:color w:val="000000"/>
          <w:sz w:val="24"/>
          <w:szCs w:val="24"/>
        </w:rPr>
        <w:t>I</w:t>
      </w:r>
      <w:r w:rsidR="00DB2812" w:rsidRPr="00ED7ABE">
        <w:rPr>
          <w:color w:val="000000"/>
          <w:sz w:val="24"/>
          <w:szCs w:val="24"/>
        </w:rPr>
        <w:t xml:space="preserve">n recognition of the “violence” of translation and interpretation that thinkers such as Derrida and </w:t>
      </w:r>
      <w:proofErr w:type="spellStart"/>
      <w:r w:rsidR="00DB2812" w:rsidRPr="00ED7ABE">
        <w:rPr>
          <w:color w:val="000000"/>
          <w:sz w:val="24"/>
          <w:szCs w:val="24"/>
        </w:rPr>
        <w:t>Sallis</w:t>
      </w:r>
      <w:proofErr w:type="spellEnd"/>
      <w:r w:rsidR="00DB2812" w:rsidRPr="00ED7ABE">
        <w:rPr>
          <w:color w:val="000000"/>
          <w:sz w:val="24"/>
          <w:szCs w:val="24"/>
        </w:rPr>
        <w:t xml:space="preserve"> articulate</w:t>
      </w:r>
      <w:r w:rsidR="00C94094">
        <w:rPr>
          <w:color w:val="000000"/>
          <w:sz w:val="24"/>
          <w:szCs w:val="24"/>
        </w:rPr>
        <w:t xml:space="preserve">, </w:t>
      </w:r>
      <w:r w:rsidR="00E52647">
        <w:rPr>
          <w:color w:val="000000"/>
          <w:sz w:val="24"/>
          <w:szCs w:val="24"/>
        </w:rPr>
        <w:t xml:space="preserve">the competing accounts of the “first” city can be characterized as an exercise in the futility of a non-political accounting of the cosmos. </w:t>
      </w:r>
      <w:r w:rsidR="00381144">
        <w:rPr>
          <w:color w:val="000000"/>
          <w:sz w:val="24"/>
          <w:szCs w:val="24"/>
        </w:rPr>
        <w:t xml:space="preserve">For Plato, an accounting of the cosmos </w:t>
      </w:r>
      <w:r w:rsidR="00381144">
        <w:rPr>
          <w:i/>
          <w:color w:val="000000"/>
          <w:sz w:val="24"/>
          <w:szCs w:val="24"/>
        </w:rPr>
        <w:t>is</w:t>
      </w:r>
      <w:r w:rsidR="00381144">
        <w:rPr>
          <w:color w:val="000000"/>
          <w:sz w:val="24"/>
          <w:szCs w:val="24"/>
        </w:rPr>
        <w:t xml:space="preserve"> a political accounting. </w:t>
      </w:r>
    </w:p>
    <w:p w14:paraId="4548097F" w14:textId="2195F6C6" w:rsidR="00276059" w:rsidRDefault="00875442" w:rsidP="00E52647">
      <w:pPr>
        <w:spacing w:line="480" w:lineRule="auto"/>
        <w:ind w:firstLine="720"/>
        <w:rPr>
          <w:color w:val="000000"/>
          <w:sz w:val="24"/>
          <w:szCs w:val="24"/>
        </w:rPr>
      </w:pPr>
      <w:r>
        <w:rPr>
          <w:sz w:val="24"/>
          <w:szCs w:val="24"/>
        </w:rPr>
        <w:t xml:space="preserve">Plato </w:t>
      </w:r>
      <w:r w:rsidR="00381144">
        <w:rPr>
          <w:sz w:val="24"/>
          <w:szCs w:val="24"/>
        </w:rPr>
        <w:t>claims</w:t>
      </w:r>
      <w:r>
        <w:rPr>
          <w:sz w:val="24"/>
          <w:szCs w:val="24"/>
        </w:rPr>
        <w:t xml:space="preserve"> that</w:t>
      </w:r>
      <w:r w:rsidR="005365B2">
        <w:rPr>
          <w:sz w:val="24"/>
          <w:szCs w:val="24"/>
        </w:rPr>
        <w:t xml:space="preserve"> a</w:t>
      </w:r>
      <w:r>
        <w:rPr>
          <w:sz w:val="24"/>
          <w:szCs w:val="24"/>
        </w:rPr>
        <w:t xml:space="preserve"> speech</w:t>
      </w:r>
      <w:r w:rsidR="00E009AE" w:rsidRPr="00ED7ABE">
        <w:rPr>
          <w:sz w:val="24"/>
          <w:szCs w:val="24"/>
        </w:rPr>
        <w:t xml:space="preserve"> </w:t>
      </w:r>
      <w:r w:rsidR="005365B2">
        <w:rPr>
          <w:sz w:val="24"/>
          <w:szCs w:val="24"/>
        </w:rPr>
        <w:t>should</w:t>
      </w:r>
      <w:r w:rsidR="00E009AE" w:rsidRPr="00ED7ABE">
        <w:rPr>
          <w:sz w:val="24"/>
          <w:szCs w:val="24"/>
        </w:rPr>
        <w:t xml:space="preserve"> be </w:t>
      </w:r>
      <w:proofErr w:type="gramStart"/>
      <w:r w:rsidR="00E009AE" w:rsidRPr="00ED7ABE">
        <w:rPr>
          <w:sz w:val="24"/>
          <w:szCs w:val="24"/>
        </w:rPr>
        <w:t>similar to</w:t>
      </w:r>
      <w:proofErr w:type="gramEnd"/>
      <w:r w:rsidR="00E009AE" w:rsidRPr="00ED7ABE">
        <w:rPr>
          <w:sz w:val="24"/>
          <w:szCs w:val="24"/>
        </w:rPr>
        <w:t xml:space="preserve"> that of a “being”, complete with a head, body and extremities. Jowett goes as far as to translate the end of 19A as “</w:t>
      </w:r>
      <w:r w:rsidR="00E009AE" w:rsidRPr="00ED7ABE">
        <w:rPr>
          <w:color w:val="000000"/>
          <w:sz w:val="24"/>
          <w:szCs w:val="24"/>
        </w:rPr>
        <w:t xml:space="preserve">Then have I now given you all the heads of our yesterday's </w:t>
      </w:r>
      <w:bookmarkStart w:id="1" w:name="94"/>
      <w:bookmarkEnd w:id="1"/>
      <w:r w:rsidR="00E009AE" w:rsidRPr="00ED7ABE">
        <w:rPr>
          <w:color w:val="000000"/>
          <w:sz w:val="24"/>
          <w:szCs w:val="24"/>
        </w:rPr>
        <w:t xml:space="preserve">discussion? Or is there anything more, my dear Timaeus, which has been </w:t>
      </w:r>
      <w:bookmarkStart w:id="2" w:name="95"/>
      <w:bookmarkEnd w:id="2"/>
      <w:r w:rsidR="00E009AE" w:rsidRPr="00ED7ABE">
        <w:rPr>
          <w:color w:val="000000"/>
          <w:sz w:val="24"/>
          <w:szCs w:val="24"/>
        </w:rPr>
        <w:t>omitted?”</w:t>
      </w:r>
      <w:r w:rsidR="00E009AE" w:rsidRPr="00ED7ABE">
        <w:rPr>
          <w:rStyle w:val="FootnoteReference"/>
          <w:color w:val="000000"/>
          <w:sz w:val="24"/>
          <w:szCs w:val="24"/>
        </w:rPr>
        <w:footnoteReference w:id="2"/>
      </w:r>
      <w:r w:rsidR="00E009AE" w:rsidRPr="00ED7ABE">
        <w:rPr>
          <w:color w:val="000000"/>
          <w:sz w:val="24"/>
          <w:szCs w:val="24"/>
        </w:rPr>
        <w:t xml:space="preserve">. While </w:t>
      </w:r>
      <w:proofErr w:type="spellStart"/>
      <w:r w:rsidR="00E009AE" w:rsidRPr="00ED7ABE">
        <w:rPr>
          <w:color w:val="000000"/>
          <w:sz w:val="24"/>
          <w:szCs w:val="24"/>
        </w:rPr>
        <w:t>Kalkavage</w:t>
      </w:r>
      <w:proofErr w:type="spellEnd"/>
      <w:r w:rsidR="00E009AE" w:rsidRPr="00ED7ABE">
        <w:rPr>
          <w:color w:val="000000"/>
          <w:sz w:val="24"/>
          <w:szCs w:val="24"/>
        </w:rPr>
        <w:t xml:space="preserve"> chooses not to include the word head</w:t>
      </w:r>
      <w:r w:rsidR="005E2BE0">
        <w:rPr>
          <w:color w:val="000000"/>
          <w:sz w:val="24"/>
          <w:szCs w:val="24"/>
        </w:rPr>
        <w:t xml:space="preserve"> here</w:t>
      </w:r>
      <w:r w:rsidR="00E009AE" w:rsidRPr="00ED7ABE">
        <w:rPr>
          <w:color w:val="000000"/>
          <w:sz w:val="24"/>
          <w:szCs w:val="24"/>
        </w:rPr>
        <w:t xml:space="preserve">, </w:t>
      </w:r>
      <w:r w:rsidR="000E28CC" w:rsidRPr="00ED7ABE">
        <w:rPr>
          <w:color w:val="000000"/>
          <w:sz w:val="24"/>
          <w:szCs w:val="24"/>
        </w:rPr>
        <w:t>his translation can furnish us with additional context about Socrates intentions. To have “given all the heads of discussion” is to have recited the previous days discussion of the idea</w:t>
      </w:r>
      <w:r w:rsidR="00FC4C78">
        <w:rPr>
          <w:color w:val="000000"/>
          <w:sz w:val="24"/>
          <w:szCs w:val="24"/>
        </w:rPr>
        <w:t>l</w:t>
      </w:r>
      <w:r w:rsidR="000E28CC" w:rsidRPr="00ED7ABE">
        <w:rPr>
          <w:color w:val="000000"/>
          <w:sz w:val="24"/>
          <w:szCs w:val="24"/>
        </w:rPr>
        <w:t xml:space="preserve"> </w:t>
      </w:r>
      <w:r w:rsidR="000E28CC" w:rsidRPr="00ED7ABE">
        <w:rPr>
          <w:color w:val="000000"/>
          <w:sz w:val="24"/>
          <w:szCs w:val="24"/>
        </w:rPr>
        <w:lastRenderedPageBreak/>
        <w:t>city</w:t>
      </w:r>
      <w:r w:rsidR="00303A5C" w:rsidRPr="00ED7ABE">
        <w:rPr>
          <w:color w:val="000000"/>
          <w:sz w:val="24"/>
          <w:szCs w:val="24"/>
        </w:rPr>
        <w:t xml:space="preserve">. </w:t>
      </w:r>
      <w:r w:rsidR="00950378" w:rsidRPr="00ED7ABE">
        <w:rPr>
          <w:color w:val="000000"/>
          <w:sz w:val="24"/>
          <w:szCs w:val="24"/>
        </w:rPr>
        <w:t xml:space="preserve">Yet, </w:t>
      </w:r>
      <w:proofErr w:type="spellStart"/>
      <w:r w:rsidR="00950378" w:rsidRPr="00ED7ABE">
        <w:rPr>
          <w:color w:val="000000"/>
          <w:sz w:val="24"/>
          <w:szCs w:val="24"/>
        </w:rPr>
        <w:t>Kalkavage</w:t>
      </w:r>
      <w:proofErr w:type="spellEnd"/>
      <w:r w:rsidR="00950378" w:rsidRPr="00ED7ABE">
        <w:rPr>
          <w:color w:val="000000"/>
          <w:sz w:val="24"/>
          <w:szCs w:val="24"/>
        </w:rPr>
        <w:t xml:space="preserve"> notes that Socrates has failed to give a complete summary of the previous days speech. The head, like the speech and like the summary presented here, is incomplete. </w:t>
      </w:r>
    </w:p>
    <w:p w14:paraId="7B6421DF" w14:textId="26E6E7C7" w:rsidR="00276059" w:rsidRDefault="00276059" w:rsidP="00A45F39">
      <w:pPr>
        <w:spacing w:line="480" w:lineRule="auto"/>
        <w:rPr>
          <w:color w:val="000000"/>
          <w:sz w:val="24"/>
          <w:szCs w:val="24"/>
        </w:rPr>
      </w:pPr>
      <w:r>
        <w:rPr>
          <w:color w:val="000000"/>
          <w:sz w:val="24"/>
          <w:szCs w:val="24"/>
        </w:rPr>
        <w:tab/>
      </w:r>
      <w:r w:rsidRPr="00ED7ABE">
        <w:rPr>
          <w:color w:val="000000"/>
          <w:sz w:val="24"/>
          <w:szCs w:val="24"/>
        </w:rPr>
        <w:t>The</w:t>
      </w:r>
      <w:r w:rsidR="00FD58CD">
        <w:rPr>
          <w:color w:val="000000"/>
          <w:sz w:val="24"/>
          <w:szCs w:val="24"/>
        </w:rPr>
        <w:t xml:space="preserve"> beginning</w:t>
      </w:r>
      <w:r>
        <w:rPr>
          <w:color w:val="000000"/>
          <w:sz w:val="24"/>
          <w:szCs w:val="24"/>
        </w:rPr>
        <w:t xml:space="preserve"> </w:t>
      </w:r>
      <w:r w:rsidRPr="00ED7ABE">
        <w:rPr>
          <w:color w:val="000000"/>
          <w:sz w:val="24"/>
          <w:szCs w:val="24"/>
        </w:rPr>
        <w:t>of this dialogue includes a certain unintelligible, “final justification”</w:t>
      </w:r>
      <w:r>
        <w:rPr>
          <w:color w:val="000000"/>
          <w:sz w:val="24"/>
          <w:szCs w:val="24"/>
        </w:rPr>
        <w:t xml:space="preserve"> for its existence, which</w:t>
      </w:r>
      <w:r w:rsidRPr="00ED7ABE">
        <w:rPr>
          <w:color w:val="000000"/>
          <w:sz w:val="24"/>
          <w:szCs w:val="24"/>
        </w:rPr>
        <w:t xml:space="preserve"> is not necessarily clearly articulated. The ethereal nature </w:t>
      </w:r>
      <w:r>
        <w:rPr>
          <w:color w:val="000000"/>
          <w:sz w:val="24"/>
          <w:szCs w:val="24"/>
        </w:rPr>
        <w:t>of this justification is the “</w:t>
      </w:r>
      <w:proofErr w:type="spellStart"/>
      <w:r>
        <w:rPr>
          <w:color w:val="000000"/>
          <w:sz w:val="24"/>
          <w:szCs w:val="24"/>
        </w:rPr>
        <w:t>paradeigma</w:t>
      </w:r>
      <w:proofErr w:type="spellEnd"/>
      <w:r>
        <w:rPr>
          <w:color w:val="000000"/>
          <w:sz w:val="24"/>
          <w:szCs w:val="24"/>
        </w:rPr>
        <w:t>” or model</w:t>
      </w:r>
      <w:r w:rsidR="00C60CC9">
        <w:rPr>
          <w:rStyle w:val="FootnoteReference"/>
          <w:color w:val="000000"/>
          <w:sz w:val="24"/>
          <w:szCs w:val="24"/>
        </w:rPr>
        <w:footnoteReference w:id="3"/>
      </w:r>
      <w:r>
        <w:rPr>
          <w:color w:val="000000"/>
          <w:sz w:val="24"/>
          <w:szCs w:val="24"/>
        </w:rPr>
        <w:t xml:space="preserve"> which the divine “father” fashions in our soul</w:t>
      </w:r>
      <w:r w:rsidR="008F0D07">
        <w:rPr>
          <w:rStyle w:val="FootnoteReference"/>
          <w:color w:val="000000"/>
          <w:sz w:val="24"/>
          <w:szCs w:val="24"/>
        </w:rPr>
        <w:footnoteReference w:id="4"/>
      </w:r>
      <w:r>
        <w:rPr>
          <w:color w:val="000000"/>
          <w:sz w:val="24"/>
          <w:szCs w:val="24"/>
        </w:rPr>
        <w:t>. The “</w:t>
      </w:r>
      <w:r>
        <w:rPr>
          <w:noProof/>
        </w:rPr>
        <w:drawing>
          <wp:inline distT="0" distB="0" distL="0" distR="0" wp14:anchorId="78DCBCE9" wp14:editId="4748356C">
            <wp:extent cx="312420" cy="1447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12420" cy="144780"/>
                    </a:xfrm>
                    <a:prstGeom prst="rect">
                      <a:avLst/>
                    </a:prstGeom>
                  </pic:spPr>
                </pic:pic>
              </a:graphicData>
            </a:graphic>
          </wp:inline>
        </w:drawing>
      </w:r>
      <w:r>
        <w:rPr>
          <w:color w:val="000000"/>
          <w:sz w:val="24"/>
          <w:szCs w:val="24"/>
        </w:rPr>
        <w:t>”</w:t>
      </w:r>
      <w:r w:rsidR="008F0D07">
        <w:rPr>
          <w:rStyle w:val="FootnoteReference"/>
          <w:color w:val="000000"/>
          <w:sz w:val="24"/>
          <w:szCs w:val="24"/>
        </w:rPr>
        <w:footnoteReference w:id="5"/>
      </w:r>
      <w:r>
        <w:rPr>
          <w:color w:val="000000"/>
          <w:sz w:val="24"/>
          <w:szCs w:val="24"/>
        </w:rPr>
        <w:t xml:space="preserve"> of this head, a</w:t>
      </w:r>
      <w:r w:rsidR="00052398">
        <w:rPr>
          <w:color w:val="000000"/>
          <w:sz w:val="24"/>
          <w:szCs w:val="24"/>
        </w:rPr>
        <w:t xml:space="preserve"> “head of heads” (or a</w:t>
      </w:r>
      <w:r>
        <w:rPr>
          <w:color w:val="000000"/>
          <w:sz w:val="24"/>
          <w:szCs w:val="24"/>
        </w:rPr>
        <w:t xml:space="preserve">n </w:t>
      </w:r>
      <w:r>
        <w:rPr>
          <w:noProof/>
        </w:rPr>
        <w:drawing>
          <wp:inline distT="0" distB="0" distL="0" distR="0" wp14:anchorId="383656F6" wp14:editId="17B2F655">
            <wp:extent cx="312420" cy="1447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12420" cy="144780"/>
                    </a:xfrm>
                    <a:prstGeom prst="rect">
                      <a:avLst/>
                    </a:prstGeom>
                  </pic:spPr>
                </pic:pic>
              </a:graphicData>
            </a:graphic>
          </wp:inline>
        </w:drawing>
      </w:r>
      <w:r>
        <w:rPr>
          <w:color w:val="000000"/>
          <w:sz w:val="24"/>
          <w:szCs w:val="24"/>
        </w:rPr>
        <w:t xml:space="preserve"> of </w:t>
      </w:r>
      <w:r>
        <w:rPr>
          <w:noProof/>
        </w:rPr>
        <w:drawing>
          <wp:inline distT="0" distB="0" distL="0" distR="0" wp14:anchorId="47A0E1FC" wp14:editId="020A68DA">
            <wp:extent cx="312420" cy="1447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12420" cy="144780"/>
                    </a:xfrm>
                    <a:prstGeom prst="rect">
                      <a:avLst/>
                    </a:prstGeom>
                  </pic:spPr>
                </pic:pic>
              </a:graphicData>
            </a:graphic>
          </wp:inline>
        </w:drawing>
      </w:r>
      <w:r>
        <w:rPr>
          <w:color w:val="000000"/>
          <w:sz w:val="24"/>
          <w:szCs w:val="24"/>
        </w:rPr>
        <w:t>’s</w:t>
      </w:r>
      <w:r w:rsidR="00052398">
        <w:rPr>
          <w:color w:val="000000"/>
          <w:sz w:val="24"/>
          <w:szCs w:val="24"/>
        </w:rPr>
        <w:t>)</w:t>
      </w:r>
      <w:r>
        <w:rPr>
          <w:color w:val="000000"/>
          <w:sz w:val="24"/>
          <w:szCs w:val="24"/>
        </w:rPr>
        <w:t>, is thus a question of foundational principles from which we can find some insight into the nature of this “unseen” fourth, which defies our senses. This is the realm of specters and gods; whose worldly appearances defy us. Timaeus even reserves the head of his speech for the</w:t>
      </w:r>
      <w:r w:rsidR="00DB2812">
        <w:rPr>
          <w:color w:val="000000"/>
          <w:sz w:val="24"/>
          <w:szCs w:val="24"/>
        </w:rPr>
        <w:t>se</w:t>
      </w:r>
      <w:r>
        <w:rPr>
          <w:color w:val="000000"/>
          <w:sz w:val="24"/>
          <w:szCs w:val="24"/>
        </w:rPr>
        <w:t xml:space="preserve"> gods</w:t>
      </w:r>
      <w:r w:rsidR="00DB2812">
        <w:rPr>
          <w:color w:val="000000"/>
          <w:sz w:val="24"/>
          <w:szCs w:val="24"/>
        </w:rPr>
        <w:t xml:space="preserve">, whose minds are the models for our human minds: </w:t>
      </w:r>
      <w:r>
        <w:rPr>
          <w:color w:val="000000"/>
          <w:sz w:val="24"/>
          <w:szCs w:val="24"/>
        </w:rPr>
        <w:t>“after we’ve called upon both gods and goddesses, to p</w:t>
      </w:r>
      <w:r w:rsidR="00DB2812">
        <w:rPr>
          <w:color w:val="000000"/>
          <w:sz w:val="24"/>
          <w:szCs w:val="24"/>
        </w:rPr>
        <w:t>r</w:t>
      </w:r>
      <w:r>
        <w:rPr>
          <w:color w:val="000000"/>
          <w:sz w:val="24"/>
          <w:szCs w:val="24"/>
        </w:rPr>
        <w:t>ay that all we say be to their mind above all and, following that, to our own”</w:t>
      </w:r>
      <w:r w:rsidR="008F0D07">
        <w:rPr>
          <w:rStyle w:val="FootnoteReference"/>
          <w:color w:val="000000"/>
          <w:sz w:val="24"/>
          <w:szCs w:val="24"/>
        </w:rPr>
        <w:footnoteReference w:id="6"/>
      </w:r>
      <w:r>
        <w:rPr>
          <w:color w:val="000000"/>
          <w:sz w:val="24"/>
          <w:szCs w:val="24"/>
        </w:rPr>
        <w:t xml:space="preserve">. </w:t>
      </w:r>
    </w:p>
    <w:p w14:paraId="4132A0AD" w14:textId="3C269E55" w:rsidR="00DB2812" w:rsidRPr="00DB2812" w:rsidRDefault="00DB2812" w:rsidP="00DB2812">
      <w:pPr>
        <w:spacing w:line="480" w:lineRule="auto"/>
        <w:ind w:firstLine="720"/>
        <w:rPr>
          <w:sz w:val="24"/>
          <w:szCs w:val="24"/>
        </w:rPr>
      </w:pPr>
      <w:r>
        <w:rPr>
          <w:color w:val="000000"/>
          <w:sz w:val="24"/>
          <w:szCs w:val="24"/>
        </w:rPr>
        <w:t>The “</w:t>
      </w:r>
      <w:r>
        <w:rPr>
          <w:noProof/>
        </w:rPr>
        <w:drawing>
          <wp:inline distT="0" distB="0" distL="0" distR="0" wp14:anchorId="2A91FED6" wp14:editId="3DEA1868">
            <wp:extent cx="312420" cy="1447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12420" cy="144780"/>
                    </a:xfrm>
                    <a:prstGeom prst="rect">
                      <a:avLst/>
                    </a:prstGeom>
                  </pic:spPr>
                </pic:pic>
              </a:graphicData>
            </a:graphic>
          </wp:inline>
        </w:drawing>
      </w:r>
      <w:r>
        <w:rPr>
          <w:color w:val="000000"/>
          <w:sz w:val="24"/>
          <w:szCs w:val="24"/>
        </w:rPr>
        <w:t>” of “</w:t>
      </w:r>
      <w:r>
        <w:rPr>
          <w:noProof/>
        </w:rPr>
        <w:drawing>
          <wp:inline distT="0" distB="0" distL="0" distR="0" wp14:anchorId="58B71E41" wp14:editId="0410809A">
            <wp:extent cx="312420" cy="1447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12420" cy="144780"/>
                    </a:xfrm>
                    <a:prstGeom prst="rect">
                      <a:avLst/>
                    </a:prstGeom>
                  </pic:spPr>
                </pic:pic>
              </a:graphicData>
            </a:graphic>
          </wp:inline>
        </w:drawing>
      </w:r>
      <w:r>
        <w:rPr>
          <w:color w:val="000000"/>
          <w:sz w:val="24"/>
          <w:szCs w:val="24"/>
        </w:rPr>
        <w:t>’s in this dialogue is Socrates recantation of the previous days speeches. Socrates had already done his duty</w:t>
      </w:r>
      <w:r w:rsidR="005365B2">
        <w:rPr>
          <w:color w:val="000000"/>
          <w:sz w:val="24"/>
          <w:szCs w:val="24"/>
        </w:rPr>
        <w:t xml:space="preserve"> by speaking the previous day</w:t>
      </w:r>
      <w:r>
        <w:rPr>
          <w:color w:val="000000"/>
          <w:sz w:val="24"/>
          <w:szCs w:val="24"/>
        </w:rPr>
        <w:t xml:space="preserve">, and it was now time for him to become the </w:t>
      </w:r>
      <w:r>
        <w:rPr>
          <w:noProof/>
        </w:rPr>
        <w:drawing>
          <wp:inline distT="0" distB="0" distL="0" distR="0" wp14:anchorId="08225762" wp14:editId="287F105D">
            <wp:extent cx="693420" cy="1447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693420" cy="144780"/>
                    </a:xfrm>
                    <a:prstGeom prst="rect">
                      <a:avLst/>
                    </a:prstGeom>
                  </pic:spPr>
                </pic:pic>
              </a:graphicData>
            </a:graphic>
          </wp:inline>
        </w:drawing>
      </w:r>
      <w:r w:rsidR="005365B2">
        <w:rPr>
          <w:color w:val="000000"/>
          <w:sz w:val="24"/>
          <w:szCs w:val="24"/>
        </w:rPr>
        <w:t>.</w:t>
      </w:r>
      <w:r>
        <w:rPr>
          <w:color w:val="000000"/>
          <w:sz w:val="24"/>
          <w:szCs w:val="24"/>
        </w:rPr>
        <w:t xml:space="preserve"> Socrates radical hospitality is a certain “refuge” from the toils of daily existence. It is not possible to recant a story of the cosmos or of the perfect city if our protagonists had to toil in the fields to survive. Those who set the habits (ethos) into place must be those who are experienced in both the </w:t>
      </w:r>
      <w:r>
        <w:rPr>
          <w:noProof/>
        </w:rPr>
        <w:drawing>
          <wp:inline distT="0" distB="0" distL="0" distR="0" wp14:anchorId="2DA37762" wp14:editId="7327BBE5">
            <wp:extent cx="434340" cy="167640"/>
            <wp:effectExtent l="0" t="0" r="381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34340" cy="167640"/>
                    </a:xfrm>
                    <a:prstGeom prst="rect">
                      <a:avLst/>
                    </a:prstGeom>
                  </pic:spPr>
                </pic:pic>
              </a:graphicData>
            </a:graphic>
          </wp:inline>
        </w:drawing>
      </w:r>
      <w:r>
        <w:rPr>
          <w:color w:val="000000"/>
          <w:sz w:val="24"/>
          <w:szCs w:val="24"/>
        </w:rPr>
        <w:t xml:space="preserve"> and the</w:t>
      </w:r>
      <w:r>
        <w:rPr>
          <w:noProof/>
        </w:rPr>
        <w:drawing>
          <wp:inline distT="0" distB="0" distL="0" distR="0" wp14:anchorId="56604377" wp14:editId="46090F10">
            <wp:extent cx="388620" cy="1524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88620" cy="152400"/>
                    </a:xfrm>
                    <a:prstGeom prst="rect">
                      <a:avLst/>
                    </a:prstGeom>
                  </pic:spPr>
                </pic:pic>
              </a:graphicData>
            </a:graphic>
          </wp:inline>
        </w:drawing>
      </w:r>
      <w:r>
        <w:rPr>
          <w:color w:val="000000"/>
          <w:sz w:val="24"/>
          <w:szCs w:val="24"/>
        </w:rPr>
        <w:t xml:space="preserve">. This is why </w:t>
      </w:r>
      <w:proofErr w:type="spellStart"/>
      <w:r>
        <w:rPr>
          <w:color w:val="000000"/>
          <w:sz w:val="24"/>
          <w:szCs w:val="24"/>
        </w:rPr>
        <w:t>Critias</w:t>
      </w:r>
      <w:proofErr w:type="spellEnd"/>
      <w:r>
        <w:rPr>
          <w:color w:val="000000"/>
          <w:sz w:val="24"/>
          <w:szCs w:val="24"/>
        </w:rPr>
        <w:t xml:space="preserve"> praises the dual competences of Timaeus, as he was a </w:t>
      </w:r>
      <w:proofErr w:type="gramStart"/>
      <w:r>
        <w:rPr>
          <w:color w:val="000000"/>
          <w:sz w:val="24"/>
          <w:szCs w:val="24"/>
        </w:rPr>
        <w:t>high ranking</w:t>
      </w:r>
      <w:proofErr w:type="gramEnd"/>
      <w:r>
        <w:rPr>
          <w:color w:val="000000"/>
          <w:sz w:val="24"/>
          <w:szCs w:val="24"/>
        </w:rPr>
        <w:t xml:space="preserve"> administrator in </w:t>
      </w:r>
      <w:r w:rsidR="00FD58CD">
        <w:rPr>
          <w:color w:val="000000"/>
          <w:sz w:val="24"/>
          <w:szCs w:val="24"/>
        </w:rPr>
        <w:t xml:space="preserve">a (for </w:t>
      </w:r>
      <w:r w:rsidR="00FD58CD">
        <w:rPr>
          <w:color w:val="000000"/>
          <w:sz w:val="24"/>
          <w:szCs w:val="24"/>
        </w:rPr>
        <w:lastRenderedPageBreak/>
        <w:t>them) contemporary</w:t>
      </w:r>
      <w:r>
        <w:rPr>
          <w:color w:val="000000"/>
          <w:sz w:val="24"/>
          <w:szCs w:val="24"/>
        </w:rPr>
        <w:t xml:space="preserve"> “city of laws”. </w:t>
      </w:r>
      <w:r w:rsidR="00B12AD8">
        <w:rPr>
          <w:color w:val="000000"/>
          <w:sz w:val="24"/>
          <w:szCs w:val="24"/>
        </w:rPr>
        <w:t>He is the man most suitable to speak about the “all”</w:t>
      </w:r>
      <w:r w:rsidR="008F0D07">
        <w:rPr>
          <w:rStyle w:val="FootnoteReference"/>
          <w:color w:val="000000"/>
          <w:sz w:val="24"/>
          <w:szCs w:val="24"/>
        </w:rPr>
        <w:footnoteReference w:id="7"/>
      </w:r>
      <w:r w:rsidR="00B12AD8">
        <w:rPr>
          <w:color w:val="000000"/>
          <w:sz w:val="24"/>
          <w:szCs w:val="24"/>
        </w:rPr>
        <w:t xml:space="preserve">. A politics, or “ordering” of the city is a prior necessity to the cosmological accounting of the origin of the cosmos.  </w:t>
      </w:r>
    </w:p>
    <w:p w14:paraId="7D705267" w14:textId="6AEE5361" w:rsidR="00A45F39" w:rsidRDefault="00B12AD8" w:rsidP="00276059">
      <w:pPr>
        <w:spacing w:line="480" w:lineRule="auto"/>
        <w:ind w:firstLine="720"/>
        <w:rPr>
          <w:color w:val="000000"/>
          <w:sz w:val="24"/>
          <w:szCs w:val="24"/>
        </w:rPr>
      </w:pPr>
      <w:r>
        <w:rPr>
          <w:color w:val="000000"/>
          <w:sz w:val="24"/>
          <w:szCs w:val="24"/>
        </w:rPr>
        <w:t>Socrates recanting of the previous days speech wasn’t faithful, so t</w:t>
      </w:r>
      <w:r w:rsidR="005E2BE0">
        <w:rPr>
          <w:color w:val="000000"/>
          <w:sz w:val="24"/>
          <w:szCs w:val="24"/>
        </w:rPr>
        <w:t>he reader therefor must</w:t>
      </w:r>
      <w:r w:rsidR="00ED7ABE" w:rsidRPr="00ED7ABE">
        <w:rPr>
          <w:color w:val="000000"/>
          <w:sz w:val="24"/>
          <w:szCs w:val="24"/>
        </w:rPr>
        <w:t xml:space="preserve"> compensate</w:t>
      </w:r>
      <w:r>
        <w:rPr>
          <w:color w:val="000000"/>
          <w:sz w:val="24"/>
          <w:szCs w:val="24"/>
        </w:rPr>
        <w:t xml:space="preserve"> for this incompleteness</w:t>
      </w:r>
      <w:r w:rsidR="005E2BE0">
        <w:rPr>
          <w:color w:val="000000"/>
          <w:sz w:val="24"/>
          <w:szCs w:val="24"/>
        </w:rPr>
        <w:t xml:space="preserve">. </w:t>
      </w:r>
      <w:r w:rsidR="00DB2812">
        <w:rPr>
          <w:color w:val="000000"/>
          <w:sz w:val="24"/>
          <w:szCs w:val="24"/>
        </w:rPr>
        <w:t>Socrates</w:t>
      </w:r>
      <w:r w:rsidR="005E2BE0">
        <w:rPr>
          <w:color w:val="000000"/>
          <w:sz w:val="24"/>
          <w:szCs w:val="24"/>
        </w:rPr>
        <w:t xml:space="preserve"> must </w:t>
      </w:r>
      <w:r w:rsidR="005E2BE0">
        <w:rPr>
          <w:i/>
          <w:color w:val="000000"/>
          <w:sz w:val="24"/>
          <w:szCs w:val="24"/>
        </w:rPr>
        <w:t>remember</w:t>
      </w:r>
      <w:r w:rsidR="005E2BE0">
        <w:rPr>
          <w:color w:val="000000"/>
          <w:sz w:val="24"/>
          <w:szCs w:val="24"/>
        </w:rPr>
        <w:t xml:space="preserve"> what was spoken about before. Yet, a perfect recollection is never possible</w:t>
      </w:r>
      <w:r w:rsidR="005E2BE0">
        <w:rPr>
          <w:rStyle w:val="FootnoteReference"/>
          <w:color w:val="000000"/>
          <w:sz w:val="24"/>
          <w:szCs w:val="24"/>
        </w:rPr>
        <w:footnoteReference w:id="8"/>
      </w:r>
      <w:r w:rsidR="00FC4C78">
        <w:rPr>
          <w:color w:val="000000"/>
          <w:sz w:val="24"/>
          <w:szCs w:val="24"/>
        </w:rPr>
        <w:t>, and thus the readers interpretive faculties are required.  What are we s</w:t>
      </w:r>
      <w:r w:rsidR="00A45F39">
        <w:rPr>
          <w:color w:val="000000"/>
          <w:sz w:val="24"/>
          <w:szCs w:val="24"/>
        </w:rPr>
        <w:t>upposed to do when we, like poor Solon</w:t>
      </w:r>
      <w:r w:rsidR="008F0D07">
        <w:rPr>
          <w:rStyle w:val="FootnoteReference"/>
          <w:color w:val="000000"/>
          <w:sz w:val="24"/>
          <w:szCs w:val="24"/>
        </w:rPr>
        <w:footnoteReference w:id="9"/>
      </w:r>
      <w:r w:rsidR="00A45F39">
        <w:rPr>
          <w:color w:val="000000"/>
          <w:sz w:val="24"/>
          <w:szCs w:val="24"/>
        </w:rPr>
        <w:t xml:space="preserve">, make mistakes in our recollection? Why, we write down information so as to render it </w:t>
      </w:r>
      <w:proofErr w:type="gramStart"/>
      <w:r w:rsidR="00A45F39">
        <w:rPr>
          <w:color w:val="000000"/>
          <w:sz w:val="24"/>
          <w:szCs w:val="24"/>
        </w:rPr>
        <w:t>unchanging.</w:t>
      </w:r>
      <w:proofErr w:type="gramEnd"/>
      <w:r w:rsidR="00A45F39">
        <w:rPr>
          <w:color w:val="000000"/>
          <w:sz w:val="24"/>
          <w:szCs w:val="24"/>
        </w:rPr>
        <w:t xml:space="preserve"> </w:t>
      </w:r>
      <w:r w:rsidR="0085163B">
        <w:rPr>
          <w:color w:val="000000"/>
          <w:sz w:val="24"/>
          <w:szCs w:val="24"/>
        </w:rPr>
        <w:t xml:space="preserve">Unfortunately, writing is only in the realm of the of the sensible, which is ultimately supplemental to the speech act. </w:t>
      </w:r>
      <w:r w:rsidR="005365B2">
        <w:rPr>
          <w:color w:val="000000"/>
          <w:sz w:val="24"/>
          <w:szCs w:val="24"/>
        </w:rPr>
        <w:t>Speech provides</w:t>
      </w:r>
      <w:r w:rsidR="0085163B">
        <w:rPr>
          <w:color w:val="000000"/>
          <w:sz w:val="24"/>
          <w:szCs w:val="24"/>
        </w:rPr>
        <w:t xml:space="preserve"> </w:t>
      </w:r>
      <w:r w:rsidR="005365B2">
        <w:rPr>
          <w:color w:val="000000"/>
          <w:sz w:val="24"/>
          <w:szCs w:val="24"/>
        </w:rPr>
        <w:t xml:space="preserve">the </w:t>
      </w:r>
      <w:r w:rsidR="0085163B">
        <w:rPr>
          <w:color w:val="000000"/>
          <w:sz w:val="24"/>
          <w:szCs w:val="24"/>
        </w:rPr>
        <w:t xml:space="preserve">context </w:t>
      </w:r>
      <w:r w:rsidR="005365B2">
        <w:rPr>
          <w:color w:val="000000"/>
          <w:sz w:val="24"/>
          <w:szCs w:val="24"/>
        </w:rPr>
        <w:t xml:space="preserve">necessary </w:t>
      </w:r>
      <w:r w:rsidR="0085163B">
        <w:rPr>
          <w:color w:val="000000"/>
          <w:sz w:val="24"/>
          <w:szCs w:val="24"/>
        </w:rPr>
        <w:t>to covey a certain “spirit” that writing lacks</w:t>
      </w:r>
      <w:r w:rsidR="005365B2">
        <w:rPr>
          <w:color w:val="000000"/>
          <w:sz w:val="24"/>
          <w:szCs w:val="24"/>
        </w:rPr>
        <w:t xml:space="preserve"> the faculty of</w:t>
      </w:r>
      <w:r w:rsidR="0085163B">
        <w:rPr>
          <w:color w:val="000000"/>
          <w:sz w:val="24"/>
          <w:szCs w:val="24"/>
        </w:rPr>
        <w:t xml:space="preserve">. Even if the first point of history had been recorded in writing, it would not be able to convey </w:t>
      </w:r>
      <w:r w:rsidR="0085163B">
        <w:rPr>
          <w:noProof/>
        </w:rPr>
        <w:drawing>
          <wp:inline distT="0" distB="0" distL="0" distR="0" wp14:anchorId="0BB3ADDF" wp14:editId="072200EF">
            <wp:extent cx="428625" cy="142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8625" cy="142875"/>
                    </a:xfrm>
                    <a:prstGeom prst="rect">
                      <a:avLst/>
                    </a:prstGeom>
                  </pic:spPr>
                </pic:pic>
              </a:graphicData>
            </a:graphic>
          </wp:inline>
        </w:drawing>
      </w:r>
      <w:r w:rsidR="00276059">
        <w:rPr>
          <w:color w:val="000000"/>
          <w:sz w:val="24"/>
          <w:szCs w:val="24"/>
        </w:rPr>
        <w:t xml:space="preserve">. </w:t>
      </w:r>
    </w:p>
    <w:p w14:paraId="73D264A1" w14:textId="17BA7CF3" w:rsidR="00600B18" w:rsidRDefault="00A45F39" w:rsidP="00A45F39">
      <w:pPr>
        <w:spacing w:line="480" w:lineRule="auto"/>
        <w:rPr>
          <w:color w:val="000000"/>
          <w:sz w:val="24"/>
          <w:szCs w:val="24"/>
        </w:rPr>
      </w:pPr>
      <w:r>
        <w:rPr>
          <w:color w:val="000000"/>
          <w:sz w:val="24"/>
          <w:szCs w:val="24"/>
        </w:rPr>
        <w:tab/>
      </w:r>
      <w:r w:rsidR="0085163B">
        <w:rPr>
          <w:color w:val="000000"/>
          <w:sz w:val="24"/>
          <w:szCs w:val="24"/>
        </w:rPr>
        <w:t>T</w:t>
      </w:r>
      <w:r>
        <w:rPr>
          <w:color w:val="000000"/>
          <w:sz w:val="24"/>
          <w:szCs w:val="24"/>
        </w:rPr>
        <w:t>his literacy is exactly what leads the Greeks to become “forgetful”</w:t>
      </w:r>
      <w:r w:rsidR="008F0D07">
        <w:rPr>
          <w:rStyle w:val="FootnoteReference"/>
          <w:color w:val="000000"/>
          <w:sz w:val="24"/>
          <w:szCs w:val="24"/>
        </w:rPr>
        <w:footnoteReference w:id="10"/>
      </w:r>
      <w:r>
        <w:rPr>
          <w:color w:val="000000"/>
          <w:sz w:val="24"/>
          <w:szCs w:val="24"/>
        </w:rPr>
        <w:t xml:space="preserve">. The act of writing causes a diffusion of the original history of the Greeks into temples and dusty tomes. Literacy becomes the standard of “education” and when those faithful folks are periodically purged by the </w:t>
      </w:r>
      <w:r w:rsidR="00E66CA0">
        <w:rPr>
          <w:color w:val="000000"/>
          <w:sz w:val="24"/>
          <w:szCs w:val="24"/>
        </w:rPr>
        <w:t>floodwaters</w:t>
      </w:r>
      <w:r>
        <w:rPr>
          <w:color w:val="000000"/>
          <w:sz w:val="24"/>
          <w:szCs w:val="24"/>
        </w:rPr>
        <w:t xml:space="preserve"> of the gods, only the “illiterate and uneducated” remain. </w:t>
      </w:r>
      <w:r w:rsidR="00E66CA0">
        <w:rPr>
          <w:color w:val="000000"/>
          <w:sz w:val="24"/>
          <w:szCs w:val="24"/>
        </w:rPr>
        <w:t xml:space="preserve">The writing that the Greeks rely on </w:t>
      </w:r>
      <w:r w:rsidR="00DB2812">
        <w:rPr>
          <w:color w:val="000000"/>
          <w:sz w:val="24"/>
          <w:szCs w:val="24"/>
        </w:rPr>
        <w:t>flings</w:t>
      </w:r>
      <w:r w:rsidR="00E66CA0">
        <w:rPr>
          <w:color w:val="000000"/>
          <w:sz w:val="24"/>
          <w:szCs w:val="24"/>
        </w:rPr>
        <w:t xml:space="preserve"> them into a perpetual state of youth, natality, and “beginning again”</w:t>
      </w:r>
      <w:r w:rsidR="00D614D2">
        <w:rPr>
          <w:color w:val="000000"/>
          <w:sz w:val="24"/>
          <w:szCs w:val="24"/>
        </w:rPr>
        <w:t>. Because of the</w:t>
      </w:r>
      <w:r w:rsidR="00E66CA0">
        <w:rPr>
          <w:color w:val="000000"/>
          <w:sz w:val="24"/>
          <w:szCs w:val="24"/>
        </w:rPr>
        <w:t xml:space="preserve"> forgetfulness inherent to those who seek knowledge</w:t>
      </w:r>
      <w:r w:rsidR="00E66CA0">
        <w:rPr>
          <w:rStyle w:val="FootnoteReference"/>
          <w:color w:val="000000"/>
          <w:sz w:val="24"/>
          <w:szCs w:val="24"/>
        </w:rPr>
        <w:footnoteReference w:id="11"/>
      </w:r>
      <w:r w:rsidR="00E66CA0">
        <w:rPr>
          <w:color w:val="000000"/>
          <w:sz w:val="24"/>
          <w:szCs w:val="24"/>
        </w:rPr>
        <w:t xml:space="preserve">, </w:t>
      </w:r>
      <w:r w:rsidR="00D614D2">
        <w:rPr>
          <w:color w:val="000000"/>
          <w:sz w:val="24"/>
          <w:szCs w:val="24"/>
        </w:rPr>
        <w:t xml:space="preserve">we find ourselves forgetting and recollecting ad infinitum. </w:t>
      </w:r>
      <w:proofErr w:type="spellStart"/>
      <w:r w:rsidR="00D614D2">
        <w:rPr>
          <w:color w:val="000000"/>
          <w:sz w:val="24"/>
          <w:szCs w:val="24"/>
        </w:rPr>
        <w:t>Critias</w:t>
      </w:r>
      <w:proofErr w:type="spellEnd"/>
      <w:r w:rsidR="00D614D2">
        <w:rPr>
          <w:color w:val="000000"/>
          <w:sz w:val="24"/>
          <w:szCs w:val="24"/>
        </w:rPr>
        <w:t xml:space="preserve"> accuses Socrates of having forgotten something, </w:t>
      </w:r>
      <w:r w:rsidR="00D614D2">
        <w:rPr>
          <w:color w:val="000000"/>
          <w:sz w:val="24"/>
          <w:szCs w:val="24"/>
        </w:rPr>
        <w:lastRenderedPageBreak/>
        <w:t>of having recollected an “abridged version, so to speak”</w:t>
      </w:r>
      <w:r w:rsidR="008F0D07">
        <w:rPr>
          <w:rStyle w:val="FootnoteReference"/>
          <w:color w:val="000000"/>
          <w:sz w:val="24"/>
          <w:szCs w:val="24"/>
        </w:rPr>
        <w:footnoteReference w:id="12"/>
      </w:r>
      <w:r w:rsidR="00D614D2">
        <w:rPr>
          <w:color w:val="000000"/>
          <w:sz w:val="24"/>
          <w:szCs w:val="24"/>
        </w:rPr>
        <w:t xml:space="preserve">. Through some “divine chance”, </w:t>
      </w:r>
      <w:proofErr w:type="spellStart"/>
      <w:r w:rsidR="00D614D2">
        <w:rPr>
          <w:color w:val="000000"/>
          <w:sz w:val="24"/>
          <w:szCs w:val="24"/>
        </w:rPr>
        <w:t>Critias</w:t>
      </w:r>
      <w:proofErr w:type="spellEnd"/>
      <w:r w:rsidR="00D614D2">
        <w:rPr>
          <w:color w:val="000000"/>
          <w:sz w:val="24"/>
          <w:szCs w:val="24"/>
        </w:rPr>
        <w:t xml:space="preserve"> realizes Socrates fell into the same trap that Solon did.</w:t>
      </w:r>
      <w:r w:rsidR="005365B2">
        <w:rPr>
          <w:color w:val="000000"/>
          <w:sz w:val="24"/>
          <w:szCs w:val="24"/>
        </w:rPr>
        <w:t xml:space="preserve"> </w:t>
      </w:r>
    </w:p>
    <w:p w14:paraId="7A038257" w14:textId="1ED8DD2B" w:rsidR="00A45F39" w:rsidRPr="00ED7ABE" w:rsidRDefault="00D614D2" w:rsidP="00A45F39">
      <w:pPr>
        <w:spacing w:line="480" w:lineRule="auto"/>
        <w:rPr>
          <w:color w:val="000000"/>
          <w:sz w:val="24"/>
          <w:szCs w:val="24"/>
        </w:rPr>
      </w:pPr>
      <w:r>
        <w:rPr>
          <w:color w:val="000000"/>
          <w:sz w:val="24"/>
          <w:szCs w:val="24"/>
        </w:rPr>
        <w:tab/>
        <w:t xml:space="preserve">To a modern reader, </w:t>
      </w:r>
      <w:proofErr w:type="spellStart"/>
      <w:r>
        <w:rPr>
          <w:color w:val="000000"/>
          <w:sz w:val="24"/>
          <w:szCs w:val="24"/>
        </w:rPr>
        <w:t>Critias</w:t>
      </w:r>
      <w:r w:rsidR="004252FB">
        <w:rPr>
          <w:color w:val="000000"/>
          <w:sz w:val="24"/>
          <w:szCs w:val="24"/>
        </w:rPr>
        <w:t>’s</w:t>
      </w:r>
      <w:proofErr w:type="spellEnd"/>
      <w:r w:rsidR="004252FB">
        <w:rPr>
          <w:color w:val="000000"/>
          <w:sz w:val="24"/>
          <w:szCs w:val="24"/>
        </w:rPr>
        <w:t xml:space="preserve"> belief in the faithfulness of his own recollection of the story of Solon seems arrogant. He seems so sure that he “recovered pretty much everything” unlike the considerably more recent knowledge gained from yesterday’s discussions. And since their self-styled objective of this discussion is “setting down as a foundation some account suited to our plans”, the “burned-in” prior accounting of the Greek origin is necessary for their eventual “plan”.  </w:t>
      </w:r>
      <w:proofErr w:type="spellStart"/>
      <w:r w:rsidR="004252FB">
        <w:rPr>
          <w:color w:val="000000"/>
          <w:sz w:val="24"/>
          <w:szCs w:val="24"/>
        </w:rPr>
        <w:t>Critias</w:t>
      </w:r>
      <w:proofErr w:type="spellEnd"/>
      <w:r w:rsidR="004252FB">
        <w:rPr>
          <w:color w:val="000000"/>
          <w:sz w:val="24"/>
          <w:szCs w:val="24"/>
        </w:rPr>
        <w:t xml:space="preserve"> is claiming that Socrates</w:t>
      </w:r>
      <w:r w:rsidR="00FD58CD">
        <w:rPr>
          <w:color w:val="000000"/>
          <w:sz w:val="24"/>
          <w:szCs w:val="24"/>
        </w:rPr>
        <w:t>’s</w:t>
      </w:r>
      <w:r w:rsidR="004252FB">
        <w:rPr>
          <w:color w:val="000000"/>
          <w:sz w:val="24"/>
          <w:szCs w:val="24"/>
        </w:rPr>
        <w:t xml:space="preserve"> accounting of the idea city is supposed to be the “origin”</w:t>
      </w:r>
      <w:r w:rsidR="00745E67">
        <w:rPr>
          <w:color w:val="000000"/>
          <w:sz w:val="24"/>
          <w:szCs w:val="24"/>
        </w:rPr>
        <w:t xml:space="preserve"> of history – a prior necessity that we find ourselves fashioning pragmatic, worldly cities from. Yet, </w:t>
      </w:r>
      <w:proofErr w:type="spellStart"/>
      <w:r w:rsidR="00745E67">
        <w:rPr>
          <w:color w:val="000000"/>
          <w:sz w:val="24"/>
          <w:szCs w:val="24"/>
        </w:rPr>
        <w:t>Critias</w:t>
      </w:r>
      <w:proofErr w:type="spellEnd"/>
      <w:r w:rsidR="00745E67">
        <w:rPr>
          <w:color w:val="000000"/>
          <w:sz w:val="24"/>
          <w:szCs w:val="24"/>
        </w:rPr>
        <w:t xml:space="preserve"> leaves some doubt of this account in his final sentence, when he boldly proclaims that “one must consider whether this account is to our mind, or whether one is to search further for another instead of it”</w:t>
      </w:r>
      <w:r w:rsidR="00276059">
        <w:rPr>
          <w:color w:val="000000"/>
          <w:sz w:val="24"/>
          <w:szCs w:val="24"/>
        </w:rPr>
        <w:t xml:space="preserve">. It is simply not possible for either Socrates or </w:t>
      </w:r>
      <w:proofErr w:type="spellStart"/>
      <w:r w:rsidR="00276059">
        <w:rPr>
          <w:color w:val="000000"/>
          <w:sz w:val="24"/>
          <w:szCs w:val="24"/>
        </w:rPr>
        <w:t>Critias</w:t>
      </w:r>
      <w:proofErr w:type="spellEnd"/>
      <w:r w:rsidR="00276059">
        <w:rPr>
          <w:color w:val="000000"/>
          <w:sz w:val="24"/>
          <w:szCs w:val="24"/>
        </w:rPr>
        <w:t xml:space="preserve"> alone to </w:t>
      </w:r>
      <w:r w:rsidR="00B12AD8">
        <w:rPr>
          <w:color w:val="000000"/>
          <w:sz w:val="24"/>
          <w:szCs w:val="24"/>
        </w:rPr>
        <w:t>decide what is true and what is fabrication</w:t>
      </w:r>
      <w:r w:rsidR="009F1C82">
        <w:rPr>
          <w:color w:val="000000"/>
          <w:sz w:val="24"/>
          <w:szCs w:val="24"/>
        </w:rPr>
        <w:t>, nor can they easily decide when their search for truth has run its course.</w:t>
      </w:r>
      <w:r w:rsidR="00B12AD8">
        <w:rPr>
          <w:color w:val="000000"/>
          <w:sz w:val="24"/>
          <w:szCs w:val="24"/>
        </w:rPr>
        <w:t xml:space="preserve"> They must </w:t>
      </w:r>
      <w:r w:rsidR="009F1C82">
        <w:rPr>
          <w:color w:val="000000"/>
          <w:sz w:val="24"/>
          <w:szCs w:val="24"/>
        </w:rPr>
        <w:t xml:space="preserve">instead </w:t>
      </w:r>
      <w:r w:rsidR="00B12AD8">
        <w:rPr>
          <w:color w:val="000000"/>
          <w:sz w:val="24"/>
          <w:szCs w:val="24"/>
        </w:rPr>
        <w:t>act as a uni</w:t>
      </w:r>
      <w:r w:rsidR="009F1C82">
        <w:rPr>
          <w:color w:val="000000"/>
          <w:sz w:val="24"/>
          <w:szCs w:val="24"/>
        </w:rPr>
        <w:t>fied</w:t>
      </w:r>
      <w:r w:rsidR="00B12AD8">
        <w:rPr>
          <w:color w:val="000000"/>
          <w:sz w:val="24"/>
          <w:szCs w:val="24"/>
        </w:rPr>
        <w:t xml:space="preserve"> “court of judges”</w:t>
      </w:r>
      <w:r w:rsidR="008F0D07">
        <w:rPr>
          <w:rStyle w:val="FootnoteReference"/>
          <w:color w:val="000000"/>
          <w:sz w:val="24"/>
          <w:szCs w:val="24"/>
        </w:rPr>
        <w:footnoteReference w:id="13"/>
      </w:r>
      <w:r w:rsidR="00B12AD8">
        <w:rPr>
          <w:color w:val="000000"/>
          <w:sz w:val="24"/>
          <w:szCs w:val="24"/>
        </w:rPr>
        <w:t xml:space="preserve"> about the metaphysics of our cosmos. </w:t>
      </w:r>
    </w:p>
    <w:p w14:paraId="7677C7B8" w14:textId="4FE0361C" w:rsidR="00211487" w:rsidRDefault="00FD58CD" w:rsidP="00211487">
      <w:pPr>
        <w:spacing w:line="480" w:lineRule="auto"/>
        <w:rPr>
          <w:sz w:val="24"/>
          <w:szCs w:val="24"/>
        </w:rPr>
      </w:pPr>
      <w:r>
        <w:rPr>
          <w:sz w:val="24"/>
          <w:szCs w:val="24"/>
        </w:rPr>
        <w:tab/>
        <w:t xml:space="preserve">But, to be a presiding judge implies a certain amount of indeterminateness. Legal justifications are only set in stone or “burned-in” until a case where their interpretation is in question. John </w:t>
      </w:r>
      <w:proofErr w:type="spellStart"/>
      <w:r>
        <w:rPr>
          <w:sz w:val="24"/>
          <w:szCs w:val="24"/>
        </w:rPr>
        <w:t>Sallis</w:t>
      </w:r>
      <w:proofErr w:type="spellEnd"/>
      <w:r>
        <w:rPr>
          <w:sz w:val="24"/>
          <w:szCs w:val="24"/>
        </w:rPr>
        <w:t xml:space="preserve"> is critical of traditional interpretations of the politics found within the Timaeus precisely because we </w:t>
      </w:r>
      <w:r w:rsidR="008952FB">
        <w:rPr>
          <w:sz w:val="24"/>
          <w:szCs w:val="24"/>
        </w:rPr>
        <w:t xml:space="preserve">assume a certain prescriptive -ism is advocated by these dialogues. In much the same way that Arendt so vulgarly claims “that Platonic thought extends </w:t>
      </w:r>
      <w:r w:rsidR="008952FB">
        <w:rPr>
          <w:sz w:val="24"/>
          <w:szCs w:val="24"/>
        </w:rPr>
        <w:lastRenderedPageBreak/>
        <w:t xml:space="preserve">the law of the household to the regulation of the </w:t>
      </w:r>
      <w:r w:rsidR="008952FB">
        <w:rPr>
          <w:noProof/>
        </w:rPr>
        <w:drawing>
          <wp:inline distT="0" distB="0" distL="0" distR="0" wp14:anchorId="6F818D09" wp14:editId="580C95FE">
            <wp:extent cx="371475" cy="1428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1475" cy="142875"/>
                    </a:xfrm>
                    <a:prstGeom prst="rect">
                      <a:avLst/>
                    </a:prstGeom>
                  </pic:spPr>
                </pic:pic>
              </a:graphicData>
            </a:graphic>
          </wp:inline>
        </w:drawing>
      </w:r>
      <w:r w:rsidR="008952FB">
        <w:rPr>
          <w:sz w:val="24"/>
          <w:szCs w:val="24"/>
        </w:rPr>
        <w:t xml:space="preserve"> at large”</w:t>
      </w:r>
      <w:r w:rsidR="003C22B1">
        <w:rPr>
          <w:rStyle w:val="FootnoteReference"/>
          <w:sz w:val="24"/>
          <w:szCs w:val="24"/>
        </w:rPr>
        <w:footnoteReference w:id="14"/>
      </w:r>
      <w:r w:rsidR="008952FB">
        <w:rPr>
          <w:sz w:val="24"/>
          <w:szCs w:val="24"/>
        </w:rPr>
        <w:t>,</w:t>
      </w:r>
      <w:r w:rsidR="003C22B1">
        <w:rPr>
          <w:sz w:val="24"/>
          <w:szCs w:val="24"/>
        </w:rPr>
        <w:t xml:space="preserve"> I have claimed a certain metaphysics is advocated by the participants of this dialogue. If the “violence” done to the </w:t>
      </w:r>
      <w:r w:rsidR="003C22B1" w:rsidRPr="005365B2">
        <w:rPr>
          <w:i/>
          <w:sz w:val="24"/>
          <w:szCs w:val="24"/>
        </w:rPr>
        <w:t>Timaeus</w:t>
      </w:r>
      <w:r w:rsidR="003C22B1">
        <w:rPr>
          <w:sz w:val="24"/>
          <w:szCs w:val="24"/>
        </w:rPr>
        <w:t xml:space="preserve"> is because of the inevitable “</w:t>
      </w:r>
      <w:r w:rsidR="003C22B1" w:rsidRPr="003C22B1">
        <w:rPr>
          <w:sz w:val="24"/>
          <w:szCs w:val="24"/>
        </w:rPr>
        <w:t xml:space="preserve">eidetic </w:t>
      </w:r>
      <w:proofErr w:type="gramStart"/>
      <w:r w:rsidR="003C22B1" w:rsidRPr="003C22B1">
        <w:rPr>
          <w:sz w:val="24"/>
          <w:szCs w:val="24"/>
        </w:rPr>
        <w:t>determination</w:t>
      </w:r>
      <w:r w:rsidR="003C22B1">
        <w:rPr>
          <w:sz w:val="24"/>
          <w:szCs w:val="24"/>
        </w:rPr>
        <w:t xml:space="preserve">“ </w:t>
      </w:r>
      <w:r w:rsidR="004A022C">
        <w:rPr>
          <w:sz w:val="24"/>
          <w:szCs w:val="24"/>
        </w:rPr>
        <w:t>inherent</w:t>
      </w:r>
      <w:proofErr w:type="gramEnd"/>
      <w:r w:rsidR="004A022C">
        <w:rPr>
          <w:sz w:val="24"/>
          <w:szCs w:val="24"/>
        </w:rPr>
        <w:t xml:space="preserve"> to</w:t>
      </w:r>
      <w:r w:rsidR="003C22B1">
        <w:rPr>
          <w:sz w:val="24"/>
          <w:szCs w:val="24"/>
        </w:rPr>
        <w:t xml:space="preserve"> translation, and because of the continuous “reading and non-reading” of the text, than how are we to proceed? How should I justify that one should read this to someone who is not a native speaker of platonic</w:t>
      </w:r>
      <w:r w:rsidR="005365B2">
        <w:rPr>
          <w:sz w:val="24"/>
          <w:szCs w:val="24"/>
        </w:rPr>
        <w:t>-era</w:t>
      </w:r>
      <w:r w:rsidR="003C22B1">
        <w:rPr>
          <w:sz w:val="24"/>
          <w:szCs w:val="24"/>
        </w:rPr>
        <w:t xml:space="preserve"> Greek with advanced knowledge of Greek philosophy? </w:t>
      </w:r>
    </w:p>
    <w:p w14:paraId="3D3E0625" w14:textId="6E9EFBAB" w:rsidR="00AF6DFE" w:rsidRDefault="00AF6DFE" w:rsidP="00211487">
      <w:pPr>
        <w:spacing w:line="480" w:lineRule="auto"/>
        <w:rPr>
          <w:sz w:val="24"/>
          <w:szCs w:val="24"/>
        </w:rPr>
      </w:pPr>
      <w:r>
        <w:rPr>
          <w:i/>
          <w:sz w:val="24"/>
          <w:szCs w:val="24"/>
        </w:rPr>
        <w:tab/>
      </w:r>
      <w:r>
        <w:rPr>
          <w:sz w:val="24"/>
          <w:szCs w:val="24"/>
        </w:rPr>
        <w:t>I</w:t>
      </w:r>
      <w:r w:rsidR="004A022C">
        <w:rPr>
          <w:sz w:val="24"/>
          <w:szCs w:val="24"/>
        </w:rPr>
        <w:t xml:space="preserve"> struggle to answer this question. My first instinct is to re-read the </w:t>
      </w:r>
      <w:r w:rsidR="004A022C" w:rsidRPr="005365B2">
        <w:rPr>
          <w:i/>
          <w:sz w:val="24"/>
          <w:szCs w:val="24"/>
        </w:rPr>
        <w:t>Timaeus</w:t>
      </w:r>
      <w:r w:rsidR="004A022C">
        <w:rPr>
          <w:rStyle w:val="FootnoteReference"/>
          <w:sz w:val="24"/>
          <w:szCs w:val="24"/>
        </w:rPr>
        <w:footnoteReference w:id="15"/>
      </w:r>
      <w:r w:rsidR="004A022C">
        <w:rPr>
          <w:sz w:val="24"/>
          <w:szCs w:val="24"/>
        </w:rPr>
        <w:t xml:space="preserve">, and to read more secondary sources. Do I then re-perpetuate the same cycle of translatory violence back onto Plato? If I decide to do otherwise, then I’m simply </w:t>
      </w:r>
      <w:r w:rsidR="004A022C">
        <w:rPr>
          <w:i/>
          <w:sz w:val="24"/>
          <w:szCs w:val="24"/>
        </w:rPr>
        <w:t>not reading</w:t>
      </w:r>
      <w:r w:rsidR="004A022C">
        <w:rPr>
          <w:sz w:val="24"/>
          <w:szCs w:val="24"/>
        </w:rPr>
        <w:t xml:space="preserve">. </w:t>
      </w:r>
      <w:proofErr w:type="gramStart"/>
      <w:r w:rsidR="004A022C">
        <w:rPr>
          <w:sz w:val="24"/>
          <w:szCs w:val="24"/>
        </w:rPr>
        <w:t>Similar to</w:t>
      </w:r>
      <w:proofErr w:type="gramEnd"/>
      <w:r w:rsidR="004A022C">
        <w:rPr>
          <w:sz w:val="24"/>
          <w:szCs w:val="24"/>
        </w:rPr>
        <w:t xml:space="preserve"> how “not acting” is a kind of action, my decision to not read would be a kind of </w:t>
      </w:r>
      <w:r w:rsidR="004A022C">
        <w:rPr>
          <w:i/>
          <w:sz w:val="24"/>
          <w:szCs w:val="24"/>
        </w:rPr>
        <w:t>surrendering</w:t>
      </w:r>
      <w:r w:rsidR="004A022C">
        <w:rPr>
          <w:sz w:val="24"/>
          <w:szCs w:val="24"/>
        </w:rPr>
        <w:t xml:space="preserve"> of the </w:t>
      </w:r>
      <w:r w:rsidR="004A022C" w:rsidRPr="005365B2">
        <w:rPr>
          <w:i/>
          <w:sz w:val="24"/>
          <w:szCs w:val="24"/>
        </w:rPr>
        <w:t>Timaeus</w:t>
      </w:r>
      <w:r w:rsidR="004A022C">
        <w:rPr>
          <w:sz w:val="24"/>
          <w:szCs w:val="24"/>
        </w:rPr>
        <w:t xml:space="preserve"> to someone else’s “eidetic determination”. </w:t>
      </w:r>
      <w:r w:rsidR="00030A0D">
        <w:rPr>
          <w:sz w:val="24"/>
          <w:szCs w:val="24"/>
        </w:rPr>
        <w:t xml:space="preserve">My frustration results from consciously being made aware of the limits of my ability to understand this text. The interpretive process: of judging, of accounting for, and of ordering is the prior necessity to any “accounting of the origins of” or of an “original provocation”.  One must specify what was first in the claiming of an “original”. If </w:t>
      </w:r>
      <w:r w:rsidR="00D37767">
        <w:rPr>
          <w:sz w:val="24"/>
          <w:szCs w:val="24"/>
        </w:rPr>
        <w:t>said</w:t>
      </w:r>
      <w:r w:rsidR="00030A0D">
        <w:rPr>
          <w:sz w:val="24"/>
          <w:szCs w:val="24"/>
        </w:rPr>
        <w:t xml:space="preserve"> “specification” is then said to be the first, we have again specified</w:t>
      </w:r>
      <w:r w:rsidR="00D37767">
        <w:rPr>
          <w:sz w:val="24"/>
          <w:szCs w:val="24"/>
        </w:rPr>
        <w:t xml:space="preserve">, and are left unsure of what the original provocation is. </w:t>
      </w:r>
    </w:p>
    <w:p w14:paraId="6429C355" w14:textId="14789E71" w:rsidR="00D37767" w:rsidRDefault="00D37767" w:rsidP="00211487">
      <w:pPr>
        <w:spacing w:line="480" w:lineRule="auto"/>
        <w:rPr>
          <w:sz w:val="24"/>
          <w:szCs w:val="24"/>
        </w:rPr>
      </w:pPr>
      <w:r>
        <w:rPr>
          <w:sz w:val="24"/>
          <w:szCs w:val="24"/>
        </w:rPr>
        <w:tab/>
        <w:t>The “</w:t>
      </w:r>
      <w:r w:rsidR="00177403">
        <w:rPr>
          <w:sz w:val="24"/>
          <w:szCs w:val="24"/>
        </w:rPr>
        <w:t>a</w:t>
      </w:r>
      <w:r>
        <w:rPr>
          <w:sz w:val="24"/>
          <w:szCs w:val="24"/>
        </w:rPr>
        <w:t xml:space="preserve">rchaic </w:t>
      </w:r>
      <w:r w:rsidR="00177403">
        <w:rPr>
          <w:sz w:val="24"/>
          <w:szCs w:val="24"/>
        </w:rPr>
        <w:t>c</w:t>
      </w:r>
      <w:r>
        <w:rPr>
          <w:sz w:val="24"/>
          <w:szCs w:val="24"/>
        </w:rPr>
        <w:t xml:space="preserve">ity” that </w:t>
      </w:r>
      <w:proofErr w:type="spellStart"/>
      <w:r>
        <w:rPr>
          <w:sz w:val="24"/>
          <w:szCs w:val="24"/>
        </w:rPr>
        <w:t>Critias</w:t>
      </w:r>
      <w:proofErr w:type="spellEnd"/>
      <w:r>
        <w:rPr>
          <w:sz w:val="24"/>
          <w:szCs w:val="24"/>
        </w:rPr>
        <w:t xml:space="preserve"> recounts stands in stark contrast to the </w:t>
      </w:r>
      <w:r w:rsidR="002E6FA5">
        <w:rPr>
          <w:sz w:val="24"/>
          <w:szCs w:val="24"/>
        </w:rPr>
        <w:t>S</w:t>
      </w:r>
      <w:r>
        <w:rPr>
          <w:sz w:val="24"/>
          <w:szCs w:val="24"/>
        </w:rPr>
        <w:t xml:space="preserve">ocratic </w:t>
      </w:r>
      <w:r w:rsidR="002E6FA5">
        <w:rPr>
          <w:sz w:val="24"/>
          <w:szCs w:val="24"/>
        </w:rPr>
        <w:t>e</w:t>
      </w:r>
      <w:r>
        <w:rPr>
          <w:sz w:val="24"/>
          <w:szCs w:val="24"/>
        </w:rPr>
        <w:t>idetic city. This city is claimed to have “actually” existed</w:t>
      </w:r>
      <w:r w:rsidR="00E52647">
        <w:rPr>
          <w:sz w:val="24"/>
          <w:szCs w:val="24"/>
        </w:rPr>
        <w:t xml:space="preserve"> in a “singular place”</w:t>
      </w:r>
      <w:r w:rsidR="008F0D07">
        <w:rPr>
          <w:rStyle w:val="FootnoteReference"/>
          <w:sz w:val="24"/>
          <w:szCs w:val="24"/>
        </w:rPr>
        <w:footnoteReference w:id="16"/>
      </w:r>
      <w:r>
        <w:rPr>
          <w:sz w:val="24"/>
          <w:szCs w:val="24"/>
        </w:rPr>
        <w:t>, rather than act as some sort of paradigm</w:t>
      </w:r>
      <w:r w:rsidR="00F52FA3">
        <w:rPr>
          <w:sz w:val="24"/>
          <w:szCs w:val="24"/>
        </w:rPr>
        <w:t xml:space="preserve"> or model for a fabricated city. Despite their supposedly irrecoverable </w:t>
      </w:r>
      <w:r w:rsidR="00F52FA3">
        <w:rPr>
          <w:sz w:val="24"/>
          <w:szCs w:val="24"/>
        </w:rPr>
        <w:lastRenderedPageBreak/>
        <w:t xml:space="preserve">differences, </w:t>
      </w:r>
      <w:proofErr w:type="spellStart"/>
      <w:r w:rsidR="00F52FA3">
        <w:rPr>
          <w:sz w:val="24"/>
          <w:szCs w:val="24"/>
        </w:rPr>
        <w:t>Critias</w:t>
      </w:r>
      <w:proofErr w:type="spellEnd"/>
      <w:r w:rsidR="00F52FA3">
        <w:rPr>
          <w:sz w:val="24"/>
          <w:szCs w:val="24"/>
        </w:rPr>
        <w:t xml:space="preserve"> </w:t>
      </w:r>
      <w:r w:rsidR="00177403">
        <w:rPr>
          <w:sz w:val="24"/>
          <w:szCs w:val="24"/>
        </w:rPr>
        <w:t>declares that “the citizens you had in mind are those true ancestors of ours about whom the priest was speaking”</w:t>
      </w:r>
      <w:r w:rsidR="008F0D07">
        <w:rPr>
          <w:rStyle w:val="FootnoteReference"/>
          <w:sz w:val="24"/>
          <w:szCs w:val="24"/>
        </w:rPr>
        <w:footnoteReference w:id="17"/>
      </w:r>
      <w:r w:rsidR="00177403">
        <w:rPr>
          <w:sz w:val="24"/>
          <w:szCs w:val="24"/>
        </w:rPr>
        <w:t xml:space="preserve"> . </w:t>
      </w:r>
      <w:proofErr w:type="spellStart"/>
      <w:r w:rsidR="00177403">
        <w:rPr>
          <w:sz w:val="24"/>
          <w:szCs w:val="24"/>
        </w:rPr>
        <w:t>Sallis</w:t>
      </w:r>
      <w:proofErr w:type="spellEnd"/>
      <w:r w:rsidR="00177403">
        <w:rPr>
          <w:sz w:val="24"/>
          <w:szCs w:val="24"/>
        </w:rPr>
        <w:t xml:space="preserve"> notes that the main difference between these cities is that they are “</w:t>
      </w:r>
      <w:r w:rsidR="00177403">
        <w:rPr>
          <w:i/>
          <w:sz w:val="24"/>
          <w:szCs w:val="24"/>
        </w:rPr>
        <w:t>told of differently”</w:t>
      </w:r>
      <w:r w:rsidR="008F0D07">
        <w:rPr>
          <w:rStyle w:val="FootnoteReference"/>
          <w:i/>
          <w:sz w:val="24"/>
          <w:szCs w:val="24"/>
        </w:rPr>
        <w:footnoteReference w:id="18"/>
      </w:r>
      <w:r w:rsidR="008F0D07">
        <w:rPr>
          <w:sz w:val="24"/>
          <w:szCs w:val="24"/>
        </w:rPr>
        <w:t xml:space="preserve">. </w:t>
      </w:r>
      <w:r w:rsidR="00177403">
        <w:rPr>
          <w:sz w:val="24"/>
          <w:szCs w:val="24"/>
        </w:rPr>
        <w:t xml:space="preserve">The legal and social differences that these cities have are </w:t>
      </w:r>
      <w:proofErr w:type="gramStart"/>
      <w:r w:rsidR="00177403">
        <w:rPr>
          <w:sz w:val="24"/>
          <w:szCs w:val="24"/>
        </w:rPr>
        <w:t>as a result of</w:t>
      </w:r>
      <w:proofErr w:type="gramEnd"/>
      <w:r w:rsidR="00177403">
        <w:rPr>
          <w:sz w:val="24"/>
          <w:szCs w:val="24"/>
        </w:rPr>
        <w:t xml:space="preserve"> the imperfection of remembering as well as the inevitable subjectivity of translation. </w:t>
      </w:r>
      <w:r w:rsidR="00052398">
        <w:rPr>
          <w:sz w:val="24"/>
          <w:szCs w:val="24"/>
        </w:rPr>
        <w:t xml:space="preserve">Legal courts </w:t>
      </w:r>
      <w:proofErr w:type="gramStart"/>
      <w:r w:rsidR="00052398">
        <w:rPr>
          <w:sz w:val="24"/>
          <w:szCs w:val="24"/>
        </w:rPr>
        <w:t>asks</w:t>
      </w:r>
      <w:proofErr w:type="gramEnd"/>
      <w:r w:rsidR="00052398">
        <w:rPr>
          <w:sz w:val="24"/>
          <w:szCs w:val="24"/>
        </w:rPr>
        <w:t xml:space="preserve"> for multiple witnesses whenever possible, whose testimony might be radically different yet still accounting for the same crime. Since we are the “judges” of the accountings of the cosmos, it makes sense that we listen to the full range of witness testimony. </w:t>
      </w:r>
      <w:r w:rsidR="00C94094">
        <w:rPr>
          <w:sz w:val="24"/>
          <w:szCs w:val="24"/>
        </w:rPr>
        <w:t>Each new witness is asked to “start from the beginning again”, yet if a witness gave the exact same testimony as the previous, we would distrust their testimony as a “fabrication”</w:t>
      </w:r>
      <w:r w:rsidR="00C94094">
        <w:rPr>
          <w:rStyle w:val="FootnoteReference"/>
          <w:sz w:val="24"/>
          <w:szCs w:val="24"/>
        </w:rPr>
        <w:footnoteReference w:id="19"/>
      </w:r>
      <w:r w:rsidR="00C94094">
        <w:rPr>
          <w:sz w:val="24"/>
          <w:szCs w:val="24"/>
        </w:rPr>
        <w:t xml:space="preserve">. </w:t>
      </w:r>
      <w:r w:rsidR="00052398">
        <w:rPr>
          <w:sz w:val="24"/>
          <w:szCs w:val="24"/>
        </w:rPr>
        <w:t xml:space="preserve">Given the court of law analogies presented here, it becomes obvious why the Greeks would privilege speaking over writing. </w:t>
      </w:r>
    </w:p>
    <w:p w14:paraId="325320D0" w14:textId="26158EA7" w:rsidR="003C48BE" w:rsidRDefault="003C48BE" w:rsidP="00211487">
      <w:pPr>
        <w:spacing w:line="480" w:lineRule="auto"/>
        <w:rPr>
          <w:sz w:val="24"/>
          <w:szCs w:val="24"/>
        </w:rPr>
      </w:pPr>
      <w:r>
        <w:rPr>
          <w:sz w:val="24"/>
          <w:szCs w:val="24"/>
        </w:rPr>
        <w:tab/>
        <w:t xml:space="preserve">Despite this privileging, </w:t>
      </w:r>
      <w:proofErr w:type="spellStart"/>
      <w:r>
        <w:rPr>
          <w:sz w:val="24"/>
          <w:szCs w:val="24"/>
        </w:rPr>
        <w:t>Sallis</w:t>
      </w:r>
      <w:proofErr w:type="spellEnd"/>
      <w:r>
        <w:rPr>
          <w:sz w:val="24"/>
          <w:szCs w:val="24"/>
        </w:rPr>
        <w:t xml:space="preserve"> is reminds the reader that even </w:t>
      </w:r>
      <w:proofErr w:type="spellStart"/>
      <w:r>
        <w:rPr>
          <w:sz w:val="24"/>
          <w:szCs w:val="24"/>
        </w:rPr>
        <w:t>Critias’s</w:t>
      </w:r>
      <w:proofErr w:type="spellEnd"/>
      <w:r>
        <w:rPr>
          <w:sz w:val="24"/>
          <w:szCs w:val="24"/>
        </w:rPr>
        <w:t xml:space="preserve"> account includes a fair amount of </w:t>
      </w:r>
      <w:r w:rsidR="007839FC">
        <w:rPr>
          <w:sz w:val="24"/>
          <w:szCs w:val="24"/>
        </w:rPr>
        <w:t xml:space="preserve">writing and </w:t>
      </w:r>
      <w:r>
        <w:rPr>
          <w:sz w:val="24"/>
          <w:szCs w:val="24"/>
        </w:rPr>
        <w:t>translating</w:t>
      </w:r>
      <w:r w:rsidR="008F0D07">
        <w:rPr>
          <w:rStyle w:val="FootnoteReference"/>
          <w:sz w:val="24"/>
          <w:szCs w:val="24"/>
        </w:rPr>
        <w:footnoteReference w:id="20"/>
      </w:r>
      <w:r w:rsidR="008F0D07">
        <w:rPr>
          <w:sz w:val="24"/>
          <w:szCs w:val="24"/>
        </w:rPr>
        <w:t>:</w:t>
      </w:r>
    </w:p>
    <w:p w14:paraId="174DD2DE" w14:textId="6788BC84" w:rsidR="003C48BE" w:rsidRDefault="003C48BE" w:rsidP="003C48BE">
      <w:pPr>
        <w:spacing w:line="480" w:lineRule="auto"/>
        <w:jc w:val="center"/>
        <w:rPr>
          <w:sz w:val="24"/>
          <w:szCs w:val="24"/>
        </w:rPr>
      </w:pPr>
      <w:r>
        <w:rPr>
          <w:noProof/>
        </w:rPr>
        <w:drawing>
          <wp:inline distT="0" distB="0" distL="0" distR="0" wp14:anchorId="3E3D5BA1" wp14:editId="52F1140B">
            <wp:extent cx="5133975" cy="20859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33975" cy="2085975"/>
                    </a:xfrm>
                    <a:prstGeom prst="rect">
                      <a:avLst/>
                    </a:prstGeom>
                  </pic:spPr>
                </pic:pic>
              </a:graphicData>
            </a:graphic>
          </wp:inline>
        </w:drawing>
      </w:r>
    </w:p>
    <w:p w14:paraId="03B506D2" w14:textId="5676E612" w:rsidR="005365B2" w:rsidRDefault="005365B2" w:rsidP="005365B2">
      <w:pPr>
        <w:spacing w:line="480" w:lineRule="auto"/>
        <w:rPr>
          <w:sz w:val="24"/>
          <w:szCs w:val="24"/>
        </w:rPr>
      </w:pPr>
      <w:r>
        <w:rPr>
          <w:sz w:val="24"/>
          <w:szCs w:val="24"/>
        </w:rPr>
        <w:lastRenderedPageBreak/>
        <w:t xml:space="preserve">It’s difficult to imagine then, that </w:t>
      </w:r>
      <w:proofErr w:type="spellStart"/>
      <w:r>
        <w:rPr>
          <w:sz w:val="24"/>
          <w:szCs w:val="24"/>
        </w:rPr>
        <w:t>Critias’s</w:t>
      </w:r>
      <w:proofErr w:type="spellEnd"/>
      <w:r>
        <w:rPr>
          <w:sz w:val="24"/>
          <w:szCs w:val="24"/>
        </w:rPr>
        <w:t xml:space="preserve"> accounting can be said to be “complete”, yet it’s presentation calls into question the </w:t>
      </w:r>
      <w:r>
        <w:rPr>
          <w:sz w:val="24"/>
          <w:szCs w:val="24"/>
        </w:rPr>
        <w:t>eidetic</w:t>
      </w:r>
      <w:r>
        <w:rPr>
          <w:sz w:val="24"/>
          <w:szCs w:val="24"/>
        </w:rPr>
        <w:t xml:space="preserve"> cities </w:t>
      </w:r>
      <w:r w:rsidR="007839FC">
        <w:rPr>
          <w:sz w:val="24"/>
          <w:szCs w:val="24"/>
        </w:rPr>
        <w:t xml:space="preserve">political ordering of its city </w:t>
      </w:r>
      <w:proofErr w:type="gramStart"/>
      <w:r w:rsidR="007839FC">
        <w:rPr>
          <w:sz w:val="24"/>
          <w:szCs w:val="24"/>
        </w:rPr>
        <w:t>by virtue of</w:t>
      </w:r>
      <w:proofErr w:type="gramEnd"/>
      <w:r w:rsidR="007839FC">
        <w:rPr>
          <w:sz w:val="24"/>
          <w:szCs w:val="24"/>
        </w:rPr>
        <w:t xml:space="preserve"> being a different accounting. Two witnesses have been called, and now we must deliberate about the case in front of us. </w:t>
      </w:r>
    </w:p>
    <w:p w14:paraId="7861FD66" w14:textId="04A0622E" w:rsidR="00052398" w:rsidRPr="003C48BE" w:rsidRDefault="00052398" w:rsidP="00211487">
      <w:pPr>
        <w:spacing w:line="480" w:lineRule="auto"/>
        <w:rPr>
          <w:sz w:val="24"/>
          <w:szCs w:val="24"/>
        </w:rPr>
      </w:pPr>
      <w:r>
        <w:rPr>
          <w:sz w:val="24"/>
          <w:szCs w:val="24"/>
        </w:rPr>
        <w:tab/>
        <w:t xml:space="preserve">Thus, the </w:t>
      </w:r>
      <w:r>
        <w:rPr>
          <w:i/>
          <w:sz w:val="24"/>
          <w:szCs w:val="24"/>
        </w:rPr>
        <w:t>Timaeus’s</w:t>
      </w:r>
      <w:r>
        <w:rPr>
          <w:sz w:val="24"/>
          <w:szCs w:val="24"/>
        </w:rPr>
        <w:t xml:space="preserve"> original provocation of the cosmos takes on a decisively political concern, because the ability to order, or account</w:t>
      </w:r>
      <w:r w:rsidR="007839FC">
        <w:rPr>
          <w:sz w:val="24"/>
          <w:szCs w:val="24"/>
        </w:rPr>
        <w:t xml:space="preserve"> </w:t>
      </w:r>
      <w:r>
        <w:rPr>
          <w:sz w:val="24"/>
          <w:szCs w:val="24"/>
        </w:rPr>
        <w:t xml:space="preserve">for a beginning requires us to act as judges of </w:t>
      </w:r>
      <w:r w:rsidR="003C48BE">
        <w:rPr>
          <w:sz w:val="24"/>
          <w:szCs w:val="24"/>
        </w:rPr>
        <w:t xml:space="preserve">violently translated </w:t>
      </w:r>
      <w:r>
        <w:rPr>
          <w:sz w:val="24"/>
          <w:szCs w:val="24"/>
        </w:rPr>
        <w:t xml:space="preserve">claims that have no chance of </w:t>
      </w:r>
      <w:r w:rsidR="00C94094">
        <w:rPr>
          <w:sz w:val="24"/>
          <w:szCs w:val="24"/>
        </w:rPr>
        <w:t xml:space="preserve">direct verifiability. By speaking of “what is </w:t>
      </w:r>
      <w:proofErr w:type="gramStart"/>
      <w:r w:rsidR="00C94094">
        <w:rPr>
          <w:sz w:val="24"/>
          <w:szCs w:val="24"/>
        </w:rPr>
        <w:t>more true</w:t>
      </w:r>
      <w:proofErr w:type="gramEnd"/>
      <w:r w:rsidR="00C94094">
        <w:rPr>
          <w:sz w:val="24"/>
          <w:szCs w:val="24"/>
        </w:rPr>
        <w:t xml:space="preserve">” or “what is first”, we have necessarily already claimed a certain ordering of the cosmos. This question of ordering </w:t>
      </w:r>
      <w:r w:rsidR="003C48BE">
        <w:rPr>
          <w:sz w:val="24"/>
          <w:szCs w:val="24"/>
        </w:rPr>
        <w:t xml:space="preserve">is the </w:t>
      </w:r>
      <w:r w:rsidR="003C48BE">
        <w:rPr>
          <w:i/>
          <w:sz w:val="24"/>
          <w:szCs w:val="24"/>
        </w:rPr>
        <w:t xml:space="preserve">raison </w:t>
      </w:r>
      <w:proofErr w:type="spellStart"/>
      <w:r w:rsidR="003C48BE">
        <w:rPr>
          <w:i/>
          <w:sz w:val="24"/>
          <w:szCs w:val="24"/>
        </w:rPr>
        <w:t>d’etre</w:t>
      </w:r>
      <w:proofErr w:type="spellEnd"/>
      <w:r w:rsidR="003C48BE">
        <w:rPr>
          <w:sz w:val="24"/>
          <w:szCs w:val="24"/>
        </w:rPr>
        <w:t xml:space="preserve"> of politics, and since political accounting is a prior necessity to cosmological accounting, the head of this discourse is a discourse about politics. </w:t>
      </w:r>
    </w:p>
    <w:sectPr w:rsidR="00052398" w:rsidRPr="003C48B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40A67B" w14:textId="77777777" w:rsidR="008765F6" w:rsidRDefault="008765F6" w:rsidP="00E009AE">
      <w:pPr>
        <w:spacing w:after="0" w:line="240" w:lineRule="auto"/>
      </w:pPr>
      <w:r>
        <w:separator/>
      </w:r>
    </w:p>
  </w:endnote>
  <w:endnote w:type="continuationSeparator" w:id="0">
    <w:p w14:paraId="1FC25C44" w14:textId="77777777" w:rsidR="008765F6" w:rsidRDefault="008765F6" w:rsidP="00E009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D2E3F1" w14:textId="77777777" w:rsidR="008765F6" w:rsidRDefault="008765F6" w:rsidP="00E009AE">
      <w:pPr>
        <w:spacing w:after="0" w:line="240" w:lineRule="auto"/>
      </w:pPr>
      <w:r>
        <w:separator/>
      </w:r>
    </w:p>
  </w:footnote>
  <w:footnote w:type="continuationSeparator" w:id="0">
    <w:p w14:paraId="58526F1B" w14:textId="77777777" w:rsidR="008765F6" w:rsidRDefault="008765F6" w:rsidP="00E009AE">
      <w:pPr>
        <w:spacing w:after="0" w:line="240" w:lineRule="auto"/>
      </w:pPr>
      <w:r>
        <w:continuationSeparator/>
      </w:r>
    </w:p>
  </w:footnote>
  <w:footnote w:id="1">
    <w:p w14:paraId="591FC649" w14:textId="44994FAC" w:rsidR="00840832" w:rsidRDefault="00840832">
      <w:pPr>
        <w:pStyle w:val="FootnoteText"/>
      </w:pPr>
      <w:r>
        <w:rPr>
          <w:rStyle w:val="FootnoteReference"/>
        </w:rPr>
        <w:footnoteRef/>
      </w:r>
      <w:r>
        <w:t xml:space="preserve"> </w:t>
      </w:r>
      <w:r>
        <w:rPr>
          <w:i/>
        </w:rPr>
        <w:t>Timaeus</w:t>
      </w:r>
      <w:r>
        <w:t xml:space="preserve">, </w:t>
      </w:r>
      <w:proofErr w:type="spellStart"/>
      <w:r>
        <w:t>Bowett</w:t>
      </w:r>
      <w:proofErr w:type="spellEnd"/>
      <w:r>
        <w:t xml:space="preserve"> Trans, </w:t>
      </w:r>
      <w:hyperlink r:id="rId1" w:history="1">
        <w:r w:rsidRPr="00327B11">
          <w:rPr>
            <w:rStyle w:val="Hyperlink"/>
          </w:rPr>
          <w:t>http://classics.mit.edu/Plato/timaeus.html</w:t>
        </w:r>
      </w:hyperlink>
      <w:r>
        <w:t>, 20A</w:t>
      </w:r>
    </w:p>
  </w:footnote>
  <w:footnote w:id="2">
    <w:p w14:paraId="6ED1DC9C" w14:textId="65770549" w:rsidR="00E009AE" w:rsidRDefault="00E009AE">
      <w:pPr>
        <w:pStyle w:val="FootnoteText"/>
      </w:pPr>
      <w:r>
        <w:rPr>
          <w:rStyle w:val="FootnoteReference"/>
        </w:rPr>
        <w:footnoteRef/>
      </w:r>
      <w:r w:rsidR="008F0D07">
        <w:t xml:space="preserve"> </w:t>
      </w:r>
      <w:r w:rsidR="00840832">
        <w:t>Ibid,</w:t>
      </w:r>
      <w:r w:rsidR="008F0D07">
        <w:t xml:space="preserve"> </w:t>
      </w:r>
      <w:r w:rsidR="00381144">
        <w:t>19A</w:t>
      </w:r>
    </w:p>
  </w:footnote>
  <w:footnote w:id="3">
    <w:p w14:paraId="794D78AE" w14:textId="25C2886E" w:rsidR="00C60CC9" w:rsidRPr="00C60CC9" w:rsidRDefault="00C60CC9">
      <w:pPr>
        <w:pStyle w:val="FootnoteText"/>
      </w:pPr>
      <w:r>
        <w:rPr>
          <w:rStyle w:val="FootnoteReference"/>
        </w:rPr>
        <w:footnoteRef/>
      </w:r>
      <w:r>
        <w:t xml:space="preserve"> </w:t>
      </w:r>
      <w:r>
        <w:rPr>
          <w:i/>
        </w:rPr>
        <w:t>Timaeus</w:t>
      </w:r>
      <w:r>
        <w:t>,</w:t>
      </w:r>
      <w:r w:rsidRPr="00C60CC9">
        <w:t xml:space="preserve"> </w:t>
      </w:r>
      <w:proofErr w:type="spellStart"/>
      <w:r w:rsidRPr="00C60CC9">
        <w:t>Kalkavage</w:t>
      </w:r>
      <w:proofErr w:type="spellEnd"/>
      <w:r>
        <w:t xml:space="preserve"> trans, 37D</w:t>
      </w:r>
    </w:p>
  </w:footnote>
  <w:footnote w:id="4">
    <w:p w14:paraId="2F10C420" w14:textId="00C388AE" w:rsidR="008F0D07" w:rsidRDefault="008F0D07">
      <w:pPr>
        <w:pStyle w:val="FootnoteText"/>
      </w:pPr>
      <w:r>
        <w:rPr>
          <w:rStyle w:val="FootnoteReference"/>
        </w:rPr>
        <w:footnoteRef/>
      </w:r>
      <w:r>
        <w:t xml:space="preserve"> Ibid, 37C</w:t>
      </w:r>
    </w:p>
  </w:footnote>
  <w:footnote w:id="5">
    <w:p w14:paraId="035691E4" w14:textId="00F84E67" w:rsidR="008F0D07" w:rsidRDefault="008F0D07">
      <w:pPr>
        <w:pStyle w:val="FootnoteText"/>
      </w:pPr>
      <w:r>
        <w:rPr>
          <w:rStyle w:val="FootnoteReference"/>
        </w:rPr>
        <w:footnoteRef/>
      </w:r>
      <w:r>
        <w:t xml:space="preserve"> The weird formatting is because I copied and pasted pictures of the Greek words. I didn’t want to have to manually type them out all the time. </w:t>
      </w:r>
    </w:p>
  </w:footnote>
  <w:footnote w:id="6">
    <w:p w14:paraId="2597B2BC" w14:textId="22D248D6" w:rsidR="008F0D07" w:rsidRDefault="008F0D07">
      <w:pPr>
        <w:pStyle w:val="FootnoteText"/>
      </w:pPr>
      <w:r>
        <w:rPr>
          <w:rStyle w:val="FootnoteReference"/>
        </w:rPr>
        <w:footnoteRef/>
      </w:r>
      <w:r>
        <w:t xml:space="preserve"> Ibid, 27D</w:t>
      </w:r>
    </w:p>
  </w:footnote>
  <w:footnote w:id="7">
    <w:p w14:paraId="717FE85C" w14:textId="50EDF891" w:rsidR="008F0D07" w:rsidRDefault="008F0D07">
      <w:pPr>
        <w:pStyle w:val="FootnoteText"/>
      </w:pPr>
      <w:r>
        <w:rPr>
          <w:rStyle w:val="FootnoteReference"/>
        </w:rPr>
        <w:footnoteRef/>
      </w:r>
      <w:r>
        <w:t xml:space="preserve"> Ibid, 27A</w:t>
      </w:r>
    </w:p>
  </w:footnote>
  <w:footnote w:id="8">
    <w:p w14:paraId="20943F5E" w14:textId="7ED050F7" w:rsidR="005E2BE0" w:rsidRDefault="005E2BE0">
      <w:pPr>
        <w:pStyle w:val="FootnoteText"/>
      </w:pPr>
      <w:r>
        <w:rPr>
          <w:rStyle w:val="FootnoteReference"/>
        </w:rPr>
        <w:footnoteRef/>
      </w:r>
      <w:r>
        <w:t xml:space="preserve"> If it w</w:t>
      </w:r>
      <w:r w:rsidR="00FC4C78">
        <w:t xml:space="preserve">ere possible, </w:t>
      </w:r>
      <w:proofErr w:type="gramStart"/>
      <w:r w:rsidR="00FC4C78">
        <w:t>than</w:t>
      </w:r>
      <w:proofErr w:type="gramEnd"/>
      <w:r w:rsidR="00FC4C78">
        <w:t xml:space="preserve"> defining the difference between past and present would be much tougher. </w:t>
      </w:r>
    </w:p>
  </w:footnote>
  <w:footnote w:id="9">
    <w:p w14:paraId="0BEBD0A3" w14:textId="5306589C" w:rsidR="008F0D07" w:rsidRDefault="008F0D07">
      <w:pPr>
        <w:pStyle w:val="FootnoteText"/>
      </w:pPr>
      <w:r>
        <w:rPr>
          <w:rStyle w:val="FootnoteReference"/>
        </w:rPr>
        <w:footnoteRef/>
      </w:r>
      <w:r>
        <w:t xml:space="preserve"> Ibid, 22B</w:t>
      </w:r>
    </w:p>
  </w:footnote>
  <w:footnote w:id="10">
    <w:p w14:paraId="02832058" w14:textId="3F7BA12A" w:rsidR="008F0D07" w:rsidRDefault="008F0D07">
      <w:pPr>
        <w:pStyle w:val="FootnoteText"/>
      </w:pPr>
      <w:r>
        <w:rPr>
          <w:rStyle w:val="FootnoteReference"/>
        </w:rPr>
        <w:footnoteRef/>
      </w:r>
      <w:r>
        <w:t xml:space="preserve"> Ibid, 23C</w:t>
      </w:r>
    </w:p>
  </w:footnote>
  <w:footnote w:id="11">
    <w:p w14:paraId="1D99C494" w14:textId="38E109FC" w:rsidR="00E66CA0" w:rsidRDefault="00E66CA0">
      <w:pPr>
        <w:pStyle w:val="FootnoteText"/>
      </w:pPr>
      <w:r>
        <w:rPr>
          <w:rStyle w:val="FootnoteReference"/>
        </w:rPr>
        <w:footnoteRef/>
      </w:r>
      <w:r>
        <w:t xml:space="preserve"> Which tend to be the literate, like the Sophists or Philosophers</w:t>
      </w:r>
    </w:p>
  </w:footnote>
  <w:footnote w:id="12">
    <w:p w14:paraId="446B0B88" w14:textId="2434F077" w:rsidR="008F0D07" w:rsidRDefault="008F0D07">
      <w:pPr>
        <w:pStyle w:val="FootnoteText"/>
      </w:pPr>
      <w:r>
        <w:rPr>
          <w:rStyle w:val="FootnoteReference"/>
        </w:rPr>
        <w:footnoteRef/>
      </w:r>
      <w:r>
        <w:t xml:space="preserve"> Ibid, 26E</w:t>
      </w:r>
    </w:p>
  </w:footnote>
  <w:footnote w:id="13">
    <w:p w14:paraId="6CFD5105" w14:textId="70C06772" w:rsidR="008F0D07" w:rsidRDefault="008F0D07">
      <w:pPr>
        <w:pStyle w:val="FootnoteText"/>
      </w:pPr>
      <w:r>
        <w:rPr>
          <w:rStyle w:val="FootnoteReference"/>
        </w:rPr>
        <w:footnoteRef/>
      </w:r>
      <w:r>
        <w:t xml:space="preserve"> Ibid, 27B </w:t>
      </w:r>
      <w:proofErr w:type="gramStart"/>
      <w:r>
        <w:t>and also</w:t>
      </w:r>
      <w:proofErr w:type="gramEnd"/>
      <w:r>
        <w:t xml:space="preserve"> 29D</w:t>
      </w:r>
    </w:p>
  </w:footnote>
  <w:footnote w:id="14">
    <w:p w14:paraId="2D00EEB4" w14:textId="458DF75E" w:rsidR="003C22B1" w:rsidRDefault="003C22B1">
      <w:pPr>
        <w:pStyle w:val="FootnoteText"/>
      </w:pPr>
      <w:r>
        <w:rPr>
          <w:rStyle w:val="FootnoteReference"/>
        </w:rPr>
        <w:footnoteRef/>
      </w:r>
      <w:r>
        <w:t xml:space="preserve"> </w:t>
      </w:r>
      <w:proofErr w:type="spellStart"/>
      <w:r>
        <w:t>Sal</w:t>
      </w:r>
      <w:r w:rsidR="008F0D07">
        <w:t>li</w:t>
      </w:r>
      <w:r>
        <w:t>s</w:t>
      </w:r>
      <w:proofErr w:type="spellEnd"/>
      <w:r w:rsidR="008F0D07">
        <w:t xml:space="preserve">, </w:t>
      </w:r>
      <w:r w:rsidR="008F0D07" w:rsidRPr="008F0D07">
        <w:rPr>
          <w:i/>
        </w:rPr>
        <w:t>Platonic Legacies,</w:t>
      </w:r>
      <w:r>
        <w:t xml:space="preserve"> 30</w:t>
      </w:r>
    </w:p>
  </w:footnote>
  <w:footnote w:id="15">
    <w:p w14:paraId="6AD01B57" w14:textId="108B4B2B" w:rsidR="004A022C" w:rsidRDefault="004A022C">
      <w:pPr>
        <w:pStyle w:val="FootnoteText"/>
      </w:pPr>
      <w:r>
        <w:rPr>
          <w:rStyle w:val="FootnoteReference"/>
        </w:rPr>
        <w:footnoteRef/>
      </w:r>
      <w:r>
        <w:t xml:space="preserve"> But where do I even start? </w:t>
      </w:r>
    </w:p>
  </w:footnote>
  <w:footnote w:id="16">
    <w:p w14:paraId="63A9415E" w14:textId="68F2363C" w:rsidR="008F0D07" w:rsidRPr="008F0D07" w:rsidRDefault="008F0D07">
      <w:pPr>
        <w:pStyle w:val="FootnoteText"/>
      </w:pPr>
      <w:r>
        <w:rPr>
          <w:rStyle w:val="FootnoteReference"/>
        </w:rPr>
        <w:footnoteRef/>
      </w:r>
      <w:r>
        <w:t xml:space="preserve"> </w:t>
      </w:r>
      <w:proofErr w:type="spellStart"/>
      <w:r>
        <w:t>Sallis</w:t>
      </w:r>
      <w:proofErr w:type="spellEnd"/>
      <w:r>
        <w:t>,</w:t>
      </w:r>
      <w:r>
        <w:rPr>
          <w:i/>
        </w:rPr>
        <w:t xml:space="preserve"> Chronology, On Beginning in Plato’s Timaeus</w:t>
      </w:r>
      <w:r>
        <w:t>, 40</w:t>
      </w:r>
    </w:p>
  </w:footnote>
  <w:footnote w:id="17">
    <w:p w14:paraId="4691EABC" w14:textId="7CA3FF8A" w:rsidR="008F0D07" w:rsidRDefault="008F0D07">
      <w:pPr>
        <w:pStyle w:val="FootnoteText"/>
      </w:pPr>
      <w:r>
        <w:rPr>
          <w:rStyle w:val="FootnoteReference"/>
        </w:rPr>
        <w:footnoteRef/>
      </w:r>
      <w:r>
        <w:t xml:space="preserve"> </w:t>
      </w:r>
      <w:r>
        <w:rPr>
          <w:i/>
        </w:rPr>
        <w:t>Timaeus</w:t>
      </w:r>
      <w:r>
        <w:t>,</w:t>
      </w:r>
      <w:r w:rsidRPr="00C60CC9">
        <w:t xml:space="preserve"> </w:t>
      </w:r>
      <w:proofErr w:type="spellStart"/>
      <w:r w:rsidRPr="00C60CC9">
        <w:t>Kalkavage</w:t>
      </w:r>
      <w:proofErr w:type="spellEnd"/>
      <w:r>
        <w:t xml:space="preserve"> trans, 26D</w:t>
      </w:r>
    </w:p>
  </w:footnote>
  <w:footnote w:id="18">
    <w:p w14:paraId="552F5E48" w14:textId="561A3C3D" w:rsidR="008F0D07" w:rsidRDefault="008F0D07">
      <w:pPr>
        <w:pStyle w:val="FootnoteText"/>
      </w:pPr>
      <w:r>
        <w:rPr>
          <w:rStyle w:val="FootnoteReference"/>
        </w:rPr>
        <w:footnoteRef/>
      </w:r>
      <w:r>
        <w:t xml:space="preserve"> </w:t>
      </w:r>
      <w:proofErr w:type="spellStart"/>
      <w:r>
        <w:t>Sallis</w:t>
      </w:r>
      <w:proofErr w:type="spellEnd"/>
      <w:r>
        <w:t>,</w:t>
      </w:r>
      <w:r>
        <w:rPr>
          <w:i/>
        </w:rPr>
        <w:t xml:space="preserve"> Chronology, On Beginning in Plato’s Timaeus</w:t>
      </w:r>
      <w:r>
        <w:t>, 39</w:t>
      </w:r>
    </w:p>
  </w:footnote>
  <w:footnote w:id="19">
    <w:p w14:paraId="69B550E8" w14:textId="47760CA1" w:rsidR="00C94094" w:rsidRDefault="00C94094">
      <w:pPr>
        <w:pStyle w:val="FootnoteText"/>
      </w:pPr>
      <w:r>
        <w:rPr>
          <w:rStyle w:val="FootnoteReference"/>
        </w:rPr>
        <w:footnoteRef/>
      </w:r>
      <w:r>
        <w:t xml:space="preserve"> The irony of my choice of word here is entirely on purpose</w:t>
      </w:r>
    </w:p>
  </w:footnote>
  <w:footnote w:id="20">
    <w:p w14:paraId="47E7A2D2" w14:textId="010B3B19" w:rsidR="008F0D07" w:rsidRDefault="008F0D07">
      <w:pPr>
        <w:pStyle w:val="FootnoteText"/>
      </w:pPr>
      <w:r>
        <w:rPr>
          <w:rStyle w:val="FootnoteReference"/>
        </w:rPr>
        <w:footnoteRef/>
      </w:r>
      <w:r>
        <w:t xml:space="preserve"> Ibid, 42, from 2</w:t>
      </w:r>
      <w:r w:rsidRPr="008F0D07">
        <w:rPr>
          <w:vertAlign w:val="superscript"/>
        </w:rPr>
        <w:t>nd</w:t>
      </w:r>
      <w:r>
        <w:t xml:space="preserve"> sentence 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DE3003"/>
    <w:multiLevelType w:val="hybridMultilevel"/>
    <w:tmpl w:val="E4F882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EC1AE7"/>
    <w:multiLevelType w:val="hybridMultilevel"/>
    <w:tmpl w:val="1B1669DA"/>
    <w:lvl w:ilvl="0" w:tplc="9462E7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22B"/>
    <w:rsid w:val="00030A0D"/>
    <w:rsid w:val="00052398"/>
    <w:rsid w:val="000E28CC"/>
    <w:rsid w:val="00177403"/>
    <w:rsid w:val="00211487"/>
    <w:rsid w:val="00245C5A"/>
    <w:rsid w:val="00276059"/>
    <w:rsid w:val="002C14C1"/>
    <w:rsid w:val="002E6FA5"/>
    <w:rsid w:val="00303A5C"/>
    <w:rsid w:val="00320D95"/>
    <w:rsid w:val="00381144"/>
    <w:rsid w:val="00396179"/>
    <w:rsid w:val="003C22B1"/>
    <w:rsid w:val="003C48BE"/>
    <w:rsid w:val="004252FB"/>
    <w:rsid w:val="00426499"/>
    <w:rsid w:val="004A022C"/>
    <w:rsid w:val="005365B2"/>
    <w:rsid w:val="005E2BE0"/>
    <w:rsid w:val="005F2B93"/>
    <w:rsid w:val="00600B18"/>
    <w:rsid w:val="00607CEA"/>
    <w:rsid w:val="0062555B"/>
    <w:rsid w:val="00745E67"/>
    <w:rsid w:val="007839FC"/>
    <w:rsid w:val="007E028B"/>
    <w:rsid w:val="007F3996"/>
    <w:rsid w:val="00840832"/>
    <w:rsid w:val="0085163B"/>
    <w:rsid w:val="00875442"/>
    <w:rsid w:val="008765F6"/>
    <w:rsid w:val="008952FB"/>
    <w:rsid w:val="008F0D07"/>
    <w:rsid w:val="00921E27"/>
    <w:rsid w:val="00934014"/>
    <w:rsid w:val="00950378"/>
    <w:rsid w:val="009805E1"/>
    <w:rsid w:val="009A3F5E"/>
    <w:rsid w:val="009F1C82"/>
    <w:rsid w:val="00A1122B"/>
    <w:rsid w:val="00A45F39"/>
    <w:rsid w:val="00AB10FF"/>
    <w:rsid w:val="00AF6DFE"/>
    <w:rsid w:val="00B12AD8"/>
    <w:rsid w:val="00B63C79"/>
    <w:rsid w:val="00C60CC9"/>
    <w:rsid w:val="00C94094"/>
    <w:rsid w:val="00D27A45"/>
    <w:rsid w:val="00D37767"/>
    <w:rsid w:val="00D614D2"/>
    <w:rsid w:val="00DB2812"/>
    <w:rsid w:val="00E009AE"/>
    <w:rsid w:val="00E52647"/>
    <w:rsid w:val="00E66CA0"/>
    <w:rsid w:val="00E90A6A"/>
    <w:rsid w:val="00E974E0"/>
    <w:rsid w:val="00ED7ABE"/>
    <w:rsid w:val="00F52FA3"/>
    <w:rsid w:val="00FC4C78"/>
    <w:rsid w:val="00FD58CD"/>
    <w:rsid w:val="00FF1A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528E0"/>
  <w15:docId w15:val="{F8BEA44A-BB73-4F68-BDDB-237EBFADB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1487"/>
    <w:pPr>
      <w:ind w:left="720"/>
      <w:contextualSpacing/>
    </w:pPr>
  </w:style>
  <w:style w:type="paragraph" w:styleId="FootnoteText">
    <w:name w:val="footnote text"/>
    <w:basedOn w:val="Normal"/>
    <w:link w:val="FootnoteTextChar"/>
    <w:uiPriority w:val="99"/>
    <w:semiHidden/>
    <w:unhideWhenUsed/>
    <w:rsid w:val="00E009A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009AE"/>
    <w:rPr>
      <w:sz w:val="20"/>
      <w:szCs w:val="20"/>
    </w:rPr>
  </w:style>
  <w:style w:type="character" w:styleId="FootnoteReference">
    <w:name w:val="footnote reference"/>
    <w:basedOn w:val="DefaultParagraphFont"/>
    <w:uiPriority w:val="99"/>
    <w:semiHidden/>
    <w:unhideWhenUsed/>
    <w:rsid w:val="00E009AE"/>
    <w:rPr>
      <w:vertAlign w:val="superscript"/>
    </w:rPr>
  </w:style>
  <w:style w:type="paragraph" w:styleId="BalloonText">
    <w:name w:val="Balloon Text"/>
    <w:basedOn w:val="Normal"/>
    <w:link w:val="BalloonTextChar"/>
    <w:uiPriority w:val="99"/>
    <w:semiHidden/>
    <w:unhideWhenUsed/>
    <w:rsid w:val="00B63C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3C79"/>
    <w:rPr>
      <w:rFonts w:ascii="Tahoma" w:hAnsi="Tahoma" w:cs="Tahoma"/>
      <w:sz w:val="16"/>
      <w:szCs w:val="16"/>
    </w:rPr>
  </w:style>
  <w:style w:type="character" w:styleId="Hyperlink">
    <w:name w:val="Hyperlink"/>
    <w:basedOn w:val="DefaultParagraphFont"/>
    <w:uiPriority w:val="99"/>
    <w:unhideWhenUsed/>
    <w:rsid w:val="00381144"/>
    <w:rPr>
      <w:color w:val="0563C1" w:themeColor="hyperlink"/>
      <w:u w:val="single"/>
    </w:rPr>
  </w:style>
  <w:style w:type="character" w:styleId="UnresolvedMention">
    <w:name w:val="Unresolved Mention"/>
    <w:basedOn w:val="DefaultParagraphFont"/>
    <w:uiPriority w:val="99"/>
    <w:semiHidden/>
    <w:unhideWhenUsed/>
    <w:rsid w:val="0038114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3820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notes.xml.rels><?xml version="1.0" encoding="UTF-8" standalone="yes"?>
<Relationships xmlns="http://schemas.openxmlformats.org/package/2006/relationships"><Relationship Id="rId1" Type="http://schemas.openxmlformats.org/officeDocument/2006/relationships/hyperlink" Target="http://classics.mit.edu/Plato/timaeu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EC9544-8488-43AC-B14B-B35B028B23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1</Pages>
  <Words>1501</Words>
  <Characters>8558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Lain</dc:creator>
  <cp:lastModifiedBy>Lain</cp:lastModifiedBy>
  <cp:revision>10</cp:revision>
  <dcterms:created xsi:type="dcterms:W3CDTF">2018-02-18T22:00:00Z</dcterms:created>
  <dcterms:modified xsi:type="dcterms:W3CDTF">2018-02-21T04:33:00Z</dcterms:modified>
</cp:coreProperties>
</file>