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52" w:tblpY="511"/>
        <w:tblOverlap w:val="never"/>
        <w:tblW w:w="0" w:type="auto"/>
        <w:tblInd w:w="0" w:type="dxa"/>
        <w:tblBorders>
          <w:top w:val="single" w:color="A4A4A4" w:themeColor="background1" w:themeShade="A5" w:sz="12" w:space="0"/>
          <w:left w:val="single" w:color="A4A4A4" w:themeColor="background1" w:themeShade="A5" w:sz="12" w:space="0"/>
          <w:bottom w:val="single" w:color="A4A4A4" w:themeColor="background1" w:themeShade="A5" w:sz="12" w:space="0"/>
          <w:right w:val="single" w:color="A4A4A4" w:themeColor="background1" w:themeShade="A5" w:sz="12" w:space="0"/>
          <w:insideH w:val="single" w:color="A4A4A4" w:themeColor="background1" w:themeShade="A5" w:sz="12" w:space="0"/>
          <w:insideV w:val="single" w:color="A4A4A4" w:themeColor="background1" w:themeShade="A5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831"/>
        <w:gridCol w:w="969"/>
        <w:gridCol w:w="1130"/>
        <w:gridCol w:w="1696"/>
        <w:gridCol w:w="1466"/>
        <w:gridCol w:w="1872"/>
        <w:gridCol w:w="2584"/>
        <w:gridCol w:w="3343"/>
      </w:tblGrid>
      <w:tr>
        <w:trPr>
          <w:trHeight w:val="641" w:hRule="atLeast"/>
        </w:trPr>
        <w:tc>
          <w:tcPr>
            <w:tcW w:w="1580" w:type="dxa"/>
            <w:vMerge w:val="restart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人称</w:t>
            </w:r>
          </w:p>
        </w:tc>
        <w:tc>
          <w:tcPr>
            <w:tcW w:w="831" w:type="dxa"/>
            <w:vMerge w:val="restart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2099" w:type="dxa"/>
            <w:gridSpan w:val="2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人称代词</w:t>
            </w:r>
          </w:p>
        </w:tc>
        <w:tc>
          <w:tcPr>
            <w:tcW w:w="3162" w:type="dxa"/>
            <w:gridSpan w:val="2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物主代词</w:t>
            </w:r>
          </w:p>
        </w:tc>
        <w:tc>
          <w:tcPr>
            <w:tcW w:w="1872" w:type="dxa"/>
            <w:vMerge w:val="restart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反身代词</w:t>
            </w:r>
          </w:p>
        </w:tc>
        <w:tc>
          <w:tcPr>
            <w:tcW w:w="5927" w:type="dxa"/>
            <w:gridSpan w:val="2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be动词</w:t>
            </w:r>
          </w:p>
        </w:tc>
      </w:tr>
      <w:tr>
        <w:trPr>
          <w:trHeight w:val="1072" w:hRule="atLeast"/>
        </w:trPr>
        <w:tc>
          <w:tcPr>
            <w:tcW w:w="1580" w:type="dxa"/>
            <w:vMerge w:val="continue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1" w:type="dxa"/>
            <w:vMerge w:val="continue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主格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宾格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形容词性</w:t>
            </w:r>
          </w:p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所有格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名词性</w:t>
            </w:r>
          </w:p>
        </w:tc>
        <w:tc>
          <w:tcPr>
            <w:tcW w:w="1872" w:type="dxa"/>
            <w:vMerge w:val="continue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肯定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widowControl w:val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bCs/>
                <w:sz w:val="28"/>
                <w:szCs w:val="28"/>
                <w:vertAlign w:val="baseline"/>
                <w:lang w:val="en-US" w:eastAsia="zh-CN"/>
              </w:rPr>
              <w:t>否定（abbr形式）</w:t>
            </w:r>
          </w:p>
        </w:tc>
      </w:tr>
      <w:tr>
        <w:trPr>
          <w:trHeight w:val="779" w:hRule="atLeast"/>
        </w:trPr>
        <w:tc>
          <w:tcPr>
            <w:tcW w:w="1580" w:type="dxa"/>
            <w:vMerge w:val="restart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第一人称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单数</w:t>
            </w: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mine</w:t>
            </w:r>
          </w:p>
        </w:tc>
        <w:tc>
          <w:tcPr>
            <w:tcW w:w="1872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myself</w:t>
            </w: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am（单数）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 am</w:t>
            </w:r>
            <w:r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 I'm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I'm</w:t>
            </w: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not</w:t>
            </w:r>
          </w:p>
        </w:tc>
      </w:tr>
      <w:tr>
        <w:trPr>
          <w:trHeight w:val="940" w:hRule="atLeast"/>
        </w:trPr>
        <w:tc>
          <w:tcPr>
            <w:tcW w:w="1580" w:type="dxa"/>
            <w:vMerge w:val="continue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复数</w:t>
            </w: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our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ours</w:t>
            </w:r>
          </w:p>
        </w:tc>
        <w:tc>
          <w:tcPr>
            <w:tcW w:w="1872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ourselves</w:t>
            </w: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are（复数）</w:t>
            </w:r>
          </w:p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 are</w:t>
            </w:r>
            <w:r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 we're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F9DBDF" w:themeFill="accent6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we're not </w:t>
            </w:r>
            <w:r>
              <w:rPr>
                <w:rFonts w:hint="default" w:ascii="Source Han Sans CN Normal" w:hAnsi="Source Han Sans CN Normal" w:eastAsia="Source Han Sans CN Normal" w:cs="Source Han Sans CN Normal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 we aren't</w:t>
            </w:r>
          </w:p>
        </w:tc>
      </w:tr>
      <w:tr>
        <w:trPr>
          <w:trHeight w:val="972" w:hRule="atLeast"/>
        </w:trPr>
        <w:tc>
          <w:tcPr>
            <w:tcW w:w="1580" w:type="dxa"/>
            <w:vMerge w:val="restart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第二人称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单数</w:t>
            </w: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your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yours</w:t>
            </w:r>
          </w:p>
        </w:tc>
        <w:tc>
          <w:tcPr>
            <w:tcW w:w="1872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yourself</w:t>
            </w: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tabs>
                <w:tab w:val="left" w:pos="576"/>
                <w:tab w:val="center" w:pos="858"/>
              </w:tabs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are</w:t>
            </w:r>
          </w:p>
          <w:p>
            <w:pPr>
              <w:widowControl w:val="0"/>
              <w:tabs>
                <w:tab w:val="left" w:pos="576"/>
                <w:tab w:val="center" w:pos="858"/>
              </w:tabs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you </w:t>
            </w: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are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you're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you're not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 you aren't</w:t>
            </w:r>
          </w:p>
        </w:tc>
      </w:tr>
      <w:tr>
        <w:trPr>
          <w:trHeight w:val="972" w:hRule="atLeast"/>
        </w:trPr>
        <w:tc>
          <w:tcPr>
            <w:tcW w:w="1580" w:type="dxa"/>
            <w:vMerge w:val="continue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</w:rPr>
            </w:pP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复数</w:t>
            </w: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your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yours</w:t>
            </w:r>
          </w:p>
        </w:tc>
        <w:tc>
          <w:tcPr>
            <w:tcW w:w="1872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yourselves</w:t>
            </w: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tabs>
                <w:tab w:val="left" w:pos="576"/>
                <w:tab w:val="center" w:pos="858"/>
              </w:tabs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are（复数）</w:t>
            </w:r>
          </w:p>
          <w:p>
            <w:pPr>
              <w:widowControl w:val="0"/>
              <w:tabs>
                <w:tab w:val="left" w:pos="576"/>
                <w:tab w:val="center" w:pos="858"/>
              </w:tabs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you </w:t>
            </w: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are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you're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D4F4F1" w:themeFill="accent5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you're not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you aren't</w:t>
            </w:r>
          </w:p>
        </w:tc>
      </w:tr>
      <w:tr>
        <w:trPr>
          <w:trHeight w:val="590" w:hRule="atLeast"/>
        </w:trPr>
        <w:tc>
          <w:tcPr>
            <w:tcW w:w="1580" w:type="dxa"/>
            <w:vMerge w:val="restart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第三人称</w:t>
            </w:r>
          </w:p>
        </w:tc>
        <w:tc>
          <w:tcPr>
            <w:tcW w:w="831" w:type="dxa"/>
            <w:vMerge w:val="restart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单数</w:t>
            </w: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he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him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his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his</w:t>
            </w:r>
          </w:p>
        </w:tc>
        <w:tc>
          <w:tcPr>
            <w:tcW w:w="1872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himself</w:t>
            </w: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is（单数）</w:t>
            </w:r>
          </w:p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he is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he's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he's not 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/ he isn't</w:t>
            </w:r>
          </w:p>
        </w:tc>
      </w:tr>
      <w:tr>
        <w:trPr>
          <w:trHeight w:val="590" w:hRule="atLeast"/>
        </w:trPr>
        <w:tc>
          <w:tcPr>
            <w:tcW w:w="1580" w:type="dxa"/>
            <w:vMerge w:val="continue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</w:rPr>
            </w:pPr>
          </w:p>
        </w:tc>
        <w:tc>
          <w:tcPr>
            <w:tcW w:w="831" w:type="dxa"/>
            <w:vMerge w:val="continue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</w:rPr>
            </w:pP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she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her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hers</w:t>
            </w:r>
          </w:p>
        </w:tc>
        <w:tc>
          <w:tcPr>
            <w:tcW w:w="1872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herself</w:t>
            </w: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is（单数）</w:t>
            </w:r>
          </w:p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she is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she's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she's not 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/ she isn't</w:t>
            </w:r>
          </w:p>
        </w:tc>
      </w:tr>
      <w:tr>
        <w:trPr>
          <w:trHeight w:val="590" w:hRule="atLeast"/>
        </w:trPr>
        <w:tc>
          <w:tcPr>
            <w:tcW w:w="1580" w:type="dxa"/>
            <w:vMerge w:val="continue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</w:rPr>
            </w:pPr>
          </w:p>
        </w:tc>
        <w:tc>
          <w:tcPr>
            <w:tcW w:w="831" w:type="dxa"/>
            <w:vMerge w:val="continue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</w:rPr>
            </w:pP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it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its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its</w:t>
            </w:r>
          </w:p>
        </w:tc>
        <w:tc>
          <w:tcPr>
            <w:tcW w:w="1872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itself</w:t>
            </w: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is（单数）</w:t>
            </w:r>
          </w:p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it </w:t>
            </w: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is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she's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it's not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he isn't</w:t>
            </w:r>
          </w:p>
        </w:tc>
      </w:tr>
      <w:tr>
        <w:trPr>
          <w:trHeight w:val="1025" w:hRule="atLeast"/>
        </w:trPr>
        <w:tc>
          <w:tcPr>
            <w:tcW w:w="1580" w:type="dxa"/>
            <w:vMerge w:val="continue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</w:rPr>
            </w:pP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复数</w:t>
            </w:r>
          </w:p>
        </w:tc>
        <w:tc>
          <w:tcPr>
            <w:tcW w:w="969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they</w:t>
            </w:r>
          </w:p>
        </w:tc>
        <w:tc>
          <w:tcPr>
            <w:tcW w:w="1130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them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their</w:t>
            </w:r>
          </w:p>
        </w:tc>
        <w:tc>
          <w:tcPr>
            <w:tcW w:w="1466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theirs</w:t>
            </w:r>
          </w:p>
        </w:tc>
        <w:tc>
          <w:tcPr>
            <w:tcW w:w="1872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themselves</w:t>
            </w:r>
          </w:p>
        </w:tc>
        <w:tc>
          <w:tcPr>
            <w:tcW w:w="2584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are（复数）</w:t>
            </w:r>
          </w:p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they are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they're</w:t>
            </w:r>
          </w:p>
        </w:tc>
        <w:tc>
          <w:tcPr>
            <w:tcW w:w="3343" w:type="dxa"/>
            <w:tcBorders>
              <w:tl2br w:val="nil"/>
              <w:tr2bl w:val="nil"/>
            </w:tcBorders>
            <w:shd w:val="clear" w:color="auto" w:fill="E3F2D9" w:themeFill="accent4" w:themeFillTint="32"/>
            <w:vAlign w:val="center"/>
          </w:tcPr>
          <w:p>
            <w:pPr>
              <w:widowControl w:val="0"/>
              <w:jc w:val="center"/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>they're not</w:t>
            </w:r>
            <w:r>
              <w:rPr>
                <w:rFonts w:hint="default" w:ascii="Source Han Sans CN Normal" w:hAnsi="Source Han Sans CN Normal" w:eastAsia="Source Han Sans CN Normal" w:cs="Source Han Sans CN Normal"/>
                <w:sz w:val="28"/>
                <w:szCs w:val="28"/>
                <w:vertAlign w:val="baseline"/>
                <w:lang w:val="en-US" w:eastAsia="zh-CN"/>
              </w:rPr>
              <w:t xml:space="preserve"> / they aren't</w:t>
            </w:r>
          </w:p>
        </w:tc>
      </w:tr>
    </w:tbl>
    <w:p/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人称代词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宾格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主格</w:t>
      </w:r>
    </w:p>
    <w:p>
      <w:pPr>
        <w:bidi w:val="0"/>
        <w:spacing w:line="240" w:lineRule="auto"/>
        <w:ind w:firstLine="1313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物主代词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形容词性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反身代词</w:t>
      </w:r>
    </w:p>
    <w:sectPr>
      <w:pgSz w:w="16838" w:h="11906" w:orient="landscape"/>
      <w:pgMar w:top="288" w:right="288" w:bottom="288" w:left="288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urce Han Sans CN Bold">
    <w:panose1 w:val="020B0A00000000000000"/>
    <w:charset w:val="86"/>
    <w:family w:val="auto"/>
    <w:pitch w:val="default"/>
    <w:sig w:usb0="20000083" w:usb1="2ADF3C10" w:usb2="00000016" w:usb3="00000000" w:csb0="60060107" w:csb1="00000000"/>
  </w:font>
  <w:font w:name="Source Han Sans CN Normal">
    <w:panose1 w:val="020B0A00000000000000"/>
    <w:charset w:val="86"/>
    <w:family w:val="auto"/>
    <w:pitch w:val="default"/>
    <w:sig w:usb0="20000083" w:usb1="2ADF3C10" w:usb2="00000016" w:usb3="00000000" w:csb0="60060107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E892F"/>
    <w:multiLevelType w:val="singleLevel"/>
    <w:tmpl w:val="DBEE89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DF72B5"/>
    <w:rsid w:val="7FE738A1"/>
    <w:rsid w:val="F2D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2024-03-24T20:10:00Z</dcterms:created>
  <dc:creator>Because of you_192694411</dc:creator>
  <cp:lastModifiedBy>Because of you_192694411</cp:lastModifiedBy>
  <dcterms:modified xsi:type="dcterms:W3CDTF">2024-03-25T19:08:16Z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0548685A7DCD5F0F9AA7FF65A69BF1CB_41</vt:lpwstr>
  </property>
</Properties>
</file>