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28 phases completed and verified live (Phases 0 through 25G), Session #20 Dual Onboarding Modes, Session #21 Multi-Model Cascade Modernization, Session #22 Multi-Subagent Output Quality Verification Engine, Session #23 Header Badges Removal &amp; Advisory Terms Disclaimer, Session #24 Local Key Persistence Removal, and Session #25 GitHub Push Protection Secret Remediation &amp; Developer Attribution.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221s)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Regenerated all 5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manuals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GitHub push protection secret violations fully resolved, developer attribution card integrated, and zero-leak security audit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test suites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closing the session.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Launch Environment: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tests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93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Demonstrate Platform Capabilities: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1:</w:t>
      </w:r>
      <w:r>
        <w:rPr>
          <w:rFonts w:ascii="Calibri" w:hAnsi="Calibri"/>
          <w:color w:val="1E293B"/>
          <w:sz w:val="21"/>
        </w:rPr>
        <w:t xml:space="preserve"> Test both onboarding triggers: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"⚡ Load Demo: Fit &amp; Question Bank Only (~10s)"</w:t>
      </w:r>
      <w:r>
        <w:rPr>
          <w:rFonts w:ascii="Calibri" w:hAnsi="Calibri"/>
          <w:color w:val="1E293B"/>
          <w:sz w:val="21"/>
        </w:rPr>
        <w:t xml:space="preserve"> and observe 5-stage fast-track execution.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"🚀 Load Demo: Complete Pipeline (~35s)"</w:t>
      </w:r>
      <w:r>
        <w:rPr>
          <w:rFonts w:ascii="Calibri" w:hAnsi="Calibri"/>
          <w:color w:val="1E293B"/>
          <w:sz w:val="21"/>
        </w:rPr>
        <w:t xml:space="preserve"> and observe 6-stage comprehensive execution.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2:</w:t>
      </w:r>
      <w:r>
        <w:rPr>
          <w:rFonts w:ascii="Calibri" w:hAnsi="Calibri"/>
          <w:color w:val="1E293B"/>
          <w:sz w:val="21"/>
        </w:rPr>
        <w:t xml:space="preserve"> Review the Strategic Fit Report and download both the Full Dossier PDF and the Strategic Fit Report PDF.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3:</w:t>
      </w:r>
      <w:r>
        <w:rPr>
          <w:rFonts w:ascii="Calibri" w:hAnsi="Calibri"/>
          <w:color w:val="1E293B"/>
          <w:sz w:val="21"/>
        </w:rPr>
        <w:t xml:space="preserve"> Inspect the 100% Topic Checklist, export questions in Markdown or Text, and click </w:t>
      </w:r>
      <w:r>
        <w:rPr>
          <w:rFonts w:ascii="Calibri" w:hAnsi="Calibri"/>
          <w:i/>
          <w:color w:val="334155"/>
          <w:sz w:val="21"/>
        </w:rPr>
        <w:t>"Proceed to Step 4"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4:</w:t>
      </w:r>
      <w:r>
        <w:rPr>
          <w:rFonts w:ascii="Calibri" w:hAnsi="Calibri"/>
          <w:color w:val="1E293B"/>
          <w:sz w:val="21"/>
        </w:rPr>
        <w:t xml:space="preserve"> Launch the Online Test (with on-demand calibration if Option 1 was selected) and Voice Interview Simulator with live speech-to-text.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5:</w:t>
      </w:r>
      <w:r>
        <w:rPr>
          <w:rFonts w:ascii="Calibri" w:hAnsi="Calibri"/>
          <w:color w:val="1E293B"/>
          <w:sz w:val="21"/>
        </w:rPr>
        <w:t xml:space="preserve"> Review Unified Diagnostics, download vector Dossier PDF, and launch Closed-Loop Retesting.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6:</w:t>
      </w:r>
      <w:r>
        <w:rPr>
          <w:rFonts w:ascii="Calibri" w:hAnsi="Calibri"/>
          <w:color w:val="1E293B"/>
          <w:sz w:val="21"/>
        </w:rPr>
        <w:t xml:space="preserve"> Inspect the Dynamic 7-Day Prep Curriculum, review curated resources, check off completed items, and track live progress on the 4-stat executive dashboard.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