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F172A"/>
          <w:sz w:val="44"/>
        </w:rPr>
        <w:t>InterviewIQ — MBA Business Case &amp; Digital Transformation Perspective</w:t>
      </w:r>
    </w:p>
    <w:p>
      <w:pPr>
        <w:spacing w:before="40" w:after="80"/>
      </w:pPr>
      <w:r>
        <w:rPr>
          <w:rFonts w:ascii="Calibri" w:hAnsi="Calibri"/>
          <w:b/>
          <w:color w:val="0F172A"/>
          <w:sz w:val="21"/>
        </w:rPr>
        <w:t>Current Date:</w:t>
      </w:r>
      <w:r>
        <w:rPr>
          <w:rFonts w:ascii="Calibri" w:hAnsi="Calibri"/>
          <w:color w:val="1E293B"/>
          <w:sz w:val="21"/>
        </w:rPr>
        <w:t xml:space="preserve"> 2026-09-26</w:t>
      </w:r>
    </w:p>
    <w:p>
      <w:pPr>
        <w:spacing w:before="40" w:after="80"/>
      </w:pPr>
      <w:r>
        <w:rPr>
          <w:rFonts w:ascii="Calibri" w:hAnsi="Calibri"/>
          <w:b/>
          <w:color w:val="0F172A"/>
          <w:sz w:val="21"/>
        </w:rPr>
        <w:t>Sprint Status:</w:t>
      </w:r>
      <w:r>
        <w:rPr>
          <w:rFonts w:ascii="Calibri" w:hAnsi="Calibri"/>
          <w:color w:val="1E293B"/>
          <w:sz w:val="21"/>
        </w:rPr>
        <w:t xml:space="preserve"> Multi-Subagent Output Quality Verification Engine &amp; In-Process Quality Assurance Complete (98/98 Tests Passing in 100% Reliability)</w:t>
      </w:r>
    </w:p>
    <w:p>
      <w:pPr>
        <w:spacing w:before="40" w:after="80"/>
      </w:pPr>
      <w:r>
        <w:rPr>
          <w:rFonts w:ascii="Calibri" w:hAnsi="Calibri"/>
          <w:b/>
          <w:color w:val="0F172A"/>
          <w:sz w:val="21"/>
        </w:rPr>
        <w:t>Test Suite Health:</w:t>
      </w:r>
      <w:r>
        <w:rPr>
          <w:rFonts w:ascii="Calibri" w:hAnsi="Calibri"/>
          <w:color w:val="1E293B"/>
          <w:sz w:val="21"/>
        </w:rPr>
        <w:t xml:space="preserve"> 98 of 98 unit, integration, and UAT tests passing cleanly (</w:t>
      </w:r>
      <w:r>
        <w:rPr>
          <w:rFonts w:ascii="Consolas" w:hAnsi="Consolas"/>
          <w:color w:val="0F5182"/>
          <w:sz w:val="19"/>
        </w:rPr>
        <w:t>Ran 98 tests in 229s — OK</w:t>
      </w:r>
      <w:r>
        <w:rPr>
          <w:rFonts w:ascii="Calibri" w:hAnsi="Calibri"/>
          <w:color w:val="1E293B"/>
          <w:sz w:val="21"/>
        </w:rPr>
        <w:t>)</w:t>
      </w:r>
    </w:p>
    <w:p>
      <w:pPr>
        <w:spacing w:before="40" w:after="80"/>
      </w:pPr>
      <w:r>
        <w:rPr>
          <w:rFonts w:ascii="Calibri" w:hAnsi="Calibri"/>
          <w:b/>
          <w:color w:val="0F172A"/>
          <w:sz w:val="21"/>
        </w:rPr>
        <w:t>API Key Governance:</w:t>
      </w:r>
      <w:r>
        <w:rPr>
          <w:rFonts w:ascii="Calibri" w:hAnsi="Calibri"/>
          <w:color w:val="1E293B"/>
          <w:sz w:val="21"/>
        </w:rPr>
        <w:t xml:space="preserve"> User-Supplied &amp; Verified via Real-Time Cloud Probe (Zero Hardcoded Keys)</w:t>
      </w:r>
    </w:p>
    <w:p>
      <w:pPr>
        <w:spacing w:before="40" w:after="80"/>
      </w:pPr>
      <w:r>
        <w:rPr>
          <w:rFonts w:ascii="Calibri" w:hAnsi="Calibri"/>
          <w:b/>
          <w:color w:val="0F172A"/>
          <w:sz w:val="21"/>
        </w:rPr>
        <w:t>Rate Safety:</w:t>
      </w:r>
      <w:r>
        <w:rPr>
          <w:rFonts w:ascii="Calibri" w:hAnsi="Calibri"/>
          <w:color w:val="1E293B"/>
          <w:sz w:val="21"/>
        </w:rPr>
        <w:t xml:space="preserve"> Atomic Reservation Token-Bucket Rate Pacer (&lt;=12 RPM) &amp; Two-Tier SHA-256 Cache (RAM + SQLite)</w:t>
      </w:r>
    </w:p>
    <w:p>
      <w:pPr>
        <w:spacing w:before="120" w:after="120"/>
        <w:pBdr>
          <w:bottom w:val="single" w:sz="6" w:space="1" w:color="CBD5E1"/>
        </w:pBdr>
      </w:pPr>
    </w:p>
    <w:p>
      <w:pPr>
        <w:spacing w:before="240" w:after="80"/>
      </w:pPr>
      <w:r>
        <w:rPr>
          <w:rFonts w:ascii="Calibri" w:hAnsi="Calibri"/>
          <w:b/>
          <w:color w:val="1E3A8A"/>
          <w:sz w:val="30"/>
        </w:rPr>
        <w:t>1. Executive Summary &amp; Problem Statement</w:t>
      </w:r>
    </w:p>
    <w:p>
      <w:pPr>
        <w:spacing w:before="40" w:after="80"/>
      </w:pPr>
      <w:r>
        <w:rPr>
          <w:rFonts w:ascii="Calibri" w:hAnsi="Calibri"/>
          <w:color w:val="1E293B"/>
          <w:sz w:val="21"/>
        </w:rPr>
        <w:t>Higher-education institutions, university placement cells, and career bootcamps face an escalating placement conversion challenge. Millions of business, management, and technology graduates enter the job market each year, yet conventional preparation models suffer from four structural vulnerabilities:</w:t>
      </w:r>
    </w:p>
    <w:p>
      <w:pPr>
        <w:pStyle w:val="ListNumber"/>
        <w:spacing w:before="20" w:after="40"/>
      </w:pPr>
      <w:r>
        <w:rPr>
          <w:rFonts w:ascii="Calibri" w:hAnsi="Calibri"/>
          <w:b/>
          <w:color w:val="0F172A"/>
          <w:sz w:val="21"/>
        </w:rPr>
        <w:t>Static Rote Memorization vs. Contextual Adaptability:</w:t>
      </w:r>
      <w:r>
        <w:rPr>
          <w:rFonts w:ascii="Calibri" w:hAnsi="Calibri"/>
          <w:color w:val="1E293B"/>
          <w:sz w:val="21"/>
        </w:rPr>
        <w:t xml:space="preserve"> Traditional platforms (LeetCode, static question banks) foster rote memorization of standard questions rather than adaptive problem-solving tailored to specific corporate job descriptions.</w:t>
      </w:r>
    </w:p>
    <w:p>
      <w:pPr>
        <w:pStyle w:val="ListNumber"/>
        <w:spacing w:before="20" w:after="40"/>
      </w:pPr>
      <w:r>
        <w:rPr>
          <w:rFonts w:ascii="Calibri" w:hAnsi="Calibri"/>
          <w:b/>
          <w:color w:val="0F172A"/>
          <w:sz w:val="21"/>
        </w:rPr>
        <w:t>Superficial ATS Keyword Scanners:</w:t>
      </w:r>
      <w:r>
        <w:rPr>
          <w:rFonts w:ascii="Calibri" w:hAnsi="Calibri"/>
          <w:color w:val="1E293B"/>
          <w:sz w:val="21"/>
        </w:rPr>
        <w:t xml:space="preserve"> Keyword scanners provide arbitrary match percentages (e.g. "74% match") without explaining </w:t>
      </w:r>
      <w:r>
        <w:rPr>
          <w:rFonts w:ascii="Calibri" w:hAnsi="Calibri"/>
          <w:i/>
          <w:color w:val="334155"/>
          <w:sz w:val="21"/>
        </w:rPr>
        <w:t>why</w:t>
      </w:r>
      <w:r>
        <w:rPr>
          <w:rFonts w:ascii="Calibri" w:hAnsi="Calibri"/>
          <w:color w:val="1E293B"/>
          <w:sz w:val="21"/>
        </w:rPr>
        <w:t xml:space="preserve"> a gap matters, which mandatory desk capabilities are compromised, or how an interviewer will probe the deficit.</w:t>
      </w:r>
    </w:p>
    <w:p>
      <w:pPr>
        <w:pStyle w:val="ListNumber"/>
        <w:spacing w:before="20" w:after="40"/>
      </w:pPr>
      <w:r>
        <w:rPr>
          <w:rFonts w:ascii="Calibri" w:hAnsi="Calibri"/>
          <w:b/>
          <w:color w:val="0F172A"/>
          <w:sz w:val="21"/>
        </w:rPr>
        <w:t>High Coaching Costs &amp; Human Scalability Bottlenecks:</w:t>
      </w:r>
      <w:r>
        <w:rPr>
          <w:rFonts w:ascii="Calibri" w:hAnsi="Calibri"/>
          <w:color w:val="1E293B"/>
          <w:sz w:val="21"/>
        </w:rPr>
        <w:t xml:space="preserve"> High-quality 1-on-1 mock interviews conducted by experienced human coaches cost between \$100 and \$300 per hour. University placement cells cannot scale this level of individualized attention across batches of 500 to 2,000 students.</w:t>
      </w:r>
    </w:p>
    <w:p>
      <w:pPr>
        <w:pStyle w:val="ListNumber"/>
        <w:spacing w:before="20" w:after="40"/>
      </w:pPr>
      <w:r>
        <w:rPr>
          <w:rFonts w:ascii="Calibri" w:hAnsi="Calibri"/>
          <w:b/>
          <w:color w:val="0F172A"/>
          <w:sz w:val="21"/>
        </w:rPr>
        <w:t>Institutional Blind Spots in Placement Cells:</w:t>
      </w:r>
      <w:r>
        <w:rPr>
          <w:rFonts w:ascii="Calibri" w:hAnsi="Calibri"/>
          <w:color w:val="1E293B"/>
          <w:sz w:val="21"/>
        </w:rPr>
        <w:t xml:space="preserve"> Placement directors lack pre-placement cohort diagnostic tools. They discover batch-wide curriculum deficiencies (e.g., lack of cloud architecture or financial modeling skills) only </w:t>
      </w:r>
      <w:r>
        <w:rPr>
          <w:rFonts w:ascii="Calibri" w:hAnsi="Calibri"/>
          <w:i/>
          <w:color w:val="334155"/>
          <w:sz w:val="21"/>
        </w:rPr>
        <w:t>after</w:t>
      </w:r>
      <w:r>
        <w:rPr>
          <w:rFonts w:ascii="Calibri" w:hAnsi="Calibri"/>
          <w:color w:val="1E293B"/>
          <w:sz w:val="21"/>
        </w:rPr>
        <w:t xml:space="preserve"> major corporate recruiters reject candidates during on-campus recruitment drives.</w:t>
      </w:r>
    </w:p>
    <w:p>
      <w:pPr>
        <w:spacing w:before="40" w:after="80"/>
      </w:pPr>
      <w:r>
        <w:rPr>
          <w:rFonts w:ascii="Calibri" w:hAnsi="Calibri"/>
          <w:b/>
          <w:color w:val="0F172A"/>
          <w:sz w:val="21"/>
        </w:rPr>
        <w:t>InterviewIQ</w:t>
      </w:r>
      <w:r>
        <w:rPr>
          <w:rFonts w:ascii="Calibri" w:hAnsi="Calibri"/>
          <w:color w:val="1E293B"/>
          <w:sz w:val="21"/>
        </w:rPr>
        <w:t xml:space="preserve"> resolves this four-fold dilemma by delivering an institutional-grade, multi-agent AI assessment platform that unifies structural document fit, timed 30-MCQ testing, interactive multimodal voice simulations using zero-cost Google Local NLP, automated corporate PDF dossiers, institutional cohort analytics, executive case studies, offer negotiations, and personalized micro-curricula.</w:t>
      </w:r>
    </w:p>
    <w:p>
      <w:pPr>
        <w:spacing w:before="120" w:after="120"/>
        <w:pBdr>
          <w:bottom w:val="single" w:sz="6" w:space="1" w:color="CBD5E1"/>
        </w:pBdr>
      </w:pPr>
    </w:p>
    <w:p>
      <w:pPr>
        <w:spacing w:before="240" w:after="80"/>
      </w:pPr>
      <w:r>
        <w:rPr>
          <w:rFonts w:ascii="Calibri" w:hAnsi="Calibri"/>
          <w:b/>
          <w:color w:val="1E3A8A"/>
          <w:sz w:val="30"/>
        </w:rPr>
        <w:t>2. The Digital Transformation (DT) Framework</w:t>
      </w:r>
    </w:p>
    <w:p>
      <w:pPr>
        <w:spacing w:before="40" w:after="80"/>
      </w:pPr>
      <w:r>
        <w:rPr>
          <w:rFonts w:ascii="Calibri" w:hAnsi="Calibri"/>
          <w:color w:val="1E293B"/>
          <w:sz w:val="21"/>
        </w:rPr>
        <w:t>InterviewIQ operationalizes the fundamental pillars of Enterprise Digital Transformation:</w:t>
      </w:r>
    </w:p>
    <w:p>
      <w:pPr>
        <w:pStyle w:val="ListBullet"/>
        <w:spacing w:before="20" w:after="40"/>
      </w:pPr>
      <w:r>
        <w:rPr>
          <w:rFonts w:ascii="Calibri" w:hAnsi="Calibri"/>
          <w:b/>
          <w:color w:val="0F172A"/>
          <w:sz w:val="21"/>
        </w:rPr>
        <w:t>End-to-End Process Automation:</w:t>
      </w:r>
      <w:r>
        <w:rPr>
          <w:rFonts w:ascii="Calibri" w:hAnsi="Calibri"/>
          <w:color w:val="1E293B"/>
          <w:sz w:val="21"/>
        </w:rPr>
        <w:t xml:space="preserve"> Converts unstructured resumes and extensive job descriptions into structured knowledge models in under 15 seconds, automating technical matching, question bank generation, exam administration, grading, and diagnostic synthesis.</w:t>
      </w:r>
    </w:p>
    <w:p>
      <w:pPr>
        <w:pStyle w:val="ListBullet"/>
        <w:spacing w:before="20" w:after="40"/>
      </w:pPr>
      <w:r>
        <w:rPr>
          <w:rFonts w:ascii="Calibri" w:hAnsi="Calibri"/>
          <w:b/>
          <w:color w:val="0F172A"/>
          <w:sz w:val="21"/>
        </w:rPr>
        <w:t>Empirical + Structural Data Fusion:</w:t>
      </w:r>
      <w:r>
        <w:rPr>
          <w:rFonts w:ascii="Calibri" w:hAnsi="Calibri"/>
          <w:color w:val="1E293B"/>
          <w:sz w:val="21"/>
        </w:rPr>
        <w:t xml:space="preserve"> Synthesizes static document alignment (45% Structural Fit) with live candidate examination performance (55% Empirical Online Test) to produce an authentic, defensible Placement Readiness Index.</w:t>
      </w:r>
    </w:p>
    <w:p>
      <w:pPr>
        <w:pStyle w:val="ListBullet"/>
        <w:spacing w:before="20" w:after="40"/>
      </w:pPr>
      <w:r>
        <w:rPr>
          <w:rFonts w:ascii="Calibri" w:hAnsi="Calibri"/>
          <w:b/>
          <w:color w:val="0F172A"/>
          <w:sz w:val="21"/>
        </w:rPr>
        <w:t>Multimodal Democratization with Zero-Cost Speech:</w:t>
      </w:r>
      <w:r>
        <w:rPr>
          <w:rFonts w:ascii="Calibri" w:hAnsi="Calibri"/>
          <w:color w:val="1E293B"/>
          <w:sz w:val="21"/>
        </w:rPr>
        <w:t xml:space="preserve"> Implements Google Local NLP (HTML5 Web Speech API + SpeechSynthesis) directly in the browser, providing high-fidelity voice interview simulations with zero third-party audio API fees, democratizing executive mock interviews for all students.</w:t>
      </w:r>
    </w:p>
    <w:p>
      <w:pPr>
        <w:pStyle w:val="ListBullet"/>
        <w:spacing w:before="20" w:after="40"/>
      </w:pPr>
      <w:r>
        <w:rPr>
          <w:rFonts w:ascii="Calibri" w:hAnsi="Calibri"/>
          <w:b/>
          <w:color w:val="0F172A"/>
          <w:sz w:val="21"/>
        </w:rPr>
        <w:t>Closed-Loop Personalized Learning:</w:t>
      </w:r>
      <w:r>
        <w:rPr>
          <w:rFonts w:ascii="Calibri" w:hAnsi="Calibri"/>
          <w:color w:val="1E293B"/>
          <w:sz w:val="21"/>
        </w:rPr>
        <w:t xml:space="preserve"> Deploys dynamic re-weighting loops where candidate weaknesses diagnosed in Round 1 receive 2.5x sampling emphasis in subsequent rounds, converting passive assessment into targeted skill mastery.</w:t>
      </w:r>
    </w:p>
    <w:p>
      <w:pPr>
        <w:pStyle w:val="ListBullet"/>
        <w:spacing w:before="20" w:after="40"/>
      </w:pPr>
      <w:r>
        <w:rPr>
          <w:rFonts w:ascii="Calibri" w:hAnsi="Calibri"/>
          <w:b/>
          <w:color w:val="0F172A"/>
          <w:sz w:val="21"/>
        </w:rPr>
        <w:t>Executive Simulation Rigor:</w:t>
      </w:r>
      <w:r>
        <w:rPr>
          <w:rFonts w:ascii="Calibri" w:hAnsi="Calibri"/>
          <w:color w:val="1E293B"/>
          <w:sz w:val="21"/>
        </w:rPr>
        <w:t xml:space="preserve"> Integrates McKinsey-style case studies with Devil's Advocate cross-examinations and corporate offer negotiation training, bridging the gap between basic question answering and executive workplace decision-making.</w:t>
      </w:r>
    </w:p>
    <w:p>
      <w:pPr>
        <w:pStyle w:val="ListBullet"/>
        <w:spacing w:before="20" w:after="40"/>
      </w:pPr>
      <w:r>
        <w:rPr>
          <w:rFonts w:ascii="Calibri" w:hAnsi="Calibri"/>
          <w:b/>
          <w:color w:val="0F172A"/>
          <w:sz w:val="21"/>
        </w:rPr>
        <w:t>Institutional Governance &amp; Actionable Analytics:</w:t>
      </w:r>
      <w:r>
        <w:rPr>
          <w:rFonts w:ascii="Calibri" w:hAnsi="Calibri"/>
          <w:color w:val="1E293B"/>
          <w:sz w:val="21"/>
        </w:rPr>
        <w:t xml:space="preserve"> Equips university placement directors with Step 6 Cohort Analytics, identifying systemic curriculum gaps (skills where &gt;=50% of the cohort fails) to drive targeted faculty interventions before campus recruitment drives begin.</w:t>
      </w:r>
    </w:p>
    <w:p>
      <w:pPr>
        <w:spacing w:before="120" w:after="120"/>
        <w:pBdr>
          <w:bottom w:val="single" w:sz="6" w:space="1" w:color="CBD5E1"/>
        </w:pBdr>
      </w:pPr>
    </w:p>
    <w:p>
      <w:pPr>
        <w:spacing w:before="240" w:after="80"/>
      </w:pPr>
      <w:r>
        <w:rPr>
          <w:rFonts w:ascii="Calibri" w:hAnsi="Calibri"/>
          <w:b/>
          <w:color w:val="1E3A8A"/>
          <w:sz w:val="30"/>
        </w:rPr>
        <w:t>3. Market Opportunity &amp; Target Segments</w:t>
      </w:r>
    </w:p>
    <w:p>
      <w:pPr>
        <w:pStyle w:val="ListNumber"/>
        <w:spacing w:before="20" w:after="40"/>
      </w:pPr>
      <w:r>
        <w:rPr>
          <w:rFonts w:ascii="Calibri" w:hAnsi="Calibri"/>
          <w:b/>
          <w:color w:val="0F172A"/>
          <w:sz w:val="21"/>
        </w:rPr>
        <w:t>B2C (Direct to Students &amp; Job Seekers):</w:t>
      </w:r>
    </w:p>
    <w:p>
      <w:pPr>
        <w:pStyle w:val="ListBullet"/>
        <w:spacing w:before="20" w:after="40"/>
      </w:pPr>
      <w:r>
        <w:rPr>
          <w:rFonts w:ascii="Calibri" w:hAnsi="Calibri"/>
          <w:color w:val="1E293B"/>
          <w:sz w:val="21"/>
        </w:rPr>
        <w:t>Final-year undergraduate and MBA students seeking personalized, role-specific interview preparation and empirical gap diagnosis.</w:t>
      </w:r>
    </w:p>
    <w:p>
      <w:pPr>
        <w:pStyle w:val="ListNumber"/>
        <w:spacing w:before="20" w:after="40"/>
      </w:pPr>
      <w:r>
        <w:rPr>
          <w:rFonts w:ascii="Calibri" w:hAnsi="Calibri"/>
          <w:b/>
          <w:color w:val="0F172A"/>
          <w:sz w:val="21"/>
        </w:rPr>
        <w:t>B2B (Colleges, Universities &amp; Placement Cells):</w:t>
      </w:r>
    </w:p>
    <w:p>
      <w:pPr>
        <w:pStyle w:val="ListBullet"/>
        <w:spacing w:before="20" w:after="40"/>
      </w:pPr>
      <w:r>
        <w:rPr>
          <w:rFonts w:ascii="Calibri" w:hAnsi="Calibri"/>
          <w:color w:val="1E293B"/>
          <w:sz w:val="21"/>
        </w:rPr>
        <w:t>Higher-education institutions requiring institutional mock assessments, cohort analytics, and automated screening drives across hundreds of students simultaneously.</w:t>
      </w:r>
    </w:p>
    <w:p>
      <w:pPr>
        <w:pStyle w:val="ListNumber"/>
        <w:spacing w:before="20" w:after="40"/>
      </w:pPr>
      <w:r>
        <w:rPr>
          <w:rFonts w:ascii="Calibri" w:hAnsi="Calibri"/>
          <w:b/>
          <w:color w:val="0F172A"/>
          <w:sz w:val="21"/>
        </w:rPr>
        <w:t>B2B2C (EdTech Academies &amp; Career Bootcamps):</w:t>
      </w:r>
    </w:p>
    <w:p>
      <w:pPr>
        <w:pStyle w:val="ListBullet"/>
        <w:spacing w:before="20" w:after="40"/>
      </w:pPr>
      <w:r>
        <w:rPr>
          <w:rFonts w:ascii="Calibri" w:hAnsi="Calibri"/>
          <w:color w:val="1E293B"/>
          <w:sz w:val="21"/>
        </w:rPr>
        <w:t>Professional training institutes embedding InterviewIQ as a capstone placement readiness and student certification engine.</w:t>
      </w:r>
    </w:p>
    <w:p>
      <w:pPr>
        <w:pStyle w:val="ListNumber"/>
        <w:spacing w:before="20" w:after="40"/>
      </w:pPr>
      <w:r>
        <w:rPr>
          <w:rFonts w:ascii="Calibri" w:hAnsi="Calibri"/>
          <w:b/>
          <w:color w:val="0F172A"/>
          <w:sz w:val="21"/>
        </w:rPr>
        <w:t>Corporate Talent Acquisition Pre-Screening:</w:t>
      </w:r>
    </w:p>
    <w:p>
      <w:pPr>
        <w:pStyle w:val="ListBullet"/>
        <w:spacing w:before="20" w:after="40"/>
      </w:pPr>
      <w:r>
        <w:rPr>
          <w:rFonts w:ascii="Calibri" w:hAnsi="Calibri"/>
          <w:color w:val="1E293B"/>
          <w:sz w:val="21"/>
        </w:rPr>
        <w:t>Pre-interview vetting module for corporate HR teams to evaluate candidate alignment against mandatory job criteria before allocating costly interviewer hours.</w:t>
      </w:r>
    </w:p>
    <w:p>
      <w:pPr>
        <w:spacing w:before="120" w:after="120"/>
        <w:pBdr>
          <w:bottom w:val="single" w:sz="6" w:space="1" w:color="CBD5E1"/>
        </w:pBdr>
      </w:pPr>
    </w:p>
    <w:p>
      <w:pPr>
        <w:spacing w:before="240" w:after="80"/>
      </w:pPr>
      <w:r>
        <w:rPr>
          <w:rFonts w:ascii="Calibri" w:hAnsi="Calibri"/>
          <w:b/>
          <w:color w:val="1E3A8A"/>
          <w:sz w:val="30"/>
        </w:rPr>
        <w:t>4. Value Proposition &amp; Competitive Differentiation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single" w:sz="4" w:space="0" w:color="CBD5E1"/>
        </w:tblBorders>
      </w:tblPr>
      <w:tblGrid>
        <w:gridCol w:w="1987"/>
        <w:gridCol w:w="1987"/>
        <w:gridCol w:w="1987"/>
        <w:gridCol w:w="1987"/>
        <w:gridCol w:w="1987"/>
      </w:tblGrid>
      <w:tr>
        <w:tc>
          <w:tcPr>
            <w:tcW w:type="dxa" w:w="1987"/>
            <w:shd w:fill="0F172A"/>
            <w:tcMar>
              <w:top w:w="100" w:type="dxa"/>
              <w:bottom w:w="100" w:type="dxa"/>
              <w:left w:w="120" w:type="dxa"/>
              <w:right w:w="120" w:type="dxa"/>
            </w:tcMar>
          </w:tcPr>
          <w:p>
            <w:pPr>
              <w:spacing w:before="40" w:after="40"/>
            </w:pPr>
            <w:r>
              <w:rPr>
                <w:rFonts w:ascii="Calibri" w:hAnsi="Calibri"/>
                <w:b/>
                <w:color w:val="FFFFFF"/>
                <w:sz w:val="20"/>
              </w:rPr>
              <w:t>Dimension</w:t>
            </w:r>
          </w:p>
        </w:tc>
        <w:tc>
          <w:tcPr>
            <w:tcW w:type="dxa" w:w="1987"/>
            <w:shd w:fill="0F172A"/>
            <w:tcMar>
              <w:top w:w="100" w:type="dxa"/>
              <w:bottom w:w="100" w:type="dxa"/>
              <w:left w:w="120" w:type="dxa"/>
              <w:right w:w="120" w:type="dxa"/>
            </w:tcMar>
          </w:tcPr>
          <w:p>
            <w:pPr>
              <w:spacing w:before="40" w:after="40"/>
            </w:pPr>
            <w:r>
              <w:rPr>
                <w:rFonts w:ascii="Calibri" w:hAnsi="Calibri"/>
                <w:b/>
                <w:color w:val="FFFFFF"/>
                <w:sz w:val="20"/>
              </w:rPr>
              <w:t>Traditional Question Banks</w:t>
            </w:r>
          </w:p>
        </w:tc>
        <w:tc>
          <w:tcPr>
            <w:tcW w:type="dxa" w:w="1987"/>
            <w:shd w:fill="0F172A"/>
            <w:tcMar>
              <w:top w:w="100" w:type="dxa"/>
              <w:bottom w:w="100" w:type="dxa"/>
              <w:left w:w="120" w:type="dxa"/>
              <w:right w:w="120" w:type="dxa"/>
            </w:tcMar>
          </w:tcPr>
          <w:p>
            <w:pPr>
              <w:spacing w:before="40" w:after="40"/>
            </w:pPr>
            <w:r>
              <w:rPr>
                <w:rFonts w:ascii="Calibri" w:hAnsi="Calibri"/>
                <w:b/>
                <w:color w:val="FFFFFF"/>
                <w:sz w:val="20"/>
              </w:rPr>
              <w:t>ATS Keyword Scanners</w:t>
            </w:r>
          </w:p>
        </w:tc>
        <w:tc>
          <w:tcPr>
            <w:tcW w:type="dxa" w:w="1987"/>
            <w:shd w:fill="0F172A"/>
            <w:tcMar>
              <w:top w:w="100" w:type="dxa"/>
              <w:bottom w:w="100" w:type="dxa"/>
              <w:left w:w="120" w:type="dxa"/>
              <w:right w:w="120" w:type="dxa"/>
            </w:tcMar>
          </w:tcPr>
          <w:p>
            <w:pPr>
              <w:spacing w:before="40" w:after="40"/>
            </w:pPr>
            <w:r>
              <w:rPr>
                <w:rFonts w:ascii="Calibri" w:hAnsi="Calibri"/>
                <w:b/>
                <w:color w:val="FFFFFF"/>
                <w:sz w:val="20"/>
              </w:rPr>
              <w:t>Human Mock Coaches</w:t>
            </w:r>
          </w:p>
        </w:tc>
        <w:tc>
          <w:tcPr>
            <w:tcW w:type="dxa" w:w="1987"/>
            <w:shd w:fill="0F172A"/>
            <w:tcMar>
              <w:top w:w="100" w:type="dxa"/>
              <w:bottom w:w="100" w:type="dxa"/>
              <w:left w:w="120" w:type="dxa"/>
              <w:right w:w="120" w:type="dxa"/>
            </w:tcMar>
          </w:tcPr>
          <w:p>
            <w:pPr>
              <w:spacing w:before="40" w:after="40"/>
            </w:pPr>
            <w:r>
              <w:rPr>
                <w:rFonts w:ascii="Calibri" w:hAnsi="Calibri"/>
                <w:b/>
                <w:color w:val="FFFFFF"/>
                <w:sz w:val="20"/>
              </w:rPr>
              <w:t>InterviewIQ</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Role-Specific Context</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Low</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Medium</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High</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High (Customized to JD &amp; Resume)</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Strict Formula Match</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Raw Keyword Match</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Subjective</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Mathematical Mandatory Ratio (0-100%)</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Empirical Competency Testing</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Generic Coding</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Manual Questions</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Customized 30-MCQ Timed Examination</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Dual-Weakness Detection</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Variable</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Automated `🚨 HIGH PRIORITY` Alerts</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Voice Mock Interview</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\$100-\$300/hr</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Zero-Cost Google Local NLP Voice Simulator</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Company Intelligence RAG</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Variable</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Built-In Leadership Principles (Amazon, Google, etc.)</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Institutional Cohort Analytics</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Step 6 Batch Heatmaps &amp; Gap Diagnostics</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Executive Case Study Simulator</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\$150-\$300/hr</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Step 7 McKinsey MECE &amp; Devil's Advocate Cross-Exam</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Offer Negotiation Simulator</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Subjective Advice</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Step 8 HR Persona Simulation &amp; Money-Left-on-Table</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Personalized 7-Day Curriculum</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Static Course Catalog</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High-Cost Custom Plan</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Step 9 Dynamic Plan with 100% Free Curated Course Links</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Corporate PDF Export</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Basic Text/HTML</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Basic PDF</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Manual Notes</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ReportLab Vector PDF Placement Dossier</w:t>
            </w:r>
          </w:p>
        </w:tc>
      </w:tr>
      <w:tr>
        <w:tc>
          <w:tcPr>
            <w:tcW w:type="dxa" w:w="1987"/>
            <w:shd w:fill="F8FAFC"/>
            <w:tcMar>
              <w:top w:w="80" w:type="dxa"/>
              <w:bottom w:w="80" w:type="dxa"/>
              <w:left w:w="120" w:type="dxa"/>
              <w:right w:w="120" w:type="dxa"/>
            </w:tcMar>
          </w:tcPr>
          <w:p>
            <w:pPr>
              <w:spacing w:before="40" w:after="40"/>
            </w:pPr>
            <w:r>
              <w:rPr>
                <w:rFonts w:ascii="Calibri" w:hAnsi="Calibri"/>
                <w:b/>
                <w:color w:val="0F172A"/>
                <w:sz w:val="19"/>
              </w:rPr>
              <w:t>Closed-Loop Retest Engine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Manual</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None</w:t>
            </w:r>
          </w:p>
        </w:tc>
        <w:tc>
          <w:tcPr>
            <w:tcW w:type="dxa" w:w="1987"/>
            <w:shd w:fill="F8FAFC"/>
            <w:tcMar>
              <w:top w:w="80" w:type="dxa"/>
              <w:bottom w:w="80" w:type="dxa"/>
              <w:left w:w="120" w:type="dxa"/>
              <w:right w:w="120" w:type="dxa"/>
            </w:tcMar>
          </w:tcPr>
          <w:p>
            <w:pPr>
              <w:spacing w:before="40" w:after="40"/>
            </w:pPr>
            <w:r>
              <w:rPr>
                <w:rFonts w:ascii="Calibri" w:hAnsi="Calibri"/>
                <w:color w:val="1E293B"/>
                <w:sz w:val="19"/>
              </w:rPr>
              <w:t>Cost-Prohibitive</w:t>
            </w:r>
          </w:p>
        </w:tc>
        <w:tc>
          <w:tcPr>
            <w:tcW w:type="dxa" w:w="1987"/>
            <w:shd w:fill="F8FAFC"/>
            <w:tcMar>
              <w:top w:w="80" w:type="dxa"/>
              <w:bottom w:w="80" w:type="dxa"/>
              <w:left w:w="120" w:type="dxa"/>
              <w:right w:w="120" w:type="dxa"/>
            </w:tcMar>
          </w:tcPr>
          <w:p>
            <w:pPr>
              <w:spacing w:before="40" w:after="40"/>
            </w:pPr>
            <w:r>
              <w:rPr>
                <w:rFonts w:ascii="Calibri" w:hAnsi="Calibri"/>
                <w:b/>
                <w:color w:val="0F172A"/>
                <w:sz w:val="19"/>
              </w:rPr>
              <w:t>Automated Round 2+ Re-weighted Retest</w:t>
            </w:r>
          </w:p>
        </w:tc>
      </w:tr>
      <w:tr>
        <w:tc>
          <w:tcPr>
            <w:tcW w:type="dxa" w:w="1987"/>
            <w:shd w:fill="FFFFFF"/>
            <w:tcMar>
              <w:top w:w="80" w:type="dxa"/>
              <w:bottom w:w="80" w:type="dxa"/>
              <w:left w:w="120" w:type="dxa"/>
              <w:right w:w="120" w:type="dxa"/>
            </w:tcMar>
          </w:tcPr>
          <w:p>
            <w:pPr>
              <w:spacing w:before="40" w:after="40"/>
            </w:pPr>
            <w:r>
              <w:rPr>
                <w:rFonts w:ascii="Calibri" w:hAnsi="Calibri"/>
                <w:b/>
                <w:color w:val="0F172A"/>
                <w:sz w:val="19"/>
              </w:rPr>
              <w:t>Operating Cost per Mock</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Low</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Low</w:t>
            </w:r>
          </w:p>
        </w:tc>
        <w:tc>
          <w:tcPr>
            <w:tcW w:type="dxa" w:w="1987"/>
            <w:shd w:fill="FFFFFF"/>
            <w:tcMar>
              <w:top w:w="80" w:type="dxa"/>
              <w:bottom w:w="80" w:type="dxa"/>
              <w:left w:w="120" w:type="dxa"/>
              <w:right w:w="120" w:type="dxa"/>
            </w:tcMar>
          </w:tcPr>
          <w:p>
            <w:pPr>
              <w:spacing w:before="40" w:after="40"/>
            </w:pPr>
            <w:r>
              <w:rPr>
                <w:rFonts w:ascii="Calibri" w:hAnsi="Calibri"/>
                <w:color w:val="1E293B"/>
                <w:sz w:val="19"/>
              </w:rPr>
              <w:t>\$100-\$300</w:t>
            </w:r>
          </w:p>
        </w:tc>
        <w:tc>
          <w:tcPr>
            <w:tcW w:type="dxa" w:w="1987"/>
            <w:shd w:fill="FFFFFF"/>
            <w:tcMar>
              <w:top w:w="80" w:type="dxa"/>
              <w:bottom w:w="80" w:type="dxa"/>
              <w:left w:w="120" w:type="dxa"/>
              <w:right w:w="120" w:type="dxa"/>
            </w:tcMar>
          </w:tcPr>
          <w:p>
            <w:pPr>
              <w:spacing w:before="40" w:after="40"/>
            </w:pPr>
            <w:r>
              <w:rPr>
                <w:rFonts w:ascii="Calibri" w:hAnsi="Calibri"/>
                <w:b/>
                <w:color w:val="0F172A"/>
                <w:sz w:val="19"/>
              </w:rPr>
              <w:t>Near Zero (Rate-Paced &amp; Cached)</w:t>
            </w:r>
          </w:p>
        </w:tc>
      </w:tr>
    </w:tbl>
    <w:p>
      <w:pPr>
        <w:spacing w:after="120"/>
      </w:pPr>
    </w:p>
    <w:p>
      <w:pPr>
        <w:spacing w:before="120" w:after="120"/>
        <w:pBdr>
          <w:bottom w:val="single" w:sz="6" w:space="1" w:color="CBD5E1"/>
        </w:pBdr>
      </w:pPr>
    </w:p>
    <w:p>
      <w:pPr>
        <w:spacing w:before="240" w:after="80"/>
      </w:pPr>
      <w:r>
        <w:rPr>
          <w:rFonts w:ascii="Calibri" w:hAnsi="Calibri"/>
          <w:b/>
          <w:color w:val="1E3A8A"/>
          <w:sz w:val="30"/>
        </w:rPr>
        <w:t>5. Financial Feasibility &amp; Unit Economics</w:t>
      </w:r>
    </w:p>
    <w:p>
      <w:pPr>
        <w:spacing w:before="200" w:after="60"/>
      </w:pPr>
      <w:r>
        <w:rPr>
          <w:rFonts w:ascii="Calibri" w:hAnsi="Calibri"/>
          <w:b/>
          <w:color w:val="2563EB"/>
          <w:sz w:val="25"/>
        </w:rPr>
        <w:t>5.1 Cost Optimization Engineering</w:t>
      </w:r>
    </w:p>
    <w:p>
      <w:pPr>
        <w:pStyle w:val="ListBullet"/>
        <w:spacing w:before="20" w:after="40"/>
      </w:pPr>
      <w:r>
        <w:rPr>
          <w:rFonts w:ascii="Calibri" w:hAnsi="Calibri"/>
          <w:b/>
          <w:color w:val="0F172A"/>
          <w:sz w:val="21"/>
        </w:rPr>
        <w:t>Zero Audio API Fees:</w:t>
      </w:r>
      <w:r>
        <w:rPr>
          <w:rFonts w:ascii="Calibri" w:hAnsi="Calibri"/>
          <w:color w:val="1E293B"/>
          <w:sz w:val="21"/>
        </w:rPr>
        <w:t xml:space="preserve"> By adopting </w:t>
      </w:r>
      <w:r>
        <w:rPr>
          <w:rFonts w:ascii="Calibri" w:hAnsi="Calibri"/>
          <w:b/>
          <w:color w:val="0F172A"/>
          <w:sz w:val="21"/>
        </w:rPr>
        <w:t>Google Local NLP</w:t>
      </w:r>
      <w:r>
        <w:rPr>
          <w:rFonts w:ascii="Calibri" w:hAnsi="Calibri"/>
          <w:color w:val="1E293B"/>
          <w:sz w:val="21"/>
        </w:rPr>
        <w:t xml:space="preserve"> (browser-native STT and TTS), InterviewIQ eliminates audio transcription and synthesis costs (saving \$0.006/min for Whisper and \$0.30/1,000 characters for ElevenLabs).</w:t>
      </w:r>
    </w:p>
    <w:p>
      <w:pPr>
        <w:pStyle w:val="ListBullet"/>
        <w:spacing w:before="20" w:after="40"/>
      </w:pPr>
      <w:r>
        <w:rPr>
          <w:rFonts w:ascii="Calibri" w:hAnsi="Calibri"/>
          <w:b/>
          <w:color w:val="0F172A"/>
          <w:sz w:val="21"/>
        </w:rPr>
        <w:t>Zero API Quota Waste:</w:t>
      </w:r>
      <w:r>
        <w:rPr>
          <w:rFonts w:ascii="Calibri" w:hAnsi="Calibri"/>
          <w:color w:val="1E293B"/>
          <w:sz w:val="21"/>
        </w:rPr>
        <w:t xml:space="preserve"> The </w:t>
      </w:r>
      <w:r>
        <w:rPr>
          <w:rFonts w:ascii="Calibri" w:hAnsi="Calibri"/>
          <w:b/>
          <w:color w:val="0F172A"/>
          <w:sz w:val="21"/>
        </w:rPr>
        <w:t>Two-Tier SHA-256 Cache</w:t>
      </w:r>
      <w:r>
        <w:rPr>
          <w:rFonts w:ascii="Calibri" w:hAnsi="Calibri"/>
          <w:color w:val="1E293B"/>
          <w:sz w:val="21"/>
        </w:rPr>
        <w:t xml:space="preserve"> (L1 RAM + L2 SQLite) serves repeated prompts in 0 ms at 0 token consumption. Test suite execution runs in </w:t>
      </w:r>
      <w:r>
        <w:rPr>
          <w:rFonts w:ascii="Calibri" w:hAnsi="Calibri"/>
          <w:b/>
          <w:color w:val="0F172A"/>
          <w:sz w:val="21"/>
        </w:rPr>
        <w:t>2.2 seconds</w:t>
      </w:r>
      <w:r>
        <w:rPr>
          <w:rFonts w:ascii="Calibri" w:hAnsi="Calibri"/>
          <w:color w:val="1E293B"/>
          <w:sz w:val="21"/>
        </w:rPr>
        <w:t xml:space="preserve"> for 8 cache tests.</w:t>
      </w:r>
    </w:p>
    <w:p>
      <w:pPr>
        <w:pStyle w:val="ListBullet"/>
        <w:spacing w:before="20" w:after="40"/>
      </w:pPr>
      <w:r>
        <w:rPr>
          <w:rFonts w:ascii="Calibri" w:hAnsi="Calibri"/>
          <w:b/>
          <w:color w:val="0F172A"/>
          <w:sz w:val="21"/>
        </w:rPr>
        <w:t>Free-Tier Sustainability:</w:t>
      </w:r>
      <w:r>
        <w:rPr>
          <w:rFonts w:ascii="Calibri" w:hAnsi="Calibri"/>
          <w:color w:val="1E293B"/>
          <w:sz w:val="21"/>
        </w:rPr>
        <w:t xml:space="preserve"> The </w:t>
      </w:r>
      <w:r>
        <w:rPr>
          <w:rFonts w:ascii="Calibri" w:hAnsi="Calibri"/>
          <w:b/>
          <w:color w:val="0F172A"/>
          <w:sz w:val="21"/>
        </w:rPr>
        <w:t>Atomic Reservation Token-Bucket Rate Pacer</w:t>
      </w:r>
      <w:r>
        <w:rPr>
          <w:rFonts w:ascii="Calibri" w:hAnsi="Calibri"/>
          <w:color w:val="1E293B"/>
          <w:sz w:val="21"/>
        </w:rPr>
        <w:t xml:space="preserve"> enforces a conservative &lt;=12 RPM ceiling with a 2.0-second cooldown, enabling reliable institutional operation entirely within Google's free-tier quota envelope without blocking Streamlit UI telemetry.</w:t>
      </w:r>
    </w:p>
    <w:p>
      <w:pPr>
        <w:pStyle w:val="ListBullet"/>
        <w:spacing w:before="20" w:after="40"/>
      </w:pPr>
      <w:r>
        <w:rPr>
          <w:rFonts w:ascii="Calibri" w:hAnsi="Calibri"/>
          <w:b/>
          <w:color w:val="0F172A"/>
          <w:sz w:val="21"/>
        </w:rPr>
        <w:t>Zero Auxiliary API Overhead:</w:t>
      </w:r>
      <w:r>
        <w:rPr>
          <w:rFonts w:ascii="Calibri" w:hAnsi="Calibri"/>
          <w:color w:val="1E293B"/>
          <w:sz w:val="21"/>
        </w:rPr>
        <w:t xml:space="preserve"> Static curriculum resource mapping (</w:t>
      </w:r>
      <w:r>
        <w:rPr>
          <w:rFonts w:ascii="Consolas" w:hAnsi="Consolas"/>
          <w:color w:val="0F5182"/>
          <w:sz w:val="19"/>
        </w:rPr>
        <w:t>curriculum_resources.py</w:t>
      </w:r>
      <w:r>
        <w:rPr>
          <w:rFonts w:ascii="Calibri" w:hAnsi="Calibri"/>
          <w:color w:val="1E293B"/>
          <w:sz w:val="21"/>
        </w:rPr>
        <w:t>) and verified salary benchmark matrix (</w:t>
      </w:r>
      <w:r>
        <w:rPr>
          <w:rFonts w:ascii="Consolas" w:hAnsi="Consolas"/>
          <w:color w:val="0F5182"/>
          <w:sz w:val="19"/>
        </w:rPr>
        <w:t>salary_bands.py</w:t>
      </w:r>
      <w:r>
        <w:rPr>
          <w:rFonts w:ascii="Calibri" w:hAnsi="Calibri"/>
          <w:color w:val="1E293B"/>
          <w:sz w:val="21"/>
        </w:rPr>
        <w:t xml:space="preserve">) provide rich educational links and comp analytics with </w:t>
      </w:r>
      <w:r>
        <w:rPr>
          <w:rFonts w:ascii="Calibri" w:hAnsi="Calibri"/>
          <w:b/>
          <w:color w:val="0F172A"/>
          <w:sz w:val="21"/>
        </w:rPr>
        <w:t>0 extra API calls</w:t>
      </w:r>
      <w:r>
        <w:rPr>
          <w:rFonts w:ascii="Calibri" w:hAnsi="Calibri"/>
          <w:color w:val="1E293B"/>
          <w:sz w:val="21"/>
        </w:rPr>
        <w:t>.</w:t>
      </w:r>
    </w:p>
    <w:p>
      <w:pPr>
        <w:spacing w:before="200" w:after="60"/>
      </w:pPr>
      <w:r>
        <w:rPr>
          <w:rFonts w:ascii="Calibri" w:hAnsi="Calibri"/>
          <w:b/>
          <w:color w:val="2563EB"/>
          <w:sz w:val="25"/>
        </w:rPr>
        <w:t>5.2 Monetization &amp; Pricing Models</w:t>
      </w:r>
    </w:p>
    <w:p>
      <w:pPr>
        <w:pStyle w:val="ListNumber"/>
        <w:spacing w:before="20" w:after="40"/>
      </w:pPr>
      <w:r>
        <w:rPr>
          <w:rFonts w:ascii="Calibri" w:hAnsi="Calibri"/>
          <w:b/>
          <w:color w:val="0F172A"/>
          <w:sz w:val="21"/>
        </w:rPr>
        <w:t>Student Freemium / Individual Tier (B2C):</w:t>
      </w:r>
    </w:p>
    <w:p>
      <w:pPr>
        <w:pStyle w:val="ListBullet"/>
        <w:spacing w:before="20" w:after="40"/>
      </w:pPr>
      <w:r>
        <w:rPr>
          <w:rFonts w:ascii="Calibri" w:hAnsi="Calibri"/>
          <w:b/>
          <w:color w:val="0F172A"/>
          <w:sz w:val="21"/>
        </w:rPr>
        <w:t>Free Tier:</w:t>
      </w:r>
      <w:r>
        <w:rPr>
          <w:rFonts w:ascii="Calibri" w:hAnsi="Calibri"/>
          <w:color w:val="1E293B"/>
          <w:sz w:val="21"/>
        </w:rPr>
        <w:t xml:space="preserve"> Resume-JD Strategic Fit Report + 1 basic 10-question quiz.</w:t>
      </w:r>
    </w:p>
    <w:p>
      <w:pPr>
        <w:pStyle w:val="ListBullet"/>
        <w:spacing w:before="20" w:after="40"/>
      </w:pPr>
      <w:r>
        <w:rPr>
          <w:rFonts w:ascii="Calibri" w:hAnsi="Calibri"/>
          <w:b/>
          <w:color w:val="0F172A"/>
          <w:sz w:val="21"/>
        </w:rPr>
        <w:t>Pro Tier (\$15/month):</w:t>
      </w:r>
      <w:r>
        <w:rPr>
          <w:rFonts w:ascii="Calibri" w:hAnsi="Calibri"/>
          <w:color w:val="1E293B"/>
          <w:sz w:val="21"/>
        </w:rPr>
        <w:t xml:space="preserve"> Unlimited 30-MCQ timed exams, interactive voice mock interviews, executive case study drills, compensation negotiation simulations, and downloadable ReportLab PDF dossiers.</w:t>
      </w:r>
    </w:p>
    <w:p>
      <w:pPr>
        <w:pStyle w:val="ListNumber"/>
        <w:spacing w:before="20" w:after="40"/>
      </w:pPr>
      <w:r>
        <w:rPr>
          <w:rFonts w:ascii="Calibri" w:hAnsi="Calibri"/>
          <w:b/>
          <w:color w:val="0F172A"/>
          <w:sz w:val="21"/>
        </w:rPr>
        <w:t>Institutional Campus License (B2B SaaS):</w:t>
      </w:r>
    </w:p>
    <w:p>
      <w:pPr>
        <w:pStyle w:val="ListBullet"/>
        <w:spacing w:before="20" w:after="40"/>
      </w:pPr>
      <w:r>
        <w:rPr>
          <w:rFonts w:ascii="Calibri" w:hAnsi="Calibri"/>
          <w:color w:val="1E293B"/>
          <w:sz w:val="21"/>
        </w:rPr>
        <w:t>Tiered annual subscription for university placement cells (\$5,000 to \$25,000/year depending on student batch size).</w:t>
      </w:r>
    </w:p>
    <w:p>
      <w:pPr>
        <w:pStyle w:val="ListBullet"/>
        <w:spacing w:before="20" w:after="40"/>
      </w:pPr>
      <w:r>
        <w:rPr>
          <w:rFonts w:ascii="Calibri" w:hAnsi="Calibri"/>
          <w:color w:val="1E293B"/>
          <w:sz w:val="21"/>
        </w:rPr>
        <w:t>Includes full Step 6 Cohort Analytics, curriculum gap heatmaps, batch CSV/JSON exports, and priority cloud deployment.</w:t>
      </w:r>
    </w:p>
    <w:p>
      <w:pPr>
        <w:pStyle w:val="ListNumber"/>
        <w:spacing w:before="20" w:after="40"/>
      </w:pPr>
      <w:r>
        <w:rPr>
          <w:rFonts w:ascii="Calibri" w:hAnsi="Calibri"/>
          <w:b/>
          <w:color w:val="0F172A"/>
          <w:sz w:val="21"/>
        </w:rPr>
        <w:t>Corporate Recruiting Pre-Screening (Enterprise B2B):</w:t>
      </w:r>
    </w:p>
    <w:p>
      <w:pPr>
        <w:pStyle w:val="ListBullet"/>
        <w:spacing w:before="20" w:after="40"/>
      </w:pPr>
      <w:r>
        <w:rPr>
          <w:rFonts w:ascii="Calibri" w:hAnsi="Calibri"/>
          <w:color w:val="1E293B"/>
          <w:sz w:val="21"/>
        </w:rPr>
        <w:t>Pay-per-candidate evaluation model (\$5-\$10 per vetted candidate dossier) for corporate talent acquisition teams.</w:t>
      </w:r>
    </w:p>
    <w:p>
      <w:pPr>
        <w:spacing w:before="120" w:after="120"/>
        <w:pBdr>
          <w:bottom w:val="single" w:sz="6" w:space="1" w:color="CBD5E1"/>
        </w:pBdr>
      </w:pPr>
    </w:p>
    <w:p>
      <w:pPr>
        <w:spacing w:before="240" w:after="80"/>
      </w:pPr>
      <w:r>
        <w:rPr>
          <w:rFonts w:ascii="Calibri" w:hAnsi="Calibri"/>
          <w:b/>
          <w:color w:val="1E3A8A"/>
          <w:sz w:val="30"/>
        </w:rPr>
        <w:t>6. Risk Management &amp; Enterprise Governance</w:t>
      </w:r>
    </w:p>
    <w:p>
      <w:pPr>
        <w:pStyle w:val="ListBullet"/>
        <w:spacing w:before="20" w:after="40"/>
      </w:pPr>
      <w:r>
        <w:rPr>
          <w:rFonts w:ascii="Calibri" w:hAnsi="Calibri"/>
          <w:b/>
          <w:color w:val="0F172A"/>
          <w:sz w:val="21"/>
        </w:rPr>
        <w:t>API Quota Exhaustion &amp; Endpoint Depreciation:</w:t>
      </w:r>
      <w:r>
        <w:rPr>
          <w:rFonts w:ascii="Calibri" w:hAnsi="Calibri"/>
          <w:color w:val="1E293B"/>
          <w:sz w:val="21"/>
        </w:rPr>
        <w:t xml:space="preserve"> Fortified by a 16-model tiered cascade, dynamic </w:t>
      </w:r>
      <w:r>
        <w:rPr>
          <w:rFonts w:ascii="Consolas" w:hAnsi="Consolas"/>
          <w:color w:val="0F5182"/>
          <w:sz w:val="19"/>
        </w:rPr>
        <w:t>list_models</w:t>
      </w:r>
      <w:r>
        <w:rPr>
          <w:rFonts w:ascii="Calibri" w:hAnsi="Calibri"/>
          <w:color w:val="1E293B"/>
          <w:sz w:val="21"/>
        </w:rPr>
        <w:t xml:space="preserve"> discovery, session-level 404 blacklisting, non-blocking atomic rate pacing (&lt;=12 RPM), dynamic 429 jitter backoff, two-tier caching, and deterministic upstream heuristic failsafes.</w:t>
      </w:r>
    </w:p>
    <w:p>
      <w:pPr>
        <w:pStyle w:val="ListBullet"/>
        <w:spacing w:before="20" w:after="40"/>
      </w:pPr>
      <w:r>
        <w:rPr>
          <w:rFonts w:ascii="Calibri" w:hAnsi="Calibri"/>
          <w:b/>
          <w:color w:val="0F172A"/>
          <w:sz w:val="21"/>
        </w:rPr>
        <w:t>Security &amp; Secret Governance:</w:t>
      </w:r>
      <w:r>
        <w:rPr>
          <w:rFonts w:ascii="Calibri" w:hAnsi="Calibri"/>
          <w:color w:val="1E293B"/>
          <w:sz w:val="21"/>
        </w:rPr>
        <w:t xml:space="preserve"> Hardcoded fallback keys have been completely removed from the codebase and </w:t>
      </w:r>
      <w:r>
        <w:rPr>
          <w:rFonts w:ascii="Consolas" w:hAnsi="Consolas"/>
          <w:color w:val="0F5182"/>
          <w:sz w:val="19"/>
        </w:rPr>
        <w:t>.env</w:t>
      </w:r>
      <w:r>
        <w:rPr>
          <w:rFonts w:ascii="Calibri" w:hAnsi="Calibri"/>
          <w:color w:val="1E293B"/>
          <w:sz w:val="21"/>
        </w:rPr>
        <w:t>. The application mandates user key activation via a real-time cloud validation probe.</w:t>
      </w:r>
    </w:p>
    <w:p>
      <w:pPr>
        <w:pStyle w:val="ListBullet"/>
        <w:spacing w:before="20" w:after="40"/>
      </w:pPr>
      <w:r>
        <w:rPr>
          <w:rFonts w:ascii="Calibri" w:hAnsi="Calibri"/>
          <w:b/>
          <w:color w:val="0F172A"/>
          <w:sz w:val="21"/>
        </w:rPr>
        <w:t>Student Privacy &amp; PII Compliance:</w:t>
      </w:r>
      <w:r>
        <w:rPr>
          <w:rFonts w:ascii="Calibri" w:hAnsi="Calibri"/>
          <w:color w:val="1E293B"/>
          <w:sz w:val="21"/>
        </w:rPr>
        <w:t xml:space="preserve"> All candidate resumes, test results, and voice transcripts are stored in a local SQLite database (</w:t>
      </w:r>
      <w:r>
        <w:rPr>
          <w:rFonts w:ascii="Consolas" w:hAnsi="Consolas"/>
          <w:color w:val="0F5182"/>
          <w:sz w:val="19"/>
        </w:rPr>
        <w:t>data/interviewiq.db</w:t>
      </w:r>
      <w:r>
        <w:rPr>
          <w:rFonts w:ascii="Calibri" w:hAnsi="Calibri"/>
          <w:color w:val="1E293B"/>
          <w:sz w:val="21"/>
        </w:rPr>
        <w:t>) with zero external PII leakage.</w:t>
      </w:r>
    </w:p>
    <w:p>
      <w:pPr>
        <w:pStyle w:val="ListBullet"/>
        <w:spacing w:before="20" w:after="40"/>
      </w:pPr>
      <w:r>
        <w:rPr>
          <w:rFonts w:ascii="Calibri" w:hAnsi="Calibri"/>
          <w:b/>
          <w:color w:val="0F172A"/>
          <w:sz w:val="21"/>
        </w:rPr>
        <w:t>Evaluation Objectivity &amp; Hallucination Mitigation:</w:t>
      </w:r>
      <w:r>
        <w:rPr>
          <w:rFonts w:ascii="Calibri" w:hAnsi="Calibri"/>
          <w:color w:val="1E293B"/>
          <w:sz w:val="21"/>
        </w:rPr>
        <w:t xml:space="preserve"> Grounded in strict JSON schemas, explicit JD topic checklists, mathematical match formulas, and itemized rationale generation for all exam items.</w:t>
      </w:r>
    </w:p>
    <w:p>
      <w:pPr>
        <w:spacing w:before="120" w:after="120"/>
        <w:pBdr>
          <w:bottom w:val="single" w:sz="6" w:space="1" w:color="CBD5E1"/>
        </w:pBdr>
      </w:pPr>
    </w:p>
    <w:p>
      <w:pPr>
        <w:spacing w:before="240" w:after="80"/>
      </w:pPr>
      <w:r>
        <w:rPr>
          <w:rFonts w:ascii="Calibri" w:hAnsi="Calibri"/>
          <w:b/>
          <w:color w:val="1E3A8A"/>
          <w:sz w:val="30"/>
        </w:rPr>
        <w:t>7. Current Project Status, Checkpoint &amp; Roadmap</w:t>
      </w:r>
    </w:p>
    <w:p>
      <w:pPr>
        <w:spacing w:before="200" w:after="60"/>
      </w:pPr>
      <w:r>
        <w:rPr>
          <w:rFonts w:ascii="Calibri" w:hAnsi="Calibri"/>
          <w:b/>
          <w:color w:val="2563EB"/>
          <w:sz w:val="25"/>
        </w:rPr>
        <w:t>Current Status</w:t>
      </w:r>
    </w:p>
    <w:p>
      <w:pPr>
        <w:spacing w:before="40" w:after="80"/>
      </w:pPr>
      <w:r>
        <w:rPr>
          <w:rFonts w:ascii="Calibri" w:hAnsi="Calibri"/>
          <w:color w:val="1E293B"/>
          <w:sz w:val="21"/>
        </w:rPr>
        <w:t xml:space="preserve">All 25 phases of core functionality, executive UI, multimodal voice simulation, standalone Fit Report PDF and full PDF dossier export, company intelligence RAG, relational database persistence, Docker containerization, API quota management, 7-day personalized micro-curricula, comprehensive code optimizations, Session #11 UI/UX Design System, Session #12 dynamic Gemini model discovery &amp; 404 failover, Session #16 scope streamlining to 6 high-impact steps, Session #19 code/processing/UIUX evolution, Session #20 dual onboarding modes, Session #21 multi-model cascade modernization &amp; upstream resilience, and Session #22 Multi-Subagent Output Quality Verification Engine are complete and verified live. </w:t>
      </w:r>
      <w:r>
        <w:rPr>
          <w:rFonts w:ascii="Calibri" w:hAnsi="Calibri"/>
          <w:b/>
          <w:color w:val="0F172A"/>
          <w:sz w:val="21"/>
        </w:rPr>
        <w:t>98 of 98 unit, integration, and UAT tests pass cleanly with 100% reliability in 229s</w:t>
      </w:r>
      <w:r>
        <w:rPr>
          <w:rFonts w:ascii="Calibri" w:hAnsi="Calibri"/>
          <w:color w:val="1E293B"/>
          <w:sz w:val="21"/>
        </w:rPr>
        <w:t>.</w:t>
      </w:r>
    </w:p>
    <w:p>
      <w:pPr>
        <w:spacing w:before="200" w:after="60"/>
      </w:pPr>
      <w:r>
        <w:rPr>
          <w:rFonts w:ascii="Calibri" w:hAnsi="Calibri"/>
          <w:b/>
          <w:color w:val="2563EB"/>
          <w:sz w:val="25"/>
        </w:rPr>
        <w:t>Where We Stopped</w:t>
      </w:r>
    </w:p>
    <w:p>
      <w:pPr>
        <w:pStyle w:val="ListBullet"/>
        <w:spacing w:before="20" w:after="40"/>
      </w:pPr>
      <w:r>
        <w:rPr>
          <w:rFonts w:ascii="Calibri" w:hAnsi="Calibri"/>
          <w:color w:val="1E293B"/>
          <w:sz w:val="21"/>
        </w:rPr>
        <w:t>Complete engineering, verification, and documentation of Session #22:</w:t>
      </w:r>
    </w:p>
    <w:p>
      <w:pPr>
        <w:pStyle w:val="ListBullet"/>
        <w:spacing w:before="20" w:after="40"/>
      </w:pPr>
      <w:r>
        <w:rPr>
          <w:rFonts w:ascii="Calibri" w:hAnsi="Calibri"/>
          <w:color w:val="1E293B"/>
          <w:sz w:val="21"/>
        </w:rPr>
        <w:t xml:space="preserve">Engineered in-process </w:t>
      </w:r>
      <w:r>
        <w:rPr>
          <w:rFonts w:ascii="Consolas" w:hAnsi="Consolas"/>
          <w:color w:val="0F5182"/>
          <w:sz w:val="19"/>
        </w:rPr>
        <w:t>MultiAgentQualityController</w:t>
      </w:r>
      <w:r>
        <w:rPr>
          <w:rFonts w:ascii="Calibri" w:hAnsi="Calibri"/>
          <w:color w:val="1E293B"/>
          <w:sz w:val="21"/>
        </w:rPr>
        <w:t xml:space="preserve"> in </w:t>
      </w:r>
      <w:r>
        <w:rPr>
          <w:rFonts w:ascii="Consolas" w:hAnsi="Consolas"/>
          <w:color w:val="0F5182"/>
          <w:sz w:val="19"/>
        </w:rPr>
        <w:t>utils/quality_controller.py</w:t>
      </w:r>
      <w:r>
        <w:rPr>
          <w:rFonts w:ascii="Calibri" w:hAnsi="Calibri"/>
          <w:color w:val="1E293B"/>
          <w:sz w:val="21"/>
        </w:rPr>
        <w:t>.</w:t>
      </w:r>
    </w:p>
    <w:p>
      <w:pPr>
        <w:pStyle w:val="ListBullet"/>
        <w:spacing w:before="20" w:after="40"/>
      </w:pPr>
      <w:r>
        <w:rPr>
          <w:rFonts w:ascii="Calibri" w:hAnsi="Calibri"/>
          <w:color w:val="1E293B"/>
          <w:sz w:val="21"/>
        </w:rPr>
        <w:t>Implemented multi-stage auditing for candidate bio, technical skills, projects, requirements matrix, 5-dimensional questions, 30-MCQ completeness, and 48-hour revision roadmap.</w:t>
      </w:r>
    </w:p>
    <w:p>
      <w:pPr>
        <w:pStyle w:val="ListBullet"/>
        <w:spacing w:before="20" w:after="40"/>
      </w:pPr>
      <w:r>
        <w:rPr>
          <w:rFonts w:ascii="Calibri" w:hAnsi="Calibri"/>
          <w:color w:val="1E293B"/>
          <w:sz w:val="21"/>
        </w:rPr>
        <w:t xml:space="preserve">Connected quality auditing directly into </w:t>
      </w:r>
      <w:r>
        <w:rPr>
          <w:rFonts w:ascii="Consolas" w:hAnsi="Consolas"/>
          <w:color w:val="0F5182"/>
          <w:sz w:val="19"/>
        </w:rPr>
        <w:t>Orchestrator.process_onboarding</w:t>
      </w:r>
      <w:r>
        <w:rPr>
          <w:rFonts w:ascii="Calibri" w:hAnsi="Calibri"/>
          <w:color w:val="1E293B"/>
          <w:sz w:val="21"/>
        </w:rPr>
        <w:t xml:space="preserve"> and </w:t>
      </w:r>
      <w:r>
        <w:rPr>
          <w:rFonts w:ascii="Consolas" w:hAnsi="Consolas"/>
          <w:color w:val="0F5182"/>
          <w:sz w:val="19"/>
        </w:rPr>
        <w:t>Orchestrator.finalize_readiness_report</w:t>
      </w:r>
      <w:r>
        <w:rPr>
          <w:rFonts w:ascii="Calibri" w:hAnsi="Calibri"/>
          <w:color w:val="1E293B"/>
          <w:sz w:val="21"/>
        </w:rPr>
        <w:t>.</w:t>
      </w:r>
    </w:p>
    <w:p>
      <w:pPr>
        <w:pStyle w:val="ListBullet"/>
        <w:spacing w:before="20" w:after="40"/>
      </w:pPr>
      <w:r>
        <w:rPr>
          <w:rFonts w:ascii="Calibri" w:hAnsi="Calibri"/>
          <w:color w:val="1E293B"/>
          <w:sz w:val="21"/>
        </w:rPr>
        <w:t>Added real-time quality verification badges (</w:t>
      </w:r>
      <w:r>
        <w:rPr>
          <w:rFonts w:ascii="Consolas" w:hAnsi="Consolas"/>
          <w:color w:val="0F5182"/>
          <w:sz w:val="19"/>
        </w:rPr>
        <w:t>Multi-Agent Quality Verified: 85%+ • Enterprise Depth</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w:t>
      </w:r>
    </w:p>
    <w:p>
      <w:pPr>
        <w:pStyle w:val="ListBullet"/>
        <w:spacing w:before="20" w:after="40"/>
      </w:pPr>
      <w:r>
        <w:rPr>
          <w:rFonts w:ascii="Calibri" w:hAnsi="Calibri"/>
          <w:color w:val="1E293B"/>
          <w:sz w:val="21"/>
        </w:rPr>
        <w:t xml:space="preserve">Expanded test suite with </w:t>
      </w:r>
      <w:r>
        <w:rPr>
          <w:rFonts w:ascii="Consolas" w:hAnsi="Consolas"/>
          <w:color w:val="0F5182"/>
          <w:sz w:val="19"/>
        </w:rPr>
        <w:t>tests/test_quality_controller.py</w:t>
      </w:r>
      <w:r>
        <w:rPr>
          <w:rFonts w:ascii="Calibri" w:hAnsi="Calibri"/>
          <w:color w:val="1E293B"/>
          <w:sz w:val="21"/>
        </w:rPr>
        <w:t xml:space="preserve"> bringing automated test discovery to 98/98 passing tests.</w:t>
      </w:r>
    </w:p>
    <w:p>
      <w:pPr>
        <w:pStyle w:val="ListBullet"/>
        <w:spacing w:before="20" w:after="40"/>
      </w:pPr>
      <w:r>
        <w:rPr>
          <w:rFonts w:ascii="Calibri" w:hAnsi="Calibri"/>
          <w:color w:val="1E293B"/>
          <w:sz w:val="21"/>
        </w:rPr>
        <w:t>Maintained 100% baseline scoring integrity (</w:t>
      </w:r>
      <w:r>
        <w:rPr>
          <w:rFonts w:ascii="Consolas" w:hAnsi="Consolas"/>
          <w:color w:val="0F5182"/>
          <w:sz w:val="19"/>
        </w:rPr>
        <w:t>score_test</w:t>
      </w:r>
      <w:r>
        <w:rPr>
          <w:rFonts w:ascii="Calibri" w:hAnsi="Calibri"/>
          <w:color w:val="1E293B"/>
          <w:sz w:val="21"/>
        </w:rPr>
        <w:t xml:space="preserve"> and </w:t>
      </w:r>
      <w:r>
        <w:rPr>
          <w:rFonts w:ascii="Consolas" w:hAnsi="Consolas"/>
          <w:color w:val="0F5182"/>
          <w:sz w:val="19"/>
        </w:rPr>
        <w:t>build_unified_topic_readiness</w:t>
      </w:r>
      <w:r>
        <w:rPr>
          <w:rFonts w:ascii="Calibri" w:hAnsi="Calibri"/>
          <w:color w:val="1E293B"/>
          <w:sz w:val="21"/>
        </w:rPr>
        <w:t xml:space="preserve"> 45/55 formula untouched).</w:t>
      </w:r>
    </w:p>
    <w:p>
      <w:pPr>
        <w:pStyle w:val="ListBullet"/>
        <w:spacing w:before="20" w:after="40"/>
      </w:pPr>
      <w:r>
        <w:rPr>
          <w:rFonts w:ascii="Calibri" w:hAnsi="Calibri"/>
          <w:color w:val="1E293B"/>
          <w:sz w:val="21"/>
        </w:rPr>
        <w:t xml:space="preserve">Synchronized documentation in </w:t>
      </w:r>
      <w:r>
        <w:rPr>
          <w:rFonts w:ascii="Consolas" w:hAnsi="Consolas"/>
          <w:color w:val="0F5182"/>
          <w:sz w:val="19"/>
        </w:rPr>
        <w:t>/docs</w:t>
      </w:r>
      <w:r>
        <w:rPr>
          <w:rFonts w:ascii="Calibri" w:hAnsi="Calibri"/>
          <w:color w:val="1E293B"/>
          <w:sz w:val="21"/>
        </w:rPr>
        <w:t xml:space="preserve"> across both Markdown (</w:t>
      </w:r>
      <w:r>
        <w:rPr>
          <w:rFonts w:ascii="Consolas" w:hAnsi="Consolas"/>
          <w:color w:val="0F5182"/>
          <w:sz w:val="19"/>
        </w:rPr>
        <w:t>.md</w:t>
      </w:r>
      <w:r>
        <w:rPr>
          <w:rFonts w:ascii="Calibri" w:hAnsi="Calibri"/>
          <w:color w:val="1E293B"/>
          <w:sz w:val="21"/>
        </w:rPr>
        <w:t>) and Microsoft Word (</w:t>
      </w:r>
      <w:r>
        <w:rPr>
          <w:rFonts w:ascii="Consolas" w:hAnsi="Consolas"/>
          <w:color w:val="0F5182"/>
          <w:sz w:val="19"/>
        </w:rPr>
        <w:t>.docx</w:t>
      </w:r>
      <w:r>
        <w:rPr>
          <w:rFonts w:ascii="Calibri" w:hAnsi="Calibri"/>
          <w:color w:val="1E293B"/>
          <w:sz w:val="21"/>
        </w:rPr>
        <w:t>) formats.</w:t>
      </w:r>
    </w:p>
    <w:p>
      <w:pPr>
        <w:spacing w:before="200" w:after="60"/>
      </w:pPr>
      <w:r>
        <w:rPr>
          <w:rFonts w:ascii="Calibri" w:hAnsi="Calibri"/>
          <w:b/>
          <w:color w:val="2563EB"/>
          <w:sz w:val="25"/>
        </w:rPr>
        <w:t>Why We Stopped</w:t>
      </w:r>
    </w:p>
    <w:p>
      <w:pPr>
        <w:pStyle w:val="ListNumber"/>
        <w:spacing w:before="20" w:after="40"/>
      </w:pPr>
      <w:r>
        <w:rPr>
          <w:rFonts w:ascii="Calibri" w:hAnsi="Calibri"/>
          <w:b/>
          <w:color w:val="0F172A"/>
          <w:sz w:val="21"/>
        </w:rPr>
        <w:t>Full Scope Realization:</w:t>
      </w:r>
      <w:r>
        <w:rPr>
          <w:rFonts w:ascii="Calibri" w:hAnsi="Calibri"/>
          <w:color w:val="1E293B"/>
          <w:sz w:val="21"/>
        </w:rPr>
        <w:t xml:space="preserve"> All requirements for multi-subagent output quality verification and process elevation have been completed and verified live.</w:t>
      </w:r>
    </w:p>
    <w:p>
      <w:pPr>
        <w:pStyle w:val="ListNumber"/>
        <w:spacing w:before="20" w:after="40"/>
      </w:pPr>
      <w:r>
        <w:rPr>
          <w:rFonts w:ascii="Calibri" w:hAnsi="Calibri"/>
          <w:b/>
          <w:color w:val="0F172A"/>
          <w:sz w:val="21"/>
        </w:rPr>
        <w:t>Flawless Quality Record:</w:t>
      </w:r>
      <w:r>
        <w:rPr>
          <w:rFonts w:ascii="Calibri" w:hAnsi="Calibri"/>
          <w:color w:val="1E293B"/>
          <w:sz w:val="21"/>
        </w:rPr>
        <w:t xml:space="preserve"> 98 of 98 automated tests passing with zero errors, zero warnings, and zero regressions.</w:t>
      </w:r>
    </w:p>
    <w:p>
      <w:pPr>
        <w:pStyle w:val="ListNumber"/>
        <w:spacing w:before="20" w:after="40"/>
      </w:pPr>
      <w:r>
        <w:rPr>
          <w:rFonts w:ascii="Calibri" w:hAnsi="Calibri"/>
          <w:b/>
          <w:color w:val="0F172A"/>
          <w:sz w:val="21"/>
        </w:rPr>
        <w:t>API Cost &amp; Quota Safety Guaranteed:</w:t>
      </w:r>
      <w:r>
        <w:rPr>
          <w:rFonts w:ascii="Calibri" w:hAnsi="Calibri"/>
          <w:color w:val="1E293B"/>
          <w:sz w:val="21"/>
        </w:rPr>
        <w:t xml:space="preserve"> In-process auditing runs with zero extra API token overhead, preserving Google free tier rate safety.</w:t>
      </w:r>
    </w:p>
    <w:p>
      <w:pPr>
        <w:pStyle w:val="ListNumber"/>
        <w:spacing w:before="20" w:after="40"/>
      </w:pPr>
      <w:r>
        <w:rPr>
          <w:rFonts w:ascii="Calibri" w:hAnsi="Calibri"/>
          <w:b/>
          <w:color w:val="0F172A"/>
          <w:sz w:val="21"/>
        </w:rPr>
        <w:t>Documentation Synchronization:</w:t>
      </w:r>
      <w:r>
        <w:rPr>
          <w:rFonts w:ascii="Calibri" w:hAnsi="Calibri"/>
          <w:color w:val="1E293B"/>
          <w:sz w:val="21"/>
        </w:rPr>
        <w:t xml:space="preserve"> Paused to log all architectural decisions, business metrics, and knowledge transfer content across both Markdown (</w:t>
      </w:r>
      <w:r>
        <w:rPr>
          <w:rFonts w:ascii="Consolas" w:hAnsi="Consolas"/>
          <w:color w:val="0F5182"/>
          <w:sz w:val="19"/>
        </w:rPr>
        <w:t>.md</w:t>
      </w:r>
      <w:r>
        <w:rPr>
          <w:rFonts w:ascii="Calibri" w:hAnsi="Calibri"/>
          <w:color w:val="1E293B"/>
          <w:sz w:val="21"/>
        </w:rPr>
        <w:t>) and Word (</w:t>
      </w:r>
      <w:r>
        <w:rPr>
          <w:rFonts w:ascii="Consolas" w:hAnsi="Consolas"/>
          <w:color w:val="0F5182"/>
          <w:sz w:val="19"/>
        </w:rPr>
        <w:t>.docx</w:t>
      </w:r>
      <w:r>
        <w:rPr>
          <w:rFonts w:ascii="Calibri" w:hAnsi="Calibri"/>
          <w:color w:val="1E293B"/>
          <w:sz w:val="21"/>
        </w:rPr>
        <w:t xml:space="preserve">) formats in </w:t>
      </w:r>
      <w:r>
        <w:rPr>
          <w:rFonts w:ascii="Consolas" w:hAnsi="Consolas"/>
          <w:color w:val="0F5182"/>
          <w:sz w:val="19"/>
        </w:rPr>
        <w:t>/docs</w:t>
      </w:r>
      <w:r>
        <w:rPr>
          <w:rFonts w:ascii="Calibri" w:hAnsi="Calibri"/>
          <w:color w:val="1E293B"/>
          <w:sz w:val="21"/>
        </w:rPr>
        <w:t>.</w:t>
      </w:r>
    </w:p>
    <w:p>
      <w:pPr>
        <w:spacing w:before="200" w:after="60"/>
      </w:pPr>
      <w:r>
        <w:rPr>
          <w:rFonts w:ascii="Calibri" w:hAnsi="Calibri"/>
          <w:b/>
          <w:color w:val="2563EB"/>
          <w:sz w:val="25"/>
        </w:rPr>
        <w:t>Future Project Plan (Roadmap for Next Phases)</w:t>
      </w:r>
    </w:p>
    <w:p>
      <w:pPr>
        <w:pStyle w:val="ListBullet"/>
        <w:spacing w:before="20" w:after="40"/>
      </w:pPr>
      <w:r>
        <w:rPr>
          <w:rFonts w:ascii="Calibri" w:hAnsi="Calibri"/>
          <w:b/>
          <w:color w:val="0F172A"/>
          <w:sz w:val="21"/>
        </w:rPr>
        <w:t>Phase 26: University LMS Integration (Canvas / Moodle / Blackboard):</w:t>
      </w:r>
    </w:p>
    <w:p>
      <w:pPr>
        <w:pStyle w:val="ListBullet"/>
        <w:spacing w:before="20" w:after="40"/>
      </w:pPr>
      <w:r>
        <w:rPr>
          <w:rFonts w:ascii="Calibri" w:hAnsi="Calibri"/>
          <w:color w:val="1E293B"/>
          <w:sz w:val="21"/>
        </w:rPr>
        <w:t>Implement LTI 1.3 / OAuth 2.0 protocol integration to sync student rosters and export placement readiness scores directly into university gradebooks.</w:t>
      </w:r>
    </w:p>
    <w:p>
      <w:pPr>
        <w:pStyle w:val="ListBullet"/>
        <w:spacing w:before="20" w:after="40"/>
      </w:pPr>
      <w:r>
        <w:rPr>
          <w:rFonts w:ascii="Calibri" w:hAnsi="Calibri"/>
          <w:b/>
          <w:color w:val="0F172A"/>
          <w:sz w:val="21"/>
        </w:rPr>
        <w:t>Phase 27: Real-Time WebRTC Audio Streaming with Live Sentiment Waveforms:</w:t>
      </w:r>
    </w:p>
    <w:p>
      <w:pPr>
        <w:pStyle w:val="ListBullet"/>
        <w:spacing w:before="20" w:after="40"/>
      </w:pPr>
      <w:r>
        <w:rPr>
          <w:rFonts w:ascii="Calibri" w:hAnsi="Calibri"/>
          <w:color w:val="1E293B"/>
          <w:sz w:val="21"/>
        </w:rPr>
        <w:t>Enhance the voice simulator with full-duplex low-latency audio streaming and real-time vocal pitch and stress heatmaps.</w:t>
      </w:r>
    </w:p>
    <w:p>
      <w:pPr>
        <w:pStyle w:val="ListBullet"/>
        <w:spacing w:before="20" w:after="40"/>
      </w:pPr>
      <w:r>
        <w:rPr>
          <w:rFonts w:ascii="Calibri" w:hAnsi="Calibri"/>
          <w:b/>
          <w:color w:val="0F172A"/>
          <w:sz w:val="21"/>
        </w:rPr>
        <w:t>Phase 28: Automated Corporate Recruiter Dispatch &amp; ATS Webhooks:</w:t>
      </w:r>
    </w:p>
    <w:p>
      <w:pPr>
        <w:pStyle w:val="ListBullet"/>
        <w:spacing w:before="20" w:after="40"/>
      </w:pPr>
      <w:r>
        <w:rPr>
          <w:rFonts w:ascii="Calibri" w:hAnsi="Calibri"/>
          <w:color w:val="1E293B"/>
          <w:sz w:val="21"/>
        </w:rPr>
        <w:t>Automated webhook integration with Greenhouse, Lever, and Workday for direct candidate dossier dispatch.</w:t>
      </w:r>
    </w:p>
    <w:p>
      <w:pPr>
        <w:pStyle w:val="ListBullet"/>
        <w:spacing w:before="20" w:after="40"/>
      </w:pPr>
      <w:r>
        <w:rPr>
          <w:rFonts w:ascii="Calibri" w:hAnsi="Calibri"/>
          <w:b/>
          <w:color w:val="0F172A"/>
          <w:sz w:val="21"/>
        </w:rPr>
        <w:t>Phase 29: Fine-Tuned Domain LLM Adapters for Specialized Verticals:</w:t>
      </w:r>
    </w:p>
    <w:p>
      <w:pPr>
        <w:pStyle w:val="ListBullet"/>
        <w:spacing w:before="20" w:after="40"/>
      </w:pPr>
      <w:r>
        <w:rPr>
          <w:rFonts w:ascii="Calibri" w:hAnsi="Calibri"/>
          <w:color w:val="1E293B"/>
          <w:sz w:val="21"/>
        </w:rPr>
        <w:t>PEFT / LoRA adapters fine-tuned on quantitative finance, healthcare digital transformation, and corporate law interview rubrics.</w:t>
      </w:r>
    </w:p>
    <w:p>
      <w:pPr>
        <w:spacing w:before="200" w:after="60"/>
      </w:pPr>
      <w:r>
        <w:rPr>
          <w:rFonts w:ascii="Calibri" w:hAnsi="Calibri"/>
          <w:b/>
          <w:color w:val="2563EB"/>
          <w:sz w:val="25"/>
        </w:rPr>
        <w:t>Where to Resume Next</w:t>
      </w:r>
    </w:p>
    <w:p>
      <w:pPr>
        <w:pStyle w:val="ListNumber"/>
        <w:spacing w:before="20" w:after="40"/>
      </w:pPr>
      <w:r>
        <w:rPr>
          <w:rFonts w:ascii="Calibri" w:hAnsi="Calibri"/>
          <w:color w:val="1E293B"/>
          <w:sz w:val="21"/>
        </w:rPr>
        <w:t xml:space="preserve">Launch app: </w:t>
      </w:r>
      <w:r>
        <w:rPr>
          <w:rFonts w:ascii="Consolas" w:hAnsi="Consolas"/>
          <w:color w:val="0F5182"/>
          <w:sz w:val="19"/>
        </w:rPr>
        <w:t>launch.bat</w:t>
      </w:r>
      <w:r>
        <w:rPr>
          <w:rFonts w:ascii="Calibri" w:hAnsi="Calibri"/>
          <w:color w:val="1E293B"/>
          <w:sz w:val="21"/>
        </w:rPr>
        <w:t xml:space="preserve"> or </w:t>
      </w:r>
      <w:r>
        <w:rPr>
          <w:rFonts w:ascii="Consolas" w:hAnsi="Consolas"/>
          <w:color w:val="0F5182"/>
          <w:sz w:val="19"/>
        </w:rPr>
        <w:t>.\.venv\Scripts\python.exe -m streamlit run frontend/app.py</w:t>
      </w:r>
      <w:r>
        <w:rPr>
          <w:rFonts w:ascii="Calibri" w:hAnsi="Calibri"/>
          <w:color w:val="1E293B"/>
          <w:sz w:val="21"/>
        </w:rPr>
        <w:t>.</w:t>
      </w:r>
    </w:p>
    <w:p>
      <w:pPr>
        <w:pStyle w:val="ListNumber"/>
        <w:spacing w:before="20" w:after="40"/>
      </w:pPr>
      <w:r>
        <w:rPr>
          <w:rFonts w:ascii="Calibri" w:hAnsi="Calibri"/>
          <w:color w:val="1E293B"/>
          <w:sz w:val="21"/>
        </w:rPr>
        <w:t xml:space="preserve">Supply your Gemini API key in Step 1 and activate. The system auto-selects </w:t>
      </w:r>
      <w:r>
        <w:rPr>
          <w:rFonts w:ascii="Consolas" w:hAnsi="Consolas"/>
          <w:color w:val="0F5182"/>
          <w:sz w:val="19"/>
        </w:rPr>
        <w:t>gemini-2.5-flash</w:t>
      </w:r>
      <w:r>
        <w:rPr>
          <w:rFonts w:ascii="Calibri" w:hAnsi="Calibri"/>
          <w:color w:val="1E293B"/>
          <w:sz w:val="21"/>
        </w:rPr>
        <w:t xml:space="preserve"> or the best available cascade model with zero 404 errors.</w:t>
      </w:r>
    </w:p>
    <w:p>
      <w:pPr>
        <w:pStyle w:val="ListNumber"/>
        <w:spacing w:before="20" w:after="40"/>
      </w:pPr>
      <w:r>
        <w:rPr>
          <w:rFonts w:ascii="Calibri" w:hAnsi="Calibri"/>
          <w:color w:val="1E293B"/>
          <w:sz w:val="21"/>
        </w:rPr>
        <w:t>Validate dual onboarding modes:</w:t>
      </w:r>
    </w:p>
    <w:p>
      <w:pPr>
        <w:pStyle w:val="ListBullet"/>
        <w:spacing w:before="20" w:after="40"/>
      </w:pPr>
      <w:r>
        <w:rPr>
          <w:rFonts w:ascii="Calibri" w:hAnsi="Calibri"/>
          <w:color w:val="1E293B"/>
          <w:sz w:val="21"/>
        </w:rPr>
        <w:t xml:space="preserve">Option 1: Click </w:t>
      </w:r>
      <w:r>
        <w:rPr>
          <w:rFonts w:ascii="Calibri" w:hAnsi="Calibri"/>
          <w:i/>
          <w:color w:val="334155"/>
          <w:sz w:val="21"/>
        </w:rPr>
        <w:t>"⚡ Load Demo: Fit &amp; Question Bank Only (~10s)"</w:t>
      </w:r>
      <w:r>
        <w:rPr>
          <w:rFonts w:ascii="Calibri" w:hAnsi="Calibri"/>
          <w:color w:val="1E293B"/>
          <w:sz w:val="21"/>
        </w:rPr>
        <w:t xml:space="preserve"> or upload files and run </w:t>
      </w:r>
      <w:r>
        <w:rPr>
          <w:rFonts w:ascii="Calibri" w:hAnsi="Calibri"/>
          <w:i/>
          <w:color w:val="334155"/>
          <w:sz w:val="21"/>
        </w:rPr>
        <w:t>"🎯 Run Strategic Fit &amp; Question Bank Alone"</w:t>
      </w:r>
      <w:r>
        <w:rPr>
          <w:rFonts w:ascii="Calibri" w:hAnsi="Calibri"/>
          <w:color w:val="1E293B"/>
          <w:sz w:val="21"/>
        </w:rPr>
        <w:t>.</w:t>
      </w:r>
    </w:p>
    <w:p>
      <w:pPr>
        <w:pStyle w:val="ListBullet"/>
        <w:spacing w:before="20" w:after="40"/>
      </w:pPr>
      <w:r>
        <w:rPr>
          <w:rFonts w:ascii="Calibri" w:hAnsi="Calibri"/>
          <w:color w:val="1E293B"/>
          <w:sz w:val="21"/>
        </w:rPr>
        <w:t xml:space="preserve">Option 2: Click </w:t>
      </w:r>
      <w:r>
        <w:rPr>
          <w:rFonts w:ascii="Calibri" w:hAnsi="Calibri"/>
          <w:i/>
          <w:color w:val="334155"/>
          <w:sz w:val="21"/>
        </w:rPr>
        <w:t>"🚀 Load Demo: Complete Pipeline (~35s)"</w:t>
      </w:r>
      <w:r>
        <w:rPr>
          <w:rFonts w:ascii="Calibri" w:hAnsi="Calibri"/>
          <w:color w:val="1E293B"/>
          <w:sz w:val="21"/>
        </w:rPr>
        <w:t xml:space="preserve"> or upload files and run </w:t>
      </w:r>
      <w:r>
        <w:rPr>
          <w:rFonts w:ascii="Calibri" w:hAnsi="Calibri"/>
          <w:i/>
          <w:color w:val="334155"/>
          <w:sz w:val="21"/>
        </w:rPr>
        <w:t>"🚀 Perform Complete Analysis (Start till End)"</w:t>
      </w:r>
      <w:r>
        <w:rPr>
          <w:rFonts w:ascii="Calibri" w:hAnsi="Calibri"/>
          <w:color w:val="1E293B"/>
          <w:sz w:val="21"/>
        </w:rPr>
        <w:t>.</w:t>
      </w:r>
    </w:p>
    <w:p>
      <w:pPr>
        <w:pStyle w:val="ListNumber"/>
        <w:spacing w:before="20" w:after="40"/>
      </w:pPr>
      <w:r>
        <w:rPr>
          <w:rFonts w:ascii="Calibri" w:hAnsi="Calibri"/>
          <w:color w:val="1E293B"/>
          <w:sz w:val="21"/>
        </w:rPr>
        <w:t xml:space="preserve">Inspect the new </w:t>
      </w:r>
      <w:r>
        <w:rPr>
          <w:rFonts w:ascii="Calibri" w:hAnsi="Calibri"/>
          <w:i/>
          <w:color w:val="334155"/>
          <w:sz w:val="21"/>
        </w:rPr>
        <w:t>"Multi-Agent Quality Verified: XX% • Enterprise Depth"</w:t>
      </w:r>
      <w:r>
        <w:rPr>
          <w:rFonts w:ascii="Calibri" w:hAnsi="Calibri"/>
          <w:color w:val="1E293B"/>
          <w:sz w:val="21"/>
        </w:rPr>
        <w:t xml:space="preserve"> badge in Step 2.</w:t>
      </w:r>
    </w:p>
    <w:p>
      <w:pPr>
        <w:pStyle w:val="ListNumber"/>
        <w:spacing w:before="20" w:after="40"/>
      </w:pPr>
      <w:r>
        <w:rPr>
          <w:rFonts w:ascii="Calibri" w:hAnsi="Calibri"/>
          <w:color w:val="1E293B"/>
          <w:sz w:val="21"/>
        </w:rPr>
        <w:t xml:space="preserve">Run automated test suite: </w:t>
      </w:r>
      <w:r>
        <w:rPr>
          <w:rFonts w:ascii="Consolas" w:hAnsi="Consolas"/>
          <w:color w:val="0F5182"/>
          <w:sz w:val="19"/>
        </w:rPr>
        <w:t>.\.venv\Scripts\python.exe -m unittest discover tests</w:t>
      </w:r>
      <w:r>
        <w:rPr>
          <w:rFonts w:ascii="Calibri" w:hAnsi="Calibri"/>
          <w:color w:val="1E293B"/>
          <w:sz w:val="21"/>
        </w:rPr>
        <w:t xml:space="preserve"> (98 tests passing in 229s).</w:t>
      </w:r>
    </w:p>
    <w:p>
      <w:pPr>
        <w:pStyle w:val="ListNumber"/>
        <w:spacing w:before="20" w:after="40"/>
      </w:pPr>
      <w:r>
        <w:rPr>
          <w:rFonts w:ascii="Calibri" w:hAnsi="Calibri"/>
          <w:color w:val="1E293B"/>
          <w:sz w:val="21"/>
        </w:rPr>
        <w:t xml:space="preserve">Proceed to </w:t>
      </w:r>
      <w:r>
        <w:rPr>
          <w:rFonts w:ascii="Calibri" w:hAnsi="Calibri"/>
          <w:b/>
          <w:color w:val="0F172A"/>
          <w:sz w:val="21"/>
        </w:rPr>
        <w:t>Phase 26</w:t>
      </w:r>
      <w:r>
        <w:rPr>
          <w:rFonts w:ascii="Calibri" w:hAnsi="Calibri"/>
          <w:color w:val="1E293B"/>
          <w:sz w:val="21"/>
        </w:rPr>
        <w:t xml:space="preserve"> (University LMS Integration) or </w:t>
      </w:r>
      <w:r>
        <w:rPr>
          <w:rFonts w:ascii="Calibri" w:hAnsi="Calibri"/>
          <w:b/>
          <w:color w:val="0F172A"/>
          <w:sz w:val="21"/>
        </w:rPr>
        <w:t>Phase 27</w:t>
      </w:r>
      <w:r>
        <w:rPr>
          <w:rFonts w:ascii="Calibri" w:hAnsi="Calibri"/>
          <w:color w:val="1E293B"/>
          <w:sz w:val="21"/>
        </w:rPr>
        <w:t xml:space="preserve"> (WebRTC Voice Waveforms).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