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添加单个会员数据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批量添加会员数据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编辑会员数据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删除会员数据(包括批量)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查找会员数据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添加AccessLog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删除AccessLog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查找AccessLog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添加单个会员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批量添加会员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addMemberBatch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编辑会员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editMember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删除会员，可删除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个或多个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ids){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查找会员数据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会员数据条件查询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getMembers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添加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addAccessLog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删除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，可删除一条或者多条记录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：成功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返回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：失败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Integer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deleteAccessLogs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[] ids){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6897BB"/>
          <w:sz w:val="16"/>
          <w:szCs w:val="16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getAccessLogById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获取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列表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getAccessLogList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huangzhijin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6"/>
          <w:szCs w:val="16"/>
          <w:shd w:val="clear" w:fill="2B2B2B"/>
        </w:rPr>
        <w:t>根据类型查找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>AccessLog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t xml:space="preserve"> */</w:t>
      </w:r>
      <w:r>
        <w:rPr>
          <w:rFonts w:hint="default" w:ascii="DejaVu Sans Mono" w:hAnsi="DejaVu Sans Mono" w:eastAsia="DejaVu Sans Mono" w:cs="DejaVu Sans Mono"/>
          <w:i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List&lt;Map&lt;String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Object&gt;&gt; </w:t>
      </w:r>
      <w:r>
        <w:rPr>
          <w:rFonts w:hint="default" w:ascii="DejaVu Sans Mono" w:hAnsi="DejaVu Sans Mono" w:eastAsia="DejaVu Sans Mono" w:cs="DejaVu Sans Mono"/>
          <w:color w:val="FFC66D"/>
          <w:sz w:val="16"/>
          <w:szCs w:val="16"/>
          <w:shd w:val="clear" w:fill="2B2B2B"/>
        </w:rPr>
        <w:t>getAccessLogsByType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(Integer type){</w:t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t>return null;</w:t>
      </w:r>
      <w:r>
        <w:rPr>
          <w:rFonts w:hint="default" w:ascii="DejaVu Sans Mono" w:hAnsi="DejaVu Sans Mono" w:eastAsia="DejaVu Sans Mono" w:cs="DejaVu Sans Mono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6"/>
          <w:szCs w:val="16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61ED0"/>
    <w:rsid w:val="1EA5522A"/>
    <w:rsid w:val="25C86D0B"/>
    <w:rsid w:val="2B002CCB"/>
    <w:rsid w:val="51E75941"/>
    <w:rsid w:val="51EC4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yangjie</dc:creator>
  <cp:lastModifiedBy>kim</cp:lastModifiedBy>
  <dcterms:modified xsi:type="dcterms:W3CDTF">2019-06-11T08:50:03Z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