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0B1F3A"/>
          <w:sz w:val="40"/>
          <w:szCs w:val="40"/>
        </w:rPr>
        <w:t xml:space="preserve">Gateway Management Services</w:t>
      </w:r>
    </w:p>
    <w:p>
      <w:pPr>
        <w:spacing w:after="60"/>
      </w:pPr>
      <w:r>
        <w:rPr>
          <w:rFonts w:ascii="Arial" w:cs="Arial" w:eastAsia="Arial" w:hAnsi="Arial"/>
          <w:b/>
          <w:bCs/>
          <w:color w:val="B45309"/>
          <w:sz w:val="26"/>
          <w:szCs w:val="26"/>
        </w:rPr>
        <w:t xml:space="preserve">Dashboard Data Validation Summary</w:t>
      </w:r>
    </w:p>
    <w:p>
      <w:pPr>
        <w:spacing w:after="160"/>
      </w:pPr>
      <w:r>
        <w:rPr>
          <w:rFonts w:ascii="Arial" w:cs="Arial" w:eastAsia="Arial" w:hAnsi="Arial"/>
          <w:color w:val="5B6470"/>
          <w:sz w:val="19"/>
          <w:szCs w:val="19"/>
        </w:rPr>
        <w:t xml:space="preserve">Reporting period: </w:t>
      </w:r>
      <w:r>
        <w:rPr>
          <w:rFonts w:ascii="Arial" w:cs="Arial" w:eastAsia="Arial" w:hAnsi="Arial"/>
          <w:b/>
          <w:bCs/>
          <w:color w:val="0B1F3A"/>
          <w:sz w:val="19"/>
          <w:szCs w:val="19"/>
        </w:rPr>
        <w:t xml:space="preserve">May 2026</w:t>
      </w:r>
      <w:r>
        <w:rPr>
          <w:rFonts w:ascii="Arial" w:cs="Arial" w:eastAsia="Arial" w:hAnsi="Arial"/>
          <w:color w:val="5B6470"/>
          <w:sz w:val="19"/>
          <w:szCs w:val="19"/>
        </w:rPr>
        <w:t xml:space="preserve">     Data as of: </w:t>
      </w:r>
      <w:r>
        <w:rPr>
          <w:rFonts w:ascii="Arial" w:cs="Arial" w:eastAsia="Arial" w:hAnsi="Arial"/>
          <w:b/>
          <w:bCs/>
          <w:color w:val="0B1F3A"/>
          <w:sz w:val="19"/>
          <w:szCs w:val="19"/>
        </w:rPr>
        <w:t xml:space="preserve">June 10, 2026</w:t>
      </w:r>
    </w:p>
    <w:p>
      <w:pPr>
        <w:pBdr>
          <w:bottom w:val="single" w:color="B45309" w:sz="10" w:space="1"/>
        </w:pBdr>
        <w:spacing w:after="160"/>
      </w:pPr>
    </w:p>
    <w:p>
      <w:pPr>
        <w:spacing w:after="60"/>
      </w:pPr>
      <w:r>
        <w:rPr>
          <w:rFonts w:ascii="Arial" w:cs="Arial" w:eastAsia="Arial" w:hAnsi="Arial"/>
          <w:b/>
          <w:bCs/>
          <w:color w:val="0B1F3A"/>
          <w:sz w:val="22"/>
          <w:szCs w:val="22"/>
        </w:rPr>
        <w:t xml:space="preserve">Purpose</w:t>
      </w:r>
    </w:p>
    <w:p>
      <w:pPr>
        <w:spacing w:after="160"/>
      </w:pPr>
      <w:r>
        <w:rPr>
          <w:rFonts w:ascii="Arial" w:cs="Arial" w:eastAsia="Arial" w:hAnsi="Arial"/>
          <w:color w:val="1F2937"/>
          <w:sz w:val="19"/>
          <w:szCs w:val="19"/>
        </w:rPr>
        <w:t xml:space="preserve">Every figure shown on the dashboard is calculated directly from your RealPage / OneSite report exports — there are no manual entries or adjustments. This document walks through eight representative figures, showing the exact source report, where the number comes from in that report, and the simple math behind it. Each result is confirmed against what appears on the dashboard.</w:t>
      </w:r>
    </w:p>
    <w:p>
      <w:pPr>
        <w:spacing w:after="80"/>
      </w:pPr>
      <w:r>
        <w:rPr>
          <w:rFonts w:ascii="Arial" w:cs="Arial" w:eastAsia="Arial" w:hAnsi="Arial"/>
          <w:b/>
          <w:bCs/>
          <w:color w:val="0B1F3A"/>
          <w:sz w:val="22"/>
          <w:szCs w:val="22"/>
        </w:rPr>
        <w:t xml:space="preserve">Where the data comes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60"/>
        <w:gridCol w:w="3200"/>
      </w:tblGrid>
      <w:tr>
        <w:trPr>
          <w:tblHeader/>
        </w:trPr>
        <w:tc>
          <w:tcPr>
            <w:tcW w:type="dxa" w:w="2900"/>
            <w:tcBorders>
              <w:top w:val="single" w:color="CBD5E1" w:sz="4"/>
              <w:left w:val="single" w:color="CBD5E1" w:sz="4"/>
              <w:bottom w:val="single" w:color="CBD5E1" w:sz="4"/>
              <w:right w:val="single" w:color="CBD5E1" w:sz="4"/>
            </w:tcBorders>
            <w:shd w:fill="0B1F3A" w:val="clear"/>
            <w:tcMar>
              <w:top w:type="dxa" w:w="70"/>
              <w:left w:type="dxa" w:w="120"/>
              <w:bottom w:type="dxa" w:w="70"/>
              <w:right w:type="dxa" w:w="120"/>
            </w:tcMar>
          </w:tcPr>
          <w:p>
            <w:r>
              <w:rPr>
                <w:rFonts w:ascii="Arial" w:cs="Arial" w:eastAsia="Arial" w:hAnsi="Arial"/>
                <w:b/>
                <w:bCs/>
                <w:color w:val="FFFFFF"/>
                <w:sz w:val="18"/>
                <w:szCs w:val="18"/>
              </w:rPr>
              <w:t xml:space="preserve">Report</w:t>
            </w:r>
          </w:p>
        </w:tc>
        <w:tc>
          <w:tcPr>
            <w:tcW w:type="dxa" w:w="3260"/>
            <w:tcBorders>
              <w:top w:val="single" w:color="CBD5E1" w:sz="4"/>
              <w:left w:val="single" w:color="CBD5E1" w:sz="4"/>
              <w:bottom w:val="single" w:color="CBD5E1" w:sz="4"/>
              <w:right w:val="single" w:color="CBD5E1" w:sz="4"/>
            </w:tcBorders>
            <w:shd w:fill="0B1F3A" w:val="clear"/>
            <w:tcMar>
              <w:top w:type="dxa" w:w="70"/>
              <w:left w:type="dxa" w:w="120"/>
              <w:bottom w:type="dxa" w:w="70"/>
              <w:right w:type="dxa" w:w="120"/>
            </w:tcMar>
          </w:tcPr>
          <w:p>
            <w:r>
              <w:rPr>
                <w:rFonts w:ascii="Arial" w:cs="Arial" w:eastAsia="Arial" w:hAnsi="Arial"/>
                <w:b/>
                <w:bCs/>
                <w:color w:val="FFFFFF"/>
                <w:sz w:val="18"/>
                <w:szCs w:val="18"/>
              </w:rPr>
              <w:t xml:space="preserve">File name</w:t>
            </w:r>
          </w:p>
        </w:tc>
        <w:tc>
          <w:tcPr>
            <w:tcW w:type="dxa" w:w="3200"/>
            <w:tcBorders>
              <w:top w:val="single" w:color="CBD5E1" w:sz="4"/>
              <w:left w:val="single" w:color="CBD5E1" w:sz="4"/>
              <w:bottom w:val="single" w:color="CBD5E1" w:sz="4"/>
              <w:right w:val="single" w:color="CBD5E1" w:sz="4"/>
            </w:tcBorders>
            <w:shd w:fill="0B1F3A" w:val="clear"/>
            <w:tcMar>
              <w:top w:type="dxa" w:w="70"/>
              <w:left w:type="dxa" w:w="120"/>
              <w:bottom w:type="dxa" w:w="70"/>
              <w:right w:type="dxa" w:w="120"/>
            </w:tcMar>
          </w:tcPr>
          <w:p>
            <w:r>
              <w:rPr>
                <w:rFonts w:ascii="Arial" w:cs="Arial" w:eastAsia="Arial" w:hAnsi="Arial"/>
                <w:b/>
                <w:bCs/>
                <w:color w:val="FFFFFF"/>
                <w:sz w:val="18"/>
                <w:szCs w:val="18"/>
              </w:rPr>
              <w:t xml:space="preserve">Feeds these figures</w:t>
            </w:r>
          </w:p>
        </w:tc>
      </w:tr>
      <w:tr>
        <w:tc>
          <w:tcPr>
            <w:tcW w:type="dxa" w:w="2900"/>
            <w:tcBorders>
              <w:top w:val="single" w:color="CBD5E1" w:sz="4"/>
              <w:left w:val="single" w:color="CBD5E1" w:sz="4"/>
              <w:bottom w:val="single" w:color="CBD5E1" w:sz="4"/>
              <w:right w:val="single" w:color="CBD5E1" w:sz="4"/>
            </w:tcBorders>
            <w:tcMar>
              <w:top w:type="dxa" w:w="60"/>
              <w:left w:type="dxa" w:w="120"/>
              <w:bottom w:type="dxa" w:w="60"/>
              <w:right w:type="dxa" w:w="120"/>
            </w:tcMar>
          </w:tcPr>
          <w:p>
            <w:r>
              <w:rPr>
                <w:rFonts w:ascii="Arial" w:cs="Arial" w:eastAsia="Arial" w:hAnsi="Arial"/>
                <w:color w:val="1F2937"/>
                <w:sz w:val="18"/>
                <w:szCs w:val="18"/>
              </w:rPr>
              <w:t xml:space="preserve">General Ledger (Excel)</w:t>
            </w:r>
          </w:p>
        </w:tc>
        <w:tc>
          <w:tcPr>
            <w:tcW w:type="dxa" w:w="3260"/>
            <w:tcBorders>
              <w:top w:val="single" w:color="CBD5E1" w:sz="4"/>
              <w:left w:val="single" w:color="CBD5E1" w:sz="4"/>
              <w:bottom w:val="single" w:color="CBD5E1" w:sz="4"/>
              <w:right w:val="single" w:color="CBD5E1" w:sz="4"/>
            </w:tcBorders>
            <w:tcMar>
              <w:top w:type="dxa" w:w="60"/>
              <w:left w:type="dxa" w:w="120"/>
              <w:bottom w:type="dxa" w:w="60"/>
              <w:right w:type="dxa" w:w="120"/>
            </w:tcMar>
          </w:tcPr>
          <w:p>
            <w:r>
              <w:rPr>
                <w:rFonts w:ascii="Arial" w:cs="Arial" w:eastAsia="Arial" w:hAnsi="Arial"/>
                <w:color w:val="1F2937"/>
                <w:sz w:val="18"/>
                <w:szCs w:val="18"/>
              </w:rPr>
              <w:t xml:space="preserve">General_Ledger_Report.xlsx</w:t>
            </w:r>
          </w:p>
        </w:tc>
        <w:tc>
          <w:tcPr>
            <w:tcW w:type="dxa" w:w="3200"/>
            <w:tcBorders>
              <w:top w:val="single" w:color="CBD5E1" w:sz="4"/>
              <w:left w:val="single" w:color="CBD5E1" w:sz="4"/>
              <w:bottom w:val="single" w:color="CBD5E1" w:sz="4"/>
              <w:right w:val="single" w:color="CBD5E1" w:sz="4"/>
            </w:tcBorders>
            <w:tcMar>
              <w:top w:type="dxa" w:w="60"/>
              <w:left w:type="dxa" w:w="120"/>
              <w:bottom w:type="dxa" w:w="60"/>
              <w:right w:type="dxa" w:w="120"/>
            </w:tcMar>
          </w:tcPr>
          <w:p>
            <w:r>
              <w:rPr>
                <w:rFonts w:ascii="Arial" w:cs="Arial" w:eastAsia="Arial" w:hAnsi="Arial"/>
                <w:color w:val="1F2937"/>
                <w:sz w:val="18"/>
                <w:szCs w:val="18"/>
              </w:rPr>
              <w:t xml:space="preserve">Cash, reserves, payables, income, expenses, capital spend</w:t>
            </w:r>
          </w:p>
        </w:tc>
      </w:tr>
      <w:tr>
        <w:tc>
          <w:tcPr>
            <w:tcW w:type="dxa" w:w="2900"/>
            <w:tcBorders>
              <w:top w:val="single" w:color="CBD5E1" w:sz="4"/>
              <w:left w:val="single" w:color="CBD5E1" w:sz="4"/>
              <w:bottom w:val="single" w:color="CBD5E1" w:sz="4"/>
              <w:right w:val="single" w:color="CBD5E1" w:sz="4"/>
            </w:tcBorders>
            <w:shd w:fill="F4F7FB" w:val="clear"/>
            <w:tcMar>
              <w:top w:type="dxa" w:w="60"/>
              <w:left w:type="dxa" w:w="120"/>
              <w:bottom w:type="dxa" w:w="60"/>
              <w:right w:type="dxa" w:w="120"/>
            </w:tcMar>
          </w:tcPr>
          <w:p>
            <w:r>
              <w:rPr>
                <w:rFonts w:ascii="Arial" w:cs="Arial" w:eastAsia="Arial" w:hAnsi="Arial"/>
                <w:color w:val="1F2937"/>
                <w:sz w:val="18"/>
                <w:szCs w:val="18"/>
              </w:rPr>
              <w:t xml:space="preserve">Rent Roll Detail (Excel)</w:t>
            </w:r>
          </w:p>
        </w:tc>
        <w:tc>
          <w:tcPr>
            <w:tcW w:type="dxa" w:w="3260"/>
            <w:tcBorders>
              <w:top w:val="single" w:color="CBD5E1" w:sz="4"/>
              <w:left w:val="single" w:color="CBD5E1" w:sz="4"/>
              <w:bottom w:val="single" w:color="CBD5E1" w:sz="4"/>
              <w:right w:val="single" w:color="CBD5E1" w:sz="4"/>
            </w:tcBorders>
            <w:shd w:fill="F4F7FB" w:val="clear"/>
            <w:tcMar>
              <w:top w:type="dxa" w:w="60"/>
              <w:left w:type="dxa" w:w="120"/>
              <w:bottom w:type="dxa" w:w="60"/>
              <w:right w:type="dxa" w:w="120"/>
            </w:tcMar>
          </w:tcPr>
          <w:p>
            <w:r>
              <w:rPr>
                <w:rFonts w:ascii="Arial" w:cs="Arial" w:eastAsia="Arial" w:hAnsi="Arial"/>
                <w:color w:val="1F2937"/>
                <w:sz w:val="18"/>
                <w:szCs w:val="18"/>
              </w:rPr>
              <w:t xml:space="preserve">Rent+Roll+Detail+-+Excel.xls</w:t>
            </w:r>
          </w:p>
        </w:tc>
        <w:tc>
          <w:tcPr>
            <w:tcW w:type="dxa" w:w="3200"/>
            <w:tcBorders>
              <w:top w:val="single" w:color="CBD5E1" w:sz="4"/>
              <w:left w:val="single" w:color="CBD5E1" w:sz="4"/>
              <w:bottom w:val="single" w:color="CBD5E1" w:sz="4"/>
              <w:right w:val="single" w:color="CBD5E1" w:sz="4"/>
            </w:tcBorders>
            <w:shd w:fill="F4F7FB" w:val="clear"/>
            <w:tcMar>
              <w:top w:type="dxa" w:w="60"/>
              <w:left w:type="dxa" w:w="120"/>
              <w:bottom w:type="dxa" w:w="60"/>
              <w:right w:type="dxa" w:w="120"/>
            </w:tcMar>
          </w:tcPr>
          <w:p>
            <w:r>
              <w:rPr>
                <w:rFonts w:ascii="Arial" w:cs="Arial" w:eastAsia="Arial" w:hAnsi="Arial"/>
                <w:color w:val="1F2937"/>
                <w:sz w:val="18"/>
                <w:szCs w:val="18"/>
              </w:rPr>
              <w:t xml:space="preserve">Units, occupancy, lease dates, rent, deposits</w:t>
            </w:r>
          </w:p>
        </w:tc>
      </w:tr>
      <w:tr>
        <w:tc>
          <w:tcPr>
            <w:tcW w:type="dxa" w:w="2900"/>
            <w:tcBorders>
              <w:top w:val="single" w:color="CBD5E1" w:sz="4"/>
              <w:left w:val="single" w:color="CBD5E1" w:sz="4"/>
              <w:bottom w:val="single" w:color="CBD5E1" w:sz="4"/>
              <w:right w:val="single" w:color="CBD5E1" w:sz="4"/>
            </w:tcBorders>
            <w:tcMar>
              <w:top w:type="dxa" w:w="60"/>
              <w:left w:type="dxa" w:w="120"/>
              <w:bottom w:type="dxa" w:w="60"/>
              <w:right w:type="dxa" w:w="120"/>
            </w:tcMar>
          </w:tcPr>
          <w:p>
            <w:r>
              <w:rPr>
                <w:rFonts w:ascii="Arial" w:cs="Arial" w:eastAsia="Arial" w:hAnsi="Arial"/>
                <w:color w:val="1F2937"/>
                <w:sz w:val="18"/>
                <w:szCs w:val="18"/>
              </w:rPr>
              <w:t xml:space="preserve">Delinquent &amp; Prepaid (Excel)</w:t>
            </w:r>
          </w:p>
        </w:tc>
        <w:tc>
          <w:tcPr>
            <w:tcW w:type="dxa" w:w="3260"/>
            <w:tcBorders>
              <w:top w:val="single" w:color="CBD5E1" w:sz="4"/>
              <w:left w:val="single" w:color="CBD5E1" w:sz="4"/>
              <w:bottom w:val="single" w:color="CBD5E1" w:sz="4"/>
              <w:right w:val="single" w:color="CBD5E1" w:sz="4"/>
            </w:tcBorders>
            <w:tcMar>
              <w:top w:type="dxa" w:w="60"/>
              <w:left w:type="dxa" w:w="120"/>
              <w:bottom w:type="dxa" w:w="60"/>
              <w:right w:type="dxa" w:w="120"/>
            </w:tcMar>
          </w:tcPr>
          <w:p>
            <w:r>
              <w:rPr>
                <w:rFonts w:ascii="Arial" w:cs="Arial" w:eastAsia="Arial" w:hAnsi="Arial"/>
                <w:color w:val="1F2937"/>
                <w:sz w:val="18"/>
                <w:szCs w:val="18"/>
              </w:rPr>
              <w:t xml:space="preserve">Delinquent+and+Prepaid+-+Excel.xls</w:t>
            </w:r>
          </w:p>
        </w:tc>
        <w:tc>
          <w:tcPr>
            <w:tcW w:type="dxa" w:w="3200"/>
            <w:tcBorders>
              <w:top w:val="single" w:color="CBD5E1" w:sz="4"/>
              <w:left w:val="single" w:color="CBD5E1" w:sz="4"/>
              <w:bottom w:val="single" w:color="CBD5E1" w:sz="4"/>
              <w:right w:val="single" w:color="CBD5E1" w:sz="4"/>
            </w:tcBorders>
            <w:tcMar>
              <w:top w:type="dxa" w:w="60"/>
              <w:left w:type="dxa" w:w="120"/>
              <w:bottom w:type="dxa" w:w="60"/>
              <w:right w:type="dxa" w:w="120"/>
            </w:tcMar>
          </w:tcPr>
          <w:p>
            <w:r>
              <w:rPr>
                <w:rFonts w:ascii="Arial" w:cs="Arial" w:eastAsia="Arial" w:hAnsi="Arial"/>
                <w:color w:val="1F2937"/>
                <w:sz w:val="18"/>
                <w:szCs w:val="18"/>
              </w:rPr>
              <w:t xml:space="preserve">Resident &amp; subsidy balances, aging, late counts</w:t>
            </w:r>
          </w:p>
        </w:tc>
      </w:tr>
      <w:tr>
        <w:tc>
          <w:tcPr>
            <w:tcW w:type="dxa" w:w="2900"/>
            <w:tcBorders>
              <w:top w:val="single" w:color="CBD5E1" w:sz="4"/>
              <w:left w:val="single" w:color="CBD5E1" w:sz="4"/>
              <w:bottom w:val="single" w:color="CBD5E1" w:sz="4"/>
              <w:right w:val="single" w:color="CBD5E1" w:sz="4"/>
            </w:tcBorders>
            <w:shd w:fill="F4F7FB" w:val="clear"/>
            <w:tcMar>
              <w:top w:type="dxa" w:w="60"/>
              <w:left w:type="dxa" w:w="120"/>
              <w:bottom w:type="dxa" w:w="60"/>
              <w:right w:type="dxa" w:w="120"/>
            </w:tcMar>
          </w:tcPr>
          <w:p>
            <w:r>
              <w:rPr>
                <w:rFonts w:ascii="Arial" w:cs="Arial" w:eastAsia="Arial" w:hAnsi="Arial"/>
                <w:color w:val="1F2937"/>
                <w:sz w:val="18"/>
                <w:szCs w:val="18"/>
              </w:rPr>
              <w:t xml:space="preserve">Bank Deposit Details (Excel)</w:t>
            </w:r>
          </w:p>
        </w:tc>
        <w:tc>
          <w:tcPr>
            <w:tcW w:type="dxa" w:w="3260"/>
            <w:tcBorders>
              <w:top w:val="single" w:color="CBD5E1" w:sz="4"/>
              <w:left w:val="single" w:color="CBD5E1" w:sz="4"/>
              <w:bottom w:val="single" w:color="CBD5E1" w:sz="4"/>
              <w:right w:val="single" w:color="CBD5E1" w:sz="4"/>
            </w:tcBorders>
            <w:shd w:fill="F4F7FB" w:val="clear"/>
            <w:tcMar>
              <w:top w:type="dxa" w:w="60"/>
              <w:left w:type="dxa" w:w="120"/>
              <w:bottom w:type="dxa" w:w="60"/>
              <w:right w:type="dxa" w:w="120"/>
            </w:tcMar>
          </w:tcPr>
          <w:p>
            <w:r>
              <w:rPr>
                <w:rFonts w:ascii="Arial" w:cs="Arial" w:eastAsia="Arial" w:hAnsi="Arial"/>
                <w:color w:val="1F2937"/>
                <w:sz w:val="18"/>
                <w:szCs w:val="18"/>
              </w:rPr>
              <w:t xml:space="preserve">Bank+Deposit+Details+-+Excel.xls</w:t>
            </w:r>
          </w:p>
        </w:tc>
        <w:tc>
          <w:tcPr>
            <w:tcW w:type="dxa" w:w="3200"/>
            <w:tcBorders>
              <w:top w:val="single" w:color="CBD5E1" w:sz="4"/>
              <w:left w:val="single" w:color="CBD5E1" w:sz="4"/>
              <w:bottom w:val="single" w:color="CBD5E1" w:sz="4"/>
              <w:right w:val="single" w:color="CBD5E1" w:sz="4"/>
            </w:tcBorders>
            <w:shd w:fill="F4F7FB" w:val="clear"/>
            <w:tcMar>
              <w:top w:type="dxa" w:w="60"/>
              <w:left w:type="dxa" w:w="120"/>
              <w:bottom w:type="dxa" w:w="60"/>
              <w:right w:type="dxa" w:w="120"/>
            </w:tcMar>
          </w:tcPr>
          <w:p>
            <w:r>
              <w:rPr>
                <w:rFonts w:ascii="Arial" w:cs="Arial" w:eastAsia="Arial" w:hAnsi="Arial"/>
                <w:color w:val="1F2937"/>
                <w:sz w:val="18"/>
                <w:szCs w:val="18"/>
              </w:rPr>
              <w:t xml:space="preserve">Income drill-down detail</w:t>
            </w:r>
          </w:p>
        </w:tc>
      </w:tr>
    </w:tbl>
    <w:p>
      <w:pPr>
        <w:spacing w:after="200" w:before="80"/>
      </w:pPr>
      <w:r>
        <w:rPr>
          <w:rFonts w:ascii="Arial" w:cs="Arial" w:eastAsia="Arial" w:hAnsi="Arial"/>
          <w:i/>
          <w:iCs/>
          <w:color w:val="5B6470"/>
          <w:sz w:val="17"/>
          <w:szCs w:val="17"/>
        </w:rPr>
        <w:t xml:space="preserve">Note: each property has its own copy of these four reports. The examples below use Eagleview Apartments unless noted.</w:t>
      </w:r>
    </w:p>
    <w:p>
      <w:pPr>
        <w:spacing w:after="120"/>
      </w:pPr>
      <w:r>
        <w:rPr>
          <w:rFonts w:ascii="Arial" w:cs="Arial" w:eastAsia="Arial" w:hAnsi="Arial"/>
          <w:b/>
          <w:bCs/>
          <w:color w:val="0B1F3A"/>
          <w:sz w:val="24"/>
          <w:szCs w:val="24"/>
        </w:rPr>
        <w:t xml:space="preserve">Worked 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0B1F3A" w:val="clear"/>
            <w:tcMar>
              <w:top w:type="dxa" w:w="90"/>
              <w:left w:type="dxa" w:w="140"/>
              <w:bottom w:type="dxa" w:w="90"/>
              <w:right w:type="dxa" w:w="140"/>
            </w:tcMar>
          </w:tcPr>
          <w:p>
            <w:r>
              <w:rPr>
                <w:rFonts w:ascii="Arial" w:cs="Arial" w:eastAsia="Arial" w:hAnsi="Arial"/>
                <w:b/>
                <w:bCs/>
                <w:color w:val="FFFFFF"/>
                <w:sz w:val="22"/>
                <w:szCs w:val="22"/>
              </w:rPr>
              <w:t xml:space="preserve">1.  </w:t>
            </w:r>
            <w:r>
              <w:rPr>
                <w:rFonts w:ascii="Arial" w:cs="Arial" w:eastAsia="Arial" w:hAnsi="Arial"/>
                <w:b/>
                <w:bCs/>
                <w:color w:val="FFFFFF"/>
                <w:sz w:val="22"/>
                <w:szCs w:val="22"/>
              </w:rPr>
              <w:t xml:space="preserve">Operating Cash  —  $39,087</w:t>
            </w:r>
          </w:p>
          <w:p>
            <w:r>
              <w:rPr>
                <w:rFonts w:ascii="Arial" w:cs="Arial" w:eastAsia="Arial" w:hAnsi="Arial"/>
                <w:i/>
                <w:iCs/>
                <w:color w:val="C8D4E6"/>
                <w:sz w:val="17"/>
                <w:szCs w:val="17"/>
              </w:rPr>
              <w:t xml:space="preserve">Owner view → "Operating Cash" card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b/>
                <w:bCs/>
                <w:color w:val="0B1F3A"/>
                <w:sz w:val="19"/>
                <w:szCs w:val="19"/>
              </w:rPr>
              <w:t xml:space="preserve">Source</w:t>
            </w:r>
          </w:p>
        </w:tc>
        <w:tc>
          <w:tcPr>
            <w:tcW w:type="dxa" w:w="716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color w:val="1F2937"/>
                <w:sz w:val="19"/>
                <w:szCs w:val="19"/>
              </w:rPr>
              <w:t xml:space="preserve">General Ledger</w:t>
            </w:r>
            <w:r>
              <w:rPr>
                <w:rFonts w:ascii="Arial" w:cs="Arial" w:eastAsia="Arial" w:hAnsi="Arial"/>
                <w:color w:val="5B6470"/>
                <w:sz w:val="19"/>
                <w:szCs w:val="19"/>
              </w:rPr>
              <w:t xml:space="preserve">  →  account </w:t>
            </w:r>
            <w:r>
              <w:rPr>
                <w:rFonts w:ascii="Arial" w:cs="Arial" w:eastAsia="Arial" w:hAnsi="Arial"/>
                <w:b/>
                <w:bCs/>
                <w:color w:val="0B1F3A"/>
                <w:sz w:val="19"/>
                <w:szCs w:val="19"/>
              </w:rPr>
              <w:t xml:space="preserve">1116-1000</w:t>
            </w:r>
            <w:r>
              <w:rPr>
                <w:rFonts w:ascii="Arial" w:cs="Arial" w:eastAsia="Arial" w:hAnsi="Arial"/>
                <w:color w:val="5B6470"/>
                <w:sz w:val="19"/>
                <w:szCs w:val="19"/>
              </w:rPr>
              <w:t xml:space="preserve"> (Cash in Bank – Rental)</w:t>
            </w:r>
          </w:p>
        </w:tc>
      </w:tr>
      <w:tr>
        <w:tc>
          <w:tcPr>
            <w:tcW w:type="dxa" w:w="220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b/>
                <w:bCs/>
                <w:color w:val="0B1F3A"/>
                <w:sz w:val="19"/>
                <w:szCs w:val="19"/>
              </w:rPr>
              <w:t xml:space="preserve">In the file</w:t>
            </w:r>
          </w:p>
        </w:tc>
        <w:tc>
          <w:tcPr>
            <w:tcW w:type="dxa" w:w="716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color w:val="1F2937"/>
                <w:sz w:val="19"/>
                <w:szCs w:val="19"/>
              </w:rPr>
              <w:t xml:space="preserve">The "Totals" line for account 1116-1000 — the ending balance in the far-right Balance column.</w:t>
            </w:r>
          </w:p>
        </w:tc>
      </w:tr>
      <w:tr>
        <w:tc>
          <w:tcPr>
            <w:tcW w:type="dxa" w:w="220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b/>
                <w:bCs/>
                <w:color w:val="0B1F3A"/>
                <w:sz w:val="19"/>
                <w:szCs w:val="19"/>
              </w:rPr>
              <w:t xml:space="preserve">Calculation</w:t>
            </w:r>
          </w:p>
        </w:tc>
        <w:tc>
          <w:tcPr>
            <w:tcW w:type="dxa" w:w="716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color w:val="1F2937"/>
                <w:sz w:val="19"/>
                <w:szCs w:val="19"/>
              </w:rPr>
              <w:t xml:space="preserve">Ending balance of the cash account = $39,087.01.</w:t>
            </w:r>
          </w:p>
        </w:tc>
      </w:tr>
      <w:tr>
        <w:tc>
          <w:tcPr>
            <w:tcW w:type="dxa" w:w="2200"/>
            <w:tcBorders>
              <w:top w:val="single" w:color="CBD5E1" w:sz="4"/>
              <w:left w:val="single" w:color="CBD5E1" w:sz="4"/>
              <w:bottom w:val="single" w:color="CBD5E1" w:sz="4"/>
              <w:right w:val="single" w:color="CBD5E1" w:sz="4"/>
            </w:tcBorders>
            <w:shd w:fill="F4F7FB" w:val="clear"/>
            <w:tcMar>
              <w:top w:type="dxa" w:w="70"/>
              <w:left w:type="dxa" w:w="130"/>
              <w:bottom w:type="dxa" w:w="70"/>
              <w:right w:type="dxa" w:w="130"/>
            </w:tcMar>
            <w:vAlign w:val="center"/>
          </w:tcPr>
          <w:p>
            <w:r>
              <w:rPr>
                <w:rFonts w:ascii="Arial" w:cs="Arial" w:eastAsia="Arial" w:hAnsi="Arial"/>
                <w:b/>
                <w:bCs/>
                <w:color w:val="0B1F3A"/>
                <w:sz w:val="19"/>
                <w:szCs w:val="19"/>
              </w:rPr>
              <w:t xml:space="preserve">Result</w:t>
            </w:r>
          </w:p>
        </w:tc>
        <w:tc>
          <w:tcPr>
            <w:tcW w:type="dxa" w:w="7160"/>
            <w:tcBorders>
              <w:top w:val="single" w:color="CBD5E1" w:sz="4"/>
              <w:left w:val="single" w:color="CBD5E1" w:sz="4"/>
              <w:bottom w:val="single" w:color="CBD5E1" w:sz="4"/>
              <w:right w:val="single" w:color="CBD5E1" w:sz="4"/>
            </w:tcBorders>
            <w:shd w:fill="F4F7FB" w:val="clear"/>
            <w:tcMar>
              <w:top w:type="dxa" w:w="70"/>
              <w:left w:type="dxa" w:w="130"/>
              <w:bottom w:type="dxa" w:w="70"/>
              <w:right w:type="dxa" w:w="130"/>
            </w:tcMar>
            <w:vAlign w:val="center"/>
          </w:tcPr>
          <w:p>
            <w:r>
              <w:rPr>
                <w:rFonts w:ascii="Arial" w:cs="Arial" w:eastAsia="Arial" w:hAnsi="Arial"/>
                <w:b/>
                <w:bCs/>
                <w:color w:val="0B1F3A"/>
                <w:sz w:val="20"/>
                <w:szCs w:val="20"/>
              </w:rPr>
              <w:t xml:space="preserve">$39,087</w:t>
            </w:r>
            <w:r>
              <w:rPr>
                <w:rFonts w:ascii="Arial" w:cs="Arial" w:eastAsia="Arial" w:hAnsi="Arial"/>
                <w:b/>
                <w:bCs/>
                <w:color w:val="15803D"/>
                <w:sz w:val="19"/>
                <w:szCs w:val="19"/>
              </w:rPr>
              <w:t xml:space="preserve">  ✓ matches dashboard</w:t>
            </w:r>
          </w:p>
        </w:tc>
      </w:tr>
    </w:tbl>
    <w:p>
      <w:pPr>
        <w:spacing w:after="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0B1F3A" w:val="clear"/>
            <w:tcMar>
              <w:top w:type="dxa" w:w="90"/>
              <w:left w:type="dxa" w:w="140"/>
              <w:bottom w:type="dxa" w:w="90"/>
              <w:right w:type="dxa" w:w="140"/>
            </w:tcMar>
          </w:tcPr>
          <w:p>
            <w:r>
              <w:rPr>
                <w:rFonts w:ascii="Arial" w:cs="Arial" w:eastAsia="Arial" w:hAnsi="Arial"/>
                <w:b/>
                <w:bCs/>
                <w:color w:val="FFFFFF"/>
                <w:sz w:val="22"/>
                <w:szCs w:val="22"/>
              </w:rPr>
              <w:t xml:space="preserve">2.  </w:t>
            </w:r>
            <w:r>
              <w:rPr>
                <w:rFonts w:ascii="Arial" w:cs="Arial" w:eastAsia="Arial" w:hAnsi="Arial"/>
                <w:b/>
                <w:bCs/>
                <w:color w:val="FFFFFF"/>
                <w:sz w:val="22"/>
                <w:szCs w:val="22"/>
              </w:rPr>
              <w:t xml:space="preserve">Total Income  —  $26,618</w:t>
            </w:r>
          </w:p>
          <w:p>
            <w:r>
              <w:rPr>
                <w:rFonts w:ascii="Arial" w:cs="Arial" w:eastAsia="Arial" w:hAnsi="Arial"/>
                <w:i/>
                <w:iCs/>
                <w:color w:val="C8D4E6"/>
                <w:sz w:val="17"/>
                <w:szCs w:val="17"/>
              </w:rPr>
              <w:t xml:space="preserve">Owner view → "Total Income" card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b/>
                <w:bCs/>
                <w:color w:val="0B1F3A"/>
                <w:sz w:val="19"/>
                <w:szCs w:val="19"/>
              </w:rPr>
              <w:t xml:space="preserve">Source</w:t>
            </w:r>
          </w:p>
        </w:tc>
        <w:tc>
          <w:tcPr>
            <w:tcW w:type="dxa" w:w="716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color w:val="1F2937"/>
                <w:sz w:val="19"/>
                <w:szCs w:val="19"/>
              </w:rPr>
              <w:t xml:space="preserve">General Ledger</w:t>
            </w:r>
            <w:r>
              <w:rPr>
                <w:rFonts w:ascii="Arial" w:cs="Arial" w:eastAsia="Arial" w:hAnsi="Arial"/>
                <w:color w:val="5B6470"/>
                <w:sz w:val="19"/>
                <w:szCs w:val="19"/>
              </w:rPr>
              <w:t xml:space="preserve">  →  income accounts </w:t>
            </w:r>
            <w:r>
              <w:rPr>
                <w:rFonts w:ascii="Arial" w:cs="Arial" w:eastAsia="Arial" w:hAnsi="Arial"/>
                <w:b/>
                <w:bCs/>
                <w:color w:val="0B1F3A"/>
                <w:sz w:val="19"/>
                <w:szCs w:val="19"/>
              </w:rPr>
              <w:t xml:space="preserve">5120, 5121, 5311</w:t>
            </w:r>
          </w:p>
        </w:tc>
      </w:tr>
      <w:tr>
        <w:tc>
          <w:tcPr>
            <w:tcW w:type="dxa" w:w="220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b/>
                <w:bCs/>
                <w:color w:val="0B1F3A"/>
                <w:sz w:val="19"/>
                <w:szCs w:val="19"/>
              </w:rPr>
              <w:t xml:space="preserve">Calculation</w:t>
            </w:r>
          </w:p>
        </w:tc>
        <w:tc>
          <w:tcPr>
            <w:tcW w:type="dxa" w:w="716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color w:val="1F2937"/>
                <w:sz w:val="19"/>
                <w:szCs w:val="19"/>
              </w:rPr>
              <w:t xml:space="preserve">Resident rent (5120)  $6,517</w:t>
            </w:r>
          </w:p>
        </w:tc>
      </w:tr>
      <w:tr>
        <w:tc>
          <w:tcPr>
            <w:tcW w:type="dxa" w:w="220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b/>
                <w:bCs/>
                <w:color w:val="0B1F3A"/>
                <w:sz w:val="19"/>
                <w:szCs w:val="19"/>
              </w:rPr>
              <w:t xml:space="preserve"/>
            </w:r>
          </w:p>
        </w:tc>
        <w:tc>
          <w:tcPr>
            <w:tcW w:type="dxa" w:w="716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color w:val="1F2937"/>
                <w:sz w:val="19"/>
                <w:szCs w:val="19"/>
              </w:rPr>
              <w:t xml:space="preserve">+  Rental assistance / subsidy (5121)  $19,846</w:t>
            </w:r>
          </w:p>
        </w:tc>
      </w:tr>
      <w:tr>
        <w:tc>
          <w:tcPr>
            <w:tcW w:type="dxa" w:w="220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b/>
                <w:bCs/>
                <w:color w:val="0B1F3A"/>
                <w:sz w:val="19"/>
                <w:szCs w:val="19"/>
              </w:rPr>
              <w:t xml:space="preserve"/>
            </w:r>
          </w:p>
        </w:tc>
        <w:tc>
          <w:tcPr>
            <w:tcW w:type="dxa" w:w="716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color w:val="1F2937"/>
                <w:sz w:val="19"/>
                <w:szCs w:val="19"/>
              </w:rPr>
              <w:t xml:space="preserve">+  Miscellaneous / laundry (5311)  $255</w:t>
            </w:r>
          </w:p>
        </w:tc>
      </w:tr>
      <w:tr>
        <w:tc>
          <w:tcPr>
            <w:tcW w:type="dxa" w:w="220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b/>
                <w:bCs/>
                <w:color w:val="0B1F3A"/>
                <w:sz w:val="19"/>
                <w:szCs w:val="19"/>
              </w:rPr>
              <w:t xml:space="preserve"/>
            </w:r>
          </w:p>
        </w:tc>
        <w:tc>
          <w:tcPr>
            <w:tcW w:type="dxa" w:w="716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b/>
                <w:bCs/>
                <w:color w:val="0B1F3A"/>
                <w:sz w:val="19"/>
                <w:szCs w:val="19"/>
              </w:rPr>
              <w:t xml:space="preserve">=  $26,618</w:t>
            </w:r>
          </w:p>
        </w:tc>
      </w:tr>
      <w:tr>
        <w:tc>
          <w:tcPr>
            <w:tcW w:type="dxa" w:w="2200"/>
            <w:tcBorders>
              <w:top w:val="single" w:color="CBD5E1" w:sz="4"/>
              <w:left w:val="single" w:color="CBD5E1" w:sz="4"/>
              <w:bottom w:val="single" w:color="CBD5E1" w:sz="4"/>
              <w:right w:val="single" w:color="CBD5E1" w:sz="4"/>
            </w:tcBorders>
            <w:shd w:fill="F4F7FB" w:val="clear"/>
            <w:tcMar>
              <w:top w:type="dxa" w:w="70"/>
              <w:left w:type="dxa" w:w="130"/>
              <w:bottom w:type="dxa" w:w="70"/>
              <w:right w:type="dxa" w:w="130"/>
            </w:tcMar>
            <w:vAlign w:val="center"/>
          </w:tcPr>
          <w:p>
            <w:r>
              <w:rPr>
                <w:rFonts w:ascii="Arial" w:cs="Arial" w:eastAsia="Arial" w:hAnsi="Arial"/>
                <w:b/>
                <w:bCs/>
                <w:color w:val="0B1F3A"/>
                <w:sz w:val="19"/>
                <w:szCs w:val="19"/>
              </w:rPr>
              <w:t xml:space="preserve">Result</w:t>
            </w:r>
          </w:p>
        </w:tc>
        <w:tc>
          <w:tcPr>
            <w:tcW w:type="dxa" w:w="7160"/>
            <w:tcBorders>
              <w:top w:val="single" w:color="CBD5E1" w:sz="4"/>
              <w:left w:val="single" w:color="CBD5E1" w:sz="4"/>
              <w:bottom w:val="single" w:color="CBD5E1" w:sz="4"/>
              <w:right w:val="single" w:color="CBD5E1" w:sz="4"/>
            </w:tcBorders>
            <w:shd w:fill="F4F7FB" w:val="clear"/>
            <w:tcMar>
              <w:top w:type="dxa" w:w="70"/>
              <w:left w:type="dxa" w:w="130"/>
              <w:bottom w:type="dxa" w:w="70"/>
              <w:right w:type="dxa" w:w="130"/>
            </w:tcMar>
            <w:vAlign w:val="center"/>
          </w:tcPr>
          <w:p>
            <w:r>
              <w:rPr>
                <w:rFonts w:ascii="Arial" w:cs="Arial" w:eastAsia="Arial" w:hAnsi="Arial"/>
                <w:b/>
                <w:bCs/>
                <w:color w:val="0B1F3A"/>
                <w:sz w:val="20"/>
                <w:szCs w:val="20"/>
              </w:rPr>
              <w:t xml:space="preserve">$26,618</w:t>
            </w:r>
            <w:r>
              <w:rPr>
                <w:rFonts w:ascii="Arial" w:cs="Arial" w:eastAsia="Arial" w:hAnsi="Arial"/>
                <w:b/>
                <w:bCs/>
                <w:color w:val="15803D"/>
                <w:sz w:val="19"/>
                <w:szCs w:val="19"/>
              </w:rPr>
              <w:t xml:space="preserve">  ✓ matches dashboard</w:t>
            </w:r>
          </w:p>
        </w:tc>
      </w:tr>
    </w:tbl>
    <w:p>
      <w:pPr>
        <w:spacing w:after="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0B1F3A" w:val="clear"/>
            <w:tcMar>
              <w:top w:type="dxa" w:w="90"/>
              <w:left w:type="dxa" w:w="140"/>
              <w:bottom w:type="dxa" w:w="90"/>
              <w:right w:type="dxa" w:w="140"/>
            </w:tcMar>
          </w:tcPr>
          <w:p>
            <w:r>
              <w:rPr>
                <w:rFonts w:ascii="Arial" w:cs="Arial" w:eastAsia="Arial" w:hAnsi="Arial"/>
                <w:b/>
                <w:bCs/>
                <w:color w:val="FFFFFF"/>
                <w:sz w:val="22"/>
                <w:szCs w:val="22"/>
              </w:rPr>
              <w:t xml:space="preserve">3.  </w:t>
            </w:r>
            <w:r>
              <w:rPr>
                <w:rFonts w:ascii="Arial" w:cs="Arial" w:eastAsia="Arial" w:hAnsi="Arial"/>
                <w:b/>
                <w:bCs/>
                <w:color w:val="FFFFFF"/>
                <w:sz w:val="22"/>
                <w:szCs w:val="22"/>
              </w:rPr>
              <w:t xml:space="preserve">Occupancy Rate  —  100.0%</w:t>
            </w:r>
          </w:p>
          <w:p>
            <w:r>
              <w:rPr>
                <w:rFonts w:ascii="Arial" w:cs="Arial" w:eastAsia="Arial" w:hAnsi="Arial"/>
                <w:i/>
                <w:iCs/>
                <w:color w:val="C8D4E6"/>
                <w:sz w:val="17"/>
                <w:szCs w:val="17"/>
              </w:rPr>
              <w:t xml:space="preserve">Owner &amp; Operational views → "Occupancy" card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b/>
                <w:bCs/>
                <w:color w:val="0B1F3A"/>
                <w:sz w:val="19"/>
                <w:szCs w:val="19"/>
              </w:rPr>
              <w:t xml:space="preserve">Source</w:t>
            </w:r>
          </w:p>
        </w:tc>
        <w:tc>
          <w:tcPr>
            <w:tcW w:type="dxa" w:w="716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color w:val="1F2937"/>
                <w:sz w:val="19"/>
                <w:szCs w:val="19"/>
              </w:rPr>
              <w:t xml:space="preserve">Rent Roll Detail</w:t>
            </w:r>
            <w:r>
              <w:rPr>
                <w:rFonts w:ascii="Arial" w:cs="Arial" w:eastAsia="Arial" w:hAnsi="Arial"/>
                <w:color w:val="5B6470"/>
                <w:sz w:val="19"/>
                <w:szCs w:val="19"/>
              </w:rPr>
              <w:t xml:space="preserve">  →  "Unit/Lease Status" column</w:t>
            </w:r>
          </w:p>
        </w:tc>
      </w:tr>
      <w:tr>
        <w:tc>
          <w:tcPr>
            <w:tcW w:type="dxa" w:w="220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b/>
                <w:bCs/>
                <w:color w:val="0B1F3A"/>
                <w:sz w:val="19"/>
                <w:szCs w:val="19"/>
              </w:rPr>
              <w:t xml:space="preserve">In the file</w:t>
            </w:r>
          </w:p>
        </w:tc>
        <w:tc>
          <w:tcPr>
            <w:tcW w:type="dxa" w:w="716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color w:val="1F2937"/>
                <w:sz w:val="19"/>
                <w:szCs w:val="19"/>
              </w:rPr>
              <w:t xml:space="preserve">Count each unit once; a unit is occupied unless its status reads "Vacant".</w:t>
            </w:r>
          </w:p>
        </w:tc>
      </w:tr>
      <w:tr>
        <w:tc>
          <w:tcPr>
            <w:tcW w:type="dxa" w:w="220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b/>
                <w:bCs/>
                <w:color w:val="0B1F3A"/>
                <w:sz w:val="19"/>
                <w:szCs w:val="19"/>
              </w:rPr>
              <w:t xml:space="preserve">Calculation</w:t>
            </w:r>
          </w:p>
        </w:tc>
        <w:tc>
          <w:tcPr>
            <w:tcW w:type="dxa" w:w="716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color w:val="1F2937"/>
                <w:sz w:val="19"/>
                <w:szCs w:val="19"/>
              </w:rPr>
              <w:t xml:space="preserve">32 occupied ÷ 32 total units × 100 = 100.0%.</w:t>
            </w:r>
          </w:p>
        </w:tc>
      </w:tr>
      <w:tr>
        <w:tc>
          <w:tcPr>
            <w:tcW w:type="dxa" w:w="2200"/>
            <w:tcBorders>
              <w:top w:val="single" w:color="CBD5E1" w:sz="4"/>
              <w:left w:val="single" w:color="CBD5E1" w:sz="4"/>
              <w:bottom w:val="single" w:color="CBD5E1" w:sz="4"/>
              <w:right w:val="single" w:color="CBD5E1" w:sz="4"/>
            </w:tcBorders>
            <w:shd w:fill="F4F7FB" w:val="clear"/>
            <w:tcMar>
              <w:top w:type="dxa" w:w="70"/>
              <w:left w:type="dxa" w:w="130"/>
              <w:bottom w:type="dxa" w:w="70"/>
              <w:right w:type="dxa" w:w="130"/>
            </w:tcMar>
            <w:vAlign w:val="center"/>
          </w:tcPr>
          <w:p>
            <w:r>
              <w:rPr>
                <w:rFonts w:ascii="Arial" w:cs="Arial" w:eastAsia="Arial" w:hAnsi="Arial"/>
                <w:b/>
                <w:bCs/>
                <w:color w:val="0B1F3A"/>
                <w:sz w:val="19"/>
                <w:szCs w:val="19"/>
              </w:rPr>
              <w:t xml:space="preserve">Result</w:t>
            </w:r>
          </w:p>
        </w:tc>
        <w:tc>
          <w:tcPr>
            <w:tcW w:type="dxa" w:w="7160"/>
            <w:tcBorders>
              <w:top w:val="single" w:color="CBD5E1" w:sz="4"/>
              <w:left w:val="single" w:color="CBD5E1" w:sz="4"/>
              <w:bottom w:val="single" w:color="CBD5E1" w:sz="4"/>
              <w:right w:val="single" w:color="CBD5E1" w:sz="4"/>
            </w:tcBorders>
            <w:shd w:fill="F4F7FB" w:val="clear"/>
            <w:tcMar>
              <w:top w:type="dxa" w:w="70"/>
              <w:left w:type="dxa" w:w="130"/>
              <w:bottom w:type="dxa" w:w="70"/>
              <w:right w:type="dxa" w:w="130"/>
            </w:tcMar>
            <w:vAlign w:val="center"/>
          </w:tcPr>
          <w:p>
            <w:r>
              <w:rPr>
                <w:rFonts w:ascii="Arial" w:cs="Arial" w:eastAsia="Arial" w:hAnsi="Arial"/>
                <w:b/>
                <w:bCs/>
                <w:color w:val="0B1F3A"/>
                <w:sz w:val="20"/>
                <w:szCs w:val="20"/>
              </w:rPr>
              <w:t xml:space="preserve">100.0%  (32 / 32)</w:t>
            </w:r>
            <w:r>
              <w:rPr>
                <w:rFonts w:ascii="Arial" w:cs="Arial" w:eastAsia="Arial" w:hAnsi="Arial"/>
                <w:b/>
                <w:bCs/>
                <w:color w:val="15803D"/>
                <w:sz w:val="19"/>
                <w:szCs w:val="19"/>
              </w:rPr>
              <w:t xml:space="preserve">  ✓ matches dashboard</w:t>
            </w:r>
          </w:p>
        </w:tc>
      </w:tr>
    </w:tbl>
    <w:p>
      <w:pPr>
        <w:spacing w:after="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0B1F3A" w:val="clear"/>
            <w:tcMar>
              <w:top w:type="dxa" w:w="90"/>
              <w:left w:type="dxa" w:w="140"/>
              <w:bottom w:type="dxa" w:w="90"/>
              <w:right w:type="dxa" w:w="140"/>
            </w:tcMar>
          </w:tcPr>
          <w:p>
            <w:r>
              <w:rPr>
                <w:rFonts w:ascii="Arial" w:cs="Arial" w:eastAsia="Arial" w:hAnsi="Arial"/>
                <w:b/>
                <w:bCs/>
                <w:color w:val="FFFFFF"/>
                <w:sz w:val="22"/>
                <w:szCs w:val="22"/>
              </w:rPr>
              <w:t xml:space="preserve">4.  </w:t>
            </w:r>
            <w:r>
              <w:rPr>
                <w:rFonts w:ascii="Arial" w:cs="Arial" w:eastAsia="Arial" w:hAnsi="Arial"/>
                <w:b/>
                <w:bCs/>
                <w:color w:val="FFFFFF"/>
                <w:sz w:val="22"/>
                <w:szCs w:val="22"/>
              </w:rPr>
              <w:t xml:space="preserve">Reserve for Replacement  —  $104,719</w:t>
            </w:r>
          </w:p>
          <w:p>
            <w:r>
              <w:rPr>
                <w:rFonts w:ascii="Arial" w:cs="Arial" w:eastAsia="Arial" w:hAnsi="Arial"/>
                <w:i/>
                <w:iCs/>
                <w:color w:val="C8D4E6"/>
                <w:sz w:val="17"/>
                <w:szCs w:val="17"/>
              </w:rPr>
              <w:t xml:space="preserve">Owner view → "Reserve for Replacement" card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b/>
                <w:bCs/>
                <w:color w:val="0B1F3A"/>
                <w:sz w:val="19"/>
                <w:szCs w:val="19"/>
              </w:rPr>
              <w:t xml:space="preserve">Source</w:t>
            </w:r>
          </w:p>
        </w:tc>
        <w:tc>
          <w:tcPr>
            <w:tcW w:type="dxa" w:w="716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color w:val="1F2937"/>
                <w:sz w:val="19"/>
                <w:szCs w:val="19"/>
              </w:rPr>
              <w:t xml:space="preserve">General Ledger</w:t>
            </w:r>
            <w:r>
              <w:rPr>
                <w:rFonts w:ascii="Arial" w:cs="Arial" w:eastAsia="Arial" w:hAnsi="Arial"/>
                <w:color w:val="5B6470"/>
                <w:sz w:val="19"/>
                <w:szCs w:val="19"/>
              </w:rPr>
              <w:t xml:space="preserve">  →  account </w:t>
            </w:r>
            <w:r>
              <w:rPr>
                <w:rFonts w:ascii="Arial" w:cs="Arial" w:eastAsia="Arial" w:hAnsi="Arial"/>
                <w:b/>
                <w:bCs/>
                <w:color w:val="0B1F3A"/>
                <w:sz w:val="19"/>
                <w:szCs w:val="19"/>
              </w:rPr>
              <w:t xml:space="preserve">1183-1000</w:t>
            </w:r>
          </w:p>
        </w:tc>
      </w:tr>
      <w:tr>
        <w:tc>
          <w:tcPr>
            <w:tcW w:type="dxa" w:w="220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b/>
                <w:bCs/>
                <w:color w:val="0B1F3A"/>
                <w:sz w:val="19"/>
                <w:szCs w:val="19"/>
              </w:rPr>
              <w:t xml:space="preserve">In the file</w:t>
            </w:r>
          </w:p>
        </w:tc>
        <w:tc>
          <w:tcPr>
            <w:tcW w:type="dxa" w:w="716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color w:val="1F2937"/>
                <w:sz w:val="19"/>
                <w:szCs w:val="19"/>
              </w:rPr>
              <w:t xml:space="preserve">Ending balance on the Totals line for the Reserve for Replacement account.</w:t>
            </w:r>
          </w:p>
        </w:tc>
      </w:tr>
      <w:tr>
        <w:tc>
          <w:tcPr>
            <w:tcW w:type="dxa" w:w="2200"/>
            <w:tcBorders>
              <w:top w:val="single" w:color="CBD5E1" w:sz="4"/>
              <w:left w:val="single" w:color="CBD5E1" w:sz="4"/>
              <w:bottom w:val="single" w:color="CBD5E1" w:sz="4"/>
              <w:right w:val="single" w:color="CBD5E1" w:sz="4"/>
            </w:tcBorders>
            <w:shd w:fill="F4F7FB" w:val="clear"/>
            <w:tcMar>
              <w:top w:type="dxa" w:w="70"/>
              <w:left w:type="dxa" w:w="130"/>
              <w:bottom w:type="dxa" w:w="70"/>
              <w:right w:type="dxa" w:w="130"/>
            </w:tcMar>
            <w:vAlign w:val="center"/>
          </w:tcPr>
          <w:p>
            <w:r>
              <w:rPr>
                <w:rFonts w:ascii="Arial" w:cs="Arial" w:eastAsia="Arial" w:hAnsi="Arial"/>
                <w:b/>
                <w:bCs/>
                <w:color w:val="0B1F3A"/>
                <w:sz w:val="19"/>
                <w:szCs w:val="19"/>
              </w:rPr>
              <w:t xml:space="preserve">Result</w:t>
            </w:r>
          </w:p>
        </w:tc>
        <w:tc>
          <w:tcPr>
            <w:tcW w:type="dxa" w:w="7160"/>
            <w:tcBorders>
              <w:top w:val="single" w:color="CBD5E1" w:sz="4"/>
              <w:left w:val="single" w:color="CBD5E1" w:sz="4"/>
              <w:bottom w:val="single" w:color="CBD5E1" w:sz="4"/>
              <w:right w:val="single" w:color="CBD5E1" w:sz="4"/>
            </w:tcBorders>
            <w:shd w:fill="F4F7FB" w:val="clear"/>
            <w:tcMar>
              <w:top w:type="dxa" w:w="70"/>
              <w:left w:type="dxa" w:w="130"/>
              <w:bottom w:type="dxa" w:w="70"/>
              <w:right w:type="dxa" w:w="130"/>
            </w:tcMar>
            <w:vAlign w:val="center"/>
          </w:tcPr>
          <w:p>
            <w:r>
              <w:rPr>
                <w:rFonts w:ascii="Arial" w:cs="Arial" w:eastAsia="Arial" w:hAnsi="Arial"/>
                <w:b/>
                <w:bCs/>
                <w:color w:val="0B1F3A"/>
                <w:sz w:val="20"/>
                <w:szCs w:val="20"/>
              </w:rPr>
              <w:t xml:space="preserve">$104,719</w:t>
            </w:r>
            <w:r>
              <w:rPr>
                <w:rFonts w:ascii="Arial" w:cs="Arial" w:eastAsia="Arial" w:hAnsi="Arial"/>
                <w:b/>
                <w:bCs/>
                <w:color w:val="15803D"/>
                <w:sz w:val="19"/>
                <w:szCs w:val="19"/>
              </w:rPr>
              <w:t xml:space="preserve">  ✓ matches dashboard</w:t>
            </w:r>
          </w:p>
        </w:tc>
      </w:tr>
    </w:tbl>
    <w:p>
      <w:pPr>
        <w:spacing w:after="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0B1F3A" w:val="clear"/>
            <w:tcMar>
              <w:top w:type="dxa" w:w="90"/>
              <w:left w:type="dxa" w:w="140"/>
              <w:bottom w:type="dxa" w:w="90"/>
              <w:right w:type="dxa" w:w="140"/>
            </w:tcMar>
          </w:tcPr>
          <w:p>
            <w:r>
              <w:rPr>
                <w:rFonts w:ascii="Arial" w:cs="Arial" w:eastAsia="Arial" w:hAnsi="Arial"/>
                <w:b/>
                <w:bCs/>
                <w:color w:val="FFFFFF"/>
                <w:sz w:val="22"/>
                <w:szCs w:val="22"/>
              </w:rPr>
              <w:t xml:space="preserve">5.  </w:t>
            </w:r>
            <w:r>
              <w:rPr>
                <w:rFonts w:ascii="Arial" w:cs="Arial" w:eastAsia="Arial" w:hAnsi="Arial"/>
                <w:b/>
                <w:bCs/>
                <w:color w:val="FFFFFF"/>
                <w:sz w:val="22"/>
                <w:szCs w:val="22"/>
              </w:rPr>
              <w:t xml:space="preserve">Open Payables  —  $12,446</w:t>
            </w:r>
          </w:p>
          <w:p>
            <w:r>
              <w:rPr>
                <w:rFonts w:ascii="Arial" w:cs="Arial" w:eastAsia="Arial" w:hAnsi="Arial"/>
                <w:i/>
                <w:iCs/>
                <w:color w:val="C8D4E6"/>
                <w:sz w:val="17"/>
                <w:szCs w:val="17"/>
              </w:rPr>
              <w:t xml:space="preserve">Owner &amp; Operational views → "Open Payables" card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b/>
                <w:bCs/>
                <w:color w:val="0B1F3A"/>
                <w:sz w:val="19"/>
                <w:szCs w:val="19"/>
              </w:rPr>
              <w:t xml:space="preserve">Source</w:t>
            </w:r>
          </w:p>
        </w:tc>
        <w:tc>
          <w:tcPr>
            <w:tcW w:type="dxa" w:w="716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color w:val="1F2937"/>
                <w:sz w:val="19"/>
                <w:szCs w:val="19"/>
              </w:rPr>
              <w:t xml:space="preserve">General Ledger</w:t>
            </w:r>
            <w:r>
              <w:rPr>
                <w:rFonts w:ascii="Arial" w:cs="Arial" w:eastAsia="Arial" w:hAnsi="Arial"/>
                <w:color w:val="5B6470"/>
                <w:sz w:val="19"/>
                <w:szCs w:val="19"/>
              </w:rPr>
              <w:t xml:space="preserve">  →  account </w:t>
            </w:r>
            <w:r>
              <w:rPr>
                <w:rFonts w:ascii="Arial" w:cs="Arial" w:eastAsia="Arial" w:hAnsi="Arial"/>
                <w:b/>
                <w:bCs/>
                <w:color w:val="0B1F3A"/>
                <w:sz w:val="19"/>
                <w:szCs w:val="19"/>
              </w:rPr>
              <w:t xml:space="preserve">2110-0000</w:t>
            </w:r>
            <w:r>
              <w:rPr>
                <w:rFonts w:ascii="Arial" w:cs="Arial" w:eastAsia="Arial" w:hAnsi="Arial"/>
                <w:color w:val="5B6470"/>
                <w:sz w:val="19"/>
                <w:szCs w:val="19"/>
              </w:rPr>
              <w:t xml:space="preserve"> (Accounts Payable Trade)</w:t>
            </w:r>
          </w:p>
        </w:tc>
      </w:tr>
      <w:tr>
        <w:tc>
          <w:tcPr>
            <w:tcW w:type="dxa" w:w="220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b/>
                <w:bCs/>
                <w:color w:val="0B1F3A"/>
                <w:sz w:val="19"/>
                <w:szCs w:val="19"/>
              </w:rPr>
              <w:t xml:space="preserve">In the file</w:t>
            </w:r>
          </w:p>
        </w:tc>
        <w:tc>
          <w:tcPr>
            <w:tcW w:type="dxa" w:w="716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color w:val="1F2937"/>
                <w:sz w:val="19"/>
                <w:szCs w:val="19"/>
              </w:rPr>
              <w:t xml:space="preserve">Ending balance of the payables account. It is carried as a negative (a liability); the dashboard shows the amount owed.</w:t>
            </w:r>
          </w:p>
        </w:tc>
      </w:tr>
      <w:tr>
        <w:tc>
          <w:tcPr>
            <w:tcW w:type="dxa" w:w="220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b/>
                <w:bCs/>
                <w:color w:val="0B1F3A"/>
                <w:sz w:val="19"/>
                <w:szCs w:val="19"/>
              </w:rPr>
              <w:t xml:space="preserve">Calculation</w:t>
            </w:r>
          </w:p>
        </w:tc>
        <w:tc>
          <w:tcPr>
            <w:tcW w:type="dxa" w:w="716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color w:val="1F2937"/>
                <w:sz w:val="19"/>
                <w:szCs w:val="19"/>
              </w:rPr>
              <w:t xml:space="preserve">Amount owed = $12,446.20.</w:t>
            </w:r>
          </w:p>
        </w:tc>
      </w:tr>
      <w:tr>
        <w:tc>
          <w:tcPr>
            <w:tcW w:type="dxa" w:w="2200"/>
            <w:tcBorders>
              <w:top w:val="single" w:color="CBD5E1" w:sz="4"/>
              <w:left w:val="single" w:color="CBD5E1" w:sz="4"/>
              <w:bottom w:val="single" w:color="CBD5E1" w:sz="4"/>
              <w:right w:val="single" w:color="CBD5E1" w:sz="4"/>
            </w:tcBorders>
            <w:shd w:fill="F4F7FB" w:val="clear"/>
            <w:tcMar>
              <w:top w:type="dxa" w:w="70"/>
              <w:left w:type="dxa" w:w="130"/>
              <w:bottom w:type="dxa" w:w="70"/>
              <w:right w:type="dxa" w:w="130"/>
            </w:tcMar>
            <w:vAlign w:val="center"/>
          </w:tcPr>
          <w:p>
            <w:r>
              <w:rPr>
                <w:rFonts w:ascii="Arial" w:cs="Arial" w:eastAsia="Arial" w:hAnsi="Arial"/>
                <w:b/>
                <w:bCs/>
                <w:color w:val="0B1F3A"/>
                <w:sz w:val="19"/>
                <w:szCs w:val="19"/>
              </w:rPr>
              <w:t xml:space="preserve">Result</w:t>
            </w:r>
          </w:p>
        </w:tc>
        <w:tc>
          <w:tcPr>
            <w:tcW w:type="dxa" w:w="7160"/>
            <w:tcBorders>
              <w:top w:val="single" w:color="CBD5E1" w:sz="4"/>
              <w:left w:val="single" w:color="CBD5E1" w:sz="4"/>
              <w:bottom w:val="single" w:color="CBD5E1" w:sz="4"/>
              <w:right w:val="single" w:color="CBD5E1" w:sz="4"/>
            </w:tcBorders>
            <w:shd w:fill="F4F7FB" w:val="clear"/>
            <w:tcMar>
              <w:top w:type="dxa" w:w="70"/>
              <w:left w:type="dxa" w:w="130"/>
              <w:bottom w:type="dxa" w:w="70"/>
              <w:right w:type="dxa" w:w="130"/>
            </w:tcMar>
            <w:vAlign w:val="center"/>
          </w:tcPr>
          <w:p>
            <w:r>
              <w:rPr>
                <w:rFonts w:ascii="Arial" w:cs="Arial" w:eastAsia="Arial" w:hAnsi="Arial"/>
                <w:b/>
                <w:bCs/>
                <w:color w:val="0B1F3A"/>
                <w:sz w:val="20"/>
                <w:szCs w:val="20"/>
              </w:rPr>
              <w:t xml:space="preserve">$12,446</w:t>
            </w:r>
            <w:r>
              <w:rPr>
                <w:rFonts w:ascii="Arial" w:cs="Arial" w:eastAsia="Arial" w:hAnsi="Arial"/>
                <w:b/>
                <w:bCs/>
                <w:color w:val="15803D"/>
                <w:sz w:val="19"/>
                <w:szCs w:val="19"/>
              </w:rPr>
              <w:t xml:space="preserve">  ✓ matches dashboard</w:t>
            </w:r>
          </w:p>
        </w:tc>
      </w:tr>
    </w:tbl>
    <w:p>
      <w:pPr>
        <w:spacing w:after="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0B1F3A" w:val="clear"/>
            <w:tcMar>
              <w:top w:type="dxa" w:w="90"/>
              <w:left w:type="dxa" w:w="140"/>
              <w:bottom w:type="dxa" w:w="90"/>
              <w:right w:type="dxa" w:w="140"/>
            </w:tcMar>
          </w:tcPr>
          <w:p>
            <w:r>
              <w:rPr>
                <w:rFonts w:ascii="Arial" w:cs="Arial" w:eastAsia="Arial" w:hAnsi="Arial"/>
                <w:b/>
                <w:bCs/>
                <w:color w:val="FFFFFF"/>
                <w:sz w:val="22"/>
                <w:szCs w:val="22"/>
              </w:rPr>
              <w:t xml:space="preserve">6.  </w:t>
            </w:r>
            <w:r>
              <w:rPr>
                <w:rFonts w:ascii="Arial" w:cs="Arial" w:eastAsia="Arial" w:hAnsi="Arial"/>
                <w:b/>
                <w:bCs/>
                <w:color w:val="FFFFFF"/>
                <w:sz w:val="22"/>
                <w:szCs w:val="22"/>
              </w:rPr>
              <w:t xml:space="preserve">Capital Expenditures  —  $24,050</w:t>
            </w:r>
          </w:p>
          <w:p>
            <w:r>
              <w:rPr>
                <w:rFonts w:ascii="Arial" w:cs="Arial" w:eastAsia="Arial" w:hAnsi="Arial"/>
                <w:i/>
                <w:iCs/>
                <w:color w:val="C8D4E6"/>
                <w:sz w:val="17"/>
                <w:szCs w:val="17"/>
              </w:rPr>
              <w:t xml:space="preserve">Owner view → "Capital Expenditures" card (highlighted)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b/>
                <w:bCs/>
                <w:color w:val="0B1F3A"/>
                <w:sz w:val="19"/>
                <w:szCs w:val="19"/>
              </w:rPr>
              <w:t xml:space="preserve">Source</w:t>
            </w:r>
          </w:p>
        </w:tc>
        <w:tc>
          <w:tcPr>
            <w:tcW w:type="dxa" w:w="716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color w:val="1F2937"/>
                <w:sz w:val="19"/>
                <w:szCs w:val="19"/>
              </w:rPr>
              <w:t xml:space="preserve">General Ledger</w:t>
            </w:r>
            <w:r>
              <w:rPr>
                <w:rFonts w:ascii="Arial" w:cs="Arial" w:eastAsia="Arial" w:hAnsi="Arial"/>
                <w:color w:val="5B6470"/>
                <w:sz w:val="19"/>
                <w:szCs w:val="19"/>
              </w:rPr>
              <w:t xml:space="preserve">  →  any </w:t>
            </w:r>
            <w:r>
              <w:rPr>
                <w:rFonts w:ascii="Arial" w:cs="Arial" w:eastAsia="Arial" w:hAnsi="Arial"/>
                <w:b/>
                <w:bCs/>
                <w:color w:val="0B1F3A"/>
                <w:sz w:val="19"/>
                <w:szCs w:val="19"/>
              </w:rPr>
              <w:t xml:space="preserve">9xxx</w:t>
            </w:r>
            <w:r>
              <w:rPr>
                <w:rFonts w:ascii="Arial" w:cs="Arial" w:eastAsia="Arial" w:hAnsi="Arial"/>
                <w:color w:val="5B6470"/>
                <w:sz w:val="19"/>
                <w:szCs w:val="19"/>
              </w:rPr>
              <w:t xml:space="preserve"> capital account</w:t>
            </w:r>
          </w:p>
        </w:tc>
      </w:tr>
      <w:tr>
        <w:tc>
          <w:tcPr>
            <w:tcW w:type="dxa" w:w="220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b/>
                <w:bCs/>
                <w:color w:val="0B1F3A"/>
                <w:sz w:val="19"/>
                <w:szCs w:val="19"/>
              </w:rPr>
              <w:t xml:space="preserve">In the file</w:t>
            </w:r>
          </w:p>
        </w:tc>
        <w:tc>
          <w:tcPr>
            <w:tcW w:type="dxa" w:w="716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color w:val="1F2937"/>
                <w:sz w:val="19"/>
                <w:szCs w:val="19"/>
              </w:rPr>
              <w:t xml:space="preserve">Account 9120-1730 "Structures – Windows" posted this period.</w:t>
            </w:r>
          </w:p>
        </w:tc>
      </w:tr>
      <w:tr>
        <w:tc>
          <w:tcPr>
            <w:tcW w:type="dxa" w:w="220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b/>
                <w:bCs/>
                <w:color w:val="0B1F3A"/>
                <w:sz w:val="19"/>
                <w:szCs w:val="19"/>
              </w:rPr>
              <w:t xml:space="preserve">Calculation</w:t>
            </w:r>
          </w:p>
        </w:tc>
        <w:tc>
          <w:tcPr>
            <w:tcW w:type="dxa" w:w="716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color w:val="1F2937"/>
                <w:sz w:val="19"/>
                <w:szCs w:val="19"/>
              </w:rPr>
              <w:t xml:space="preserve">Total of all 9xxx capital postings = $24,050.</w:t>
            </w:r>
          </w:p>
        </w:tc>
      </w:tr>
      <w:tr>
        <w:tc>
          <w:tcPr>
            <w:tcW w:type="dxa" w:w="2200"/>
            <w:tcBorders>
              <w:top w:val="single" w:color="CBD5E1" w:sz="4"/>
              <w:left w:val="single" w:color="CBD5E1" w:sz="4"/>
              <w:bottom w:val="single" w:color="CBD5E1" w:sz="4"/>
              <w:right w:val="single" w:color="CBD5E1" w:sz="4"/>
            </w:tcBorders>
            <w:shd w:fill="F4F7FB" w:val="clear"/>
            <w:tcMar>
              <w:top w:type="dxa" w:w="70"/>
              <w:left w:type="dxa" w:w="130"/>
              <w:bottom w:type="dxa" w:w="70"/>
              <w:right w:type="dxa" w:w="130"/>
            </w:tcMar>
            <w:vAlign w:val="center"/>
          </w:tcPr>
          <w:p>
            <w:r>
              <w:rPr>
                <w:rFonts w:ascii="Arial" w:cs="Arial" w:eastAsia="Arial" w:hAnsi="Arial"/>
                <w:b/>
                <w:bCs/>
                <w:color w:val="0B1F3A"/>
                <w:sz w:val="19"/>
                <w:szCs w:val="19"/>
              </w:rPr>
              <w:t xml:space="preserve">Result</w:t>
            </w:r>
          </w:p>
        </w:tc>
        <w:tc>
          <w:tcPr>
            <w:tcW w:type="dxa" w:w="7160"/>
            <w:tcBorders>
              <w:top w:val="single" w:color="CBD5E1" w:sz="4"/>
              <w:left w:val="single" w:color="CBD5E1" w:sz="4"/>
              <w:bottom w:val="single" w:color="CBD5E1" w:sz="4"/>
              <w:right w:val="single" w:color="CBD5E1" w:sz="4"/>
            </w:tcBorders>
            <w:shd w:fill="F4F7FB" w:val="clear"/>
            <w:tcMar>
              <w:top w:type="dxa" w:w="70"/>
              <w:left w:type="dxa" w:w="130"/>
              <w:bottom w:type="dxa" w:w="70"/>
              <w:right w:type="dxa" w:w="130"/>
            </w:tcMar>
            <w:vAlign w:val="center"/>
          </w:tcPr>
          <w:p>
            <w:r>
              <w:rPr>
                <w:rFonts w:ascii="Arial" w:cs="Arial" w:eastAsia="Arial" w:hAnsi="Arial"/>
                <w:b/>
                <w:bCs/>
                <w:color w:val="0B1F3A"/>
                <w:sz w:val="20"/>
                <w:szCs w:val="20"/>
              </w:rPr>
              <w:t xml:space="preserve">$24,050  (1 capital project)</w:t>
            </w:r>
            <w:r>
              <w:rPr>
                <w:rFonts w:ascii="Arial" w:cs="Arial" w:eastAsia="Arial" w:hAnsi="Arial"/>
                <w:b/>
                <w:bCs/>
                <w:color w:val="15803D"/>
                <w:sz w:val="19"/>
                <w:szCs w:val="19"/>
              </w:rPr>
              <w:t xml:space="preserve">  ✓ matches dashboard</w:t>
            </w:r>
          </w:p>
        </w:tc>
      </w:tr>
    </w:tbl>
    <w:p>
      <w:pPr>
        <w:spacing w:after="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0B1F3A" w:val="clear"/>
            <w:tcMar>
              <w:top w:type="dxa" w:w="90"/>
              <w:left w:type="dxa" w:w="140"/>
              <w:bottom w:type="dxa" w:w="90"/>
              <w:right w:type="dxa" w:w="140"/>
            </w:tcMar>
          </w:tcPr>
          <w:p>
            <w:r>
              <w:rPr>
                <w:rFonts w:ascii="Arial" w:cs="Arial" w:eastAsia="Arial" w:hAnsi="Arial"/>
                <w:b/>
                <w:bCs/>
                <w:color w:val="FFFFFF"/>
                <w:sz w:val="22"/>
                <w:szCs w:val="22"/>
              </w:rPr>
              <w:t xml:space="preserve">7.  </w:t>
            </w:r>
            <w:r>
              <w:rPr>
                <w:rFonts w:ascii="Arial" w:cs="Arial" w:eastAsia="Arial" w:hAnsi="Arial"/>
                <w:b/>
                <w:bCs/>
                <w:color w:val="FFFFFF"/>
                <w:sz w:val="22"/>
                <w:szCs w:val="22"/>
              </w:rPr>
              <w:t xml:space="preserve">Delinquency Rate  —  0.2%</w:t>
            </w:r>
          </w:p>
          <w:p>
            <w:r>
              <w:rPr>
                <w:rFonts w:ascii="Arial" w:cs="Arial" w:eastAsia="Arial" w:hAnsi="Arial"/>
                <w:i/>
                <w:iCs/>
                <w:color w:val="C8D4E6"/>
                <w:sz w:val="17"/>
                <w:szCs w:val="17"/>
              </w:rPr>
              <w:t xml:space="preserve">Owner view → "Delinquency Rate" card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b/>
                <w:bCs/>
                <w:color w:val="0B1F3A"/>
                <w:sz w:val="19"/>
                <w:szCs w:val="19"/>
              </w:rPr>
              <w:t xml:space="preserve">Source</w:t>
            </w:r>
          </w:p>
        </w:tc>
        <w:tc>
          <w:tcPr>
            <w:tcW w:type="dxa" w:w="716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color w:val="1F2937"/>
                <w:sz w:val="19"/>
                <w:szCs w:val="19"/>
              </w:rPr>
              <w:t xml:space="preserve">Delinquent &amp; Prepaid</w:t>
            </w:r>
            <w:r>
              <w:rPr>
                <w:rFonts w:ascii="Arial" w:cs="Arial" w:eastAsia="Arial" w:hAnsi="Arial"/>
                <w:color w:val="5B6470"/>
                <w:sz w:val="19"/>
                <w:szCs w:val="19"/>
              </w:rPr>
              <w:t xml:space="preserve">  +  </w:t>
            </w:r>
            <w:r>
              <w:rPr>
                <w:rFonts w:ascii="Arial" w:cs="Arial" w:eastAsia="Arial" w:hAnsi="Arial"/>
                <w:color w:val="1F2937"/>
                <w:sz w:val="19"/>
                <w:szCs w:val="19"/>
              </w:rPr>
              <w:t xml:space="preserve">Rent Roll</w:t>
            </w:r>
          </w:p>
        </w:tc>
      </w:tr>
      <w:tr>
        <w:tc>
          <w:tcPr>
            <w:tcW w:type="dxa" w:w="220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b/>
                <w:bCs/>
                <w:color w:val="0B1F3A"/>
                <w:sz w:val="19"/>
                <w:szCs w:val="19"/>
              </w:rPr>
              <w:t xml:space="preserve">How it works</w:t>
            </w:r>
          </w:p>
        </w:tc>
        <w:tc>
          <w:tcPr>
            <w:tcW w:type="dxa" w:w="716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color w:val="1F2937"/>
                <w:sz w:val="19"/>
                <w:szCs w:val="19"/>
              </w:rPr>
              <w:t xml:space="preserve">We total residents’ own past-due balances (the "Net Balance" column, excluding current-month subsidy that the housing program still owes), then divide by the monthly rent roll.</w:t>
            </w:r>
          </w:p>
        </w:tc>
      </w:tr>
      <w:tr>
        <w:tc>
          <w:tcPr>
            <w:tcW w:type="dxa" w:w="220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b/>
                <w:bCs/>
                <w:color w:val="0B1F3A"/>
                <w:sz w:val="19"/>
                <w:szCs w:val="19"/>
              </w:rPr>
              <w:t xml:space="preserve">Calculation</w:t>
            </w:r>
          </w:p>
        </w:tc>
        <w:tc>
          <w:tcPr>
            <w:tcW w:type="dxa" w:w="716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color w:val="1F2937"/>
                <w:sz w:val="19"/>
                <w:szCs w:val="19"/>
              </w:rPr>
              <w:t xml:space="preserve">Resident past-due $58 ÷ monthly rent roll $26,363 × 100 = 0.2%.</w:t>
            </w:r>
          </w:p>
        </w:tc>
      </w:tr>
      <w:tr>
        <w:tc>
          <w:tcPr>
            <w:tcW w:type="dxa" w:w="2200"/>
            <w:tcBorders>
              <w:top w:val="single" w:color="CBD5E1" w:sz="4"/>
              <w:left w:val="single" w:color="CBD5E1" w:sz="4"/>
              <w:bottom w:val="single" w:color="CBD5E1" w:sz="4"/>
              <w:right w:val="single" w:color="CBD5E1" w:sz="4"/>
            </w:tcBorders>
            <w:shd w:fill="F4F7FB" w:val="clear"/>
            <w:tcMar>
              <w:top w:type="dxa" w:w="70"/>
              <w:left w:type="dxa" w:w="130"/>
              <w:bottom w:type="dxa" w:w="70"/>
              <w:right w:type="dxa" w:w="130"/>
            </w:tcMar>
            <w:vAlign w:val="center"/>
          </w:tcPr>
          <w:p>
            <w:r>
              <w:rPr>
                <w:rFonts w:ascii="Arial" w:cs="Arial" w:eastAsia="Arial" w:hAnsi="Arial"/>
                <w:b/>
                <w:bCs/>
                <w:color w:val="0B1F3A"/>
                <w:sz w:val="19"/>
                <w:szCs w:val="19"/>
              </w:rPr>
              <w:t xml:space="preserve">Result</w:t>
            </w:r>
          </w:p>
        </w:tc>
        <w:tc>
          <w:tcPr>
            <w:tcW w:type="dxa" w:w="7160"/>
            <w:tcBorders>
              <w:top w:val="single" w:color="CBD5E1" w:sz="4"/>
              <w:left w:val="single" w:color="CBD5E1" w:sz="4"/>
              <w:bottom w:val="single" w:color="CBD5E1" w:sz="4"/>
              <w:right w:val="single" w:color="CBD5E1" w:sz="4"/>
            </w:tcBorders>
            <w:shd w:fill="F4F7FB" w:val="clear"/>
            <w:tcMar>
              <w:top w:type="dxa" w:w="70"/>
              <w:left w:type="dxa" w:w="130"/>
              <w:bottom w:type="dxa" w:w="70"/>
              <w:right w:type="dxa" w:w="130"/>
            </w:tcMar>
            <w:vAlign w:val="center"/>
          </w:tcPr>
          <w:p>
            <w:r>
              <w:rPr>
                <w:rFonts w:ascii="Arial" w:cs="Arial" w:eastAsia="Arial" w:hAnsi="Arial"/>
                <w:b/>
                <w:bCs/>
                <w:color w:val="0B1F3A"/>
                <w:sz w:val="20"/>
                <w:szCs w:val="20"/>
              </w:rPr>
              <w:t xml:space="preserve">0.2%</w:t>
            </w:r>
            <w:r>
              <w:rPr>
                <w:rFonts w:ascii="Arial" w:cs="Arial" w:eastAsia="Arial" w:hAnsi="Arial"/>
                <w:b/>
                <w:bCs/>
                <w:color w:val="15803D"/>
                <w:sz w:val="19"/>
                <w:szCs w:val="19"/>
              </w:rPr>
              <w:t xml:space="preserve">  ✓ matches dashboard</w:t>
            </w:r>
          </w:p>
        </w:tc>
      </w:tr>
    </w:tbl>
    <w:p>
      <w:pPr>
        <w:spacing w:after="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0B1F3A" w:val="clear"/>
            <w:tcMar>
              <w:top w:type="dxa" w:w="90"/>
              <w:left w:type="dxa" w:w="140"/>
              <w:bottom w:type="dxa" w:w="90"/>
              <w:right w:type="dxa" w:w="140"/>
            </w:tcMar>
          </w:tcPr>
          <w:p>
            <w:r>
              <w:rPr>
                <w:rFonts w:ascii="Arial" w:cs="Arial" w:eastAsia="Arial" w:hAnsi="Arial"/>
                <w:b/>
                <w:bCs/>
                <w:color w:val="FFFFFF"/>
                <w:sz w:val="22"/>
                <w:szCs w:val="22"/>
              </w:rPr>
              <w:t xml:space="preserve">8.  </w:t>
            </w:r>
            <w:r>
              <w:rPr>
                <w:rFonts w:ascii="Arial" w:cs="Arial" w:eastAsia="Arial" w:hAnsi="Arial"/>
                <w:b/>
                <w:bCs/>
                <w:color w:val="FFFFFF"/>
                <w:sz w:val="22"/>
                <w:szCs w:val="22"/>
              </w:rPr>
              <w:t xml:space="preserve">Deposit Shortfall, Unit 214  —  $553</w:t>
            </w:r>
          </w:p>
          <w:p>
            <w:r>
              <w:rPr>
                <w:rFonts w:ascii="Arial" w:cs="Arial" w:eastAsia="Arial" w:hAnsi="Arial"/>
                <w:i/>
                <w:iCs/>
                <w:color w:val="C8D4E6"/>
                <w:sz w:val="17"/>
                <w:szCs w:val="17"/>
              </w:rPr>
              <w:t xml:space="preserve">Operational view → "Below Required Deposit" 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b/>
                <w:bCs/>
                <w:color w:val="0B1F3A"/>
                <w:sz w:val="19"/>
                <w:szCs w:val="19"/>
              </w:rPr>
              <w:t xml:space="preserve">Source</w:t>
            </w:r>
          </w:p>
        </w:tc>
        <w:tc>
          <w:tcPr>
            <w:tcW w:type="dxa" w:w="716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color w:val="1F2937"/>
                <w:sz w:val="19"/>
                <w:szCs w:val="19"/>
              </w:rPr>
              <w:t xml:space="preserve">Rent Roll Detail</w:t>
            </w:r>
            <w:r>
              <w:rPr>
                <w:rFonts w:ascii="Arial" w:cs="Arial" w:eastAsia="Arial" w:hAnsi="Arial"/>
                <w:color w:val="5B6470"/>
                <w:sz w:val="19"/>
                <w:szCs w:val="19"/>
              </w:rPr>
              <w:t xml:space="preserve">  →  "Required Deposit" and "Dep On Hand" columns</w:t>
            </w:r>
          </w:p>
        </w:tc>
      </w:tr>
      <w:tr>
        <w:tc>
          <w:tcPr>
            <w:tcW w:type="dxa" w:w="220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b/>
                <w:bCs/>
                <w:color w:val="0B1F3A"/>
                <w:sz w:val="19"/>
                <w:szCs w:val="19"/>
              </w:rPr>
              <w:t xml:space="preserve">Calculation</w:t>
            </w:r>
          </w:p>
        </w:tc>
        <w:tc>
          <w:tcPr>
            <w:tcW w:type="dxa" w:w="7160"/>
            <w:tcBorders>
              <w:top w:val="single" w:color="CBD5E1" w:sz="4"/>
              <w:left w:val="single" w:color="CBD5E1" w:sz="4"/>
              <w:bottom w:val="single" w:color="CBD5E1" w:sz="4"/>
              <w:right w:val="single" w:color="CBD5E1" w:sz="4"/>
            </w:tcBorders>
            <w:tcMar>
              <w:top w:type="dxa" w:w="70"/>
              <w:left w:type="dxa" w:w="130"/>
              <w:bottom w:type="dxa" w:w="70"/>
              <w:right w:type="dxa" w:w="130"/>
            </w:tcMar>
            <w:vAlign w:val="center"/>
          </w:tcPr>
          <w:p>
            <w:r>
              <w:rPr>
                <w:rFonts w:ascii="Arial" w:cs="Arial" w:eastAsia="Arial" w:hAnsi="Arial"/>
                <w:color w:val="1F2937"/>
                <w:sz w:val="19"/>
                <w:szCs w:val="19"/>
              </w:rPr>
              <w:t xml:space="preserve">Required $853  −  On hand $300  =  $553 short.</w:t>
            </w:r>
          </w:p>
        </w:tc>
      </w:tr>
      <w:tr>
        <w:tc>
          <w:tcPr>
            <w:tcW w:type="dxa" w:w="2200"/>
            <w:tcBorders>
              <w:top w:val="single" w:color="CBD5E1" w:sz="4"/>
              <w:left w:val="single" w:color="CBD5E1" w:sz="4"/>
              <w:bottom w:val="single" w:color="CBD5E1" w:sz="4"/>
              <w:right w:val="single" w:color="CBD5E1" w:sz="4"/>
            </w:tcBorders>
            <w:shd w:fill="F4F7FB" w:val="clear"/>
            <w:tcMar>
              <w:top w:type="dxa" w:w="70"/>
              <w:left w:type="dxa" w:w="130"/>
              <w:bottom w:type="dxa" w:w="70"/>
              <w:right w:type="dxa" w:w="130"/>
            </w:tcMar>
            <w:vAlign w:val="center"/>
          </w:tcPr>
          <w:p>
            <w:r>
              <w:rPr>
                <w:rFonts w:ascii="Arial" w:cs="Arial" w:eastAsia="Arial" w:hAnsi="Arial"/>
                <w:b/>
                <w:bCs/>
                <w:color w:val="0B1F3A"/>
                <w:sz w:val="19"/>
                <w:szCs w:val="19"/>
              </w:rPr>
              <w:t xml:space="preserve">Result</w:t>
            </w:r>
          </w:p>
        </w:tc>
        <w:tc>
          <w:tcPr>
            <w:tcW w:type="dxa" w:w="7160"/>
            <w:tcBorders>
              <w:top w:val="single" w:color="CBD5E1" w:sz="4"/>
              <w:left w:val="single" w:color="CBD5E1" w:sz="4"/>
              <w:bottom w:val="single" w:color="CBD5E1" w:sz="4"/>
              <w:right w:val="single" w:color="CBD5E1" w:sz="4"/>
            </w:tcBorders>
            <w:shd w:fill="F4F7FB" w:val="clear"/>
            <w:tcMar>
              <w:top w:type="dxa" w:w="70"/>
              <w:left w:type="dxa" w:w="130"/>
              <w:bottom w:type="dxa" w:w="70"/>
              <w:right w:type="dxa" w:w="130"/>
            </w:tcMar>
            <w:vAlign w:val="center"/>
          </w:tcPr>
          <w:p>
            <w:r>
              <w:rPr>
                <w:rFonts w:ascii="Arial" w:cs="Arial" w:eastAsia="Arial" w:hAnsi="Arial"/>
                <w:b/>
                <w:bCs/>
                <w:color w:val="0B1F3A"/>
                <w:sz w:val="20"/>
                <w:szCs w:val="20"/>
              </w:rPr>
              <w:t xml:space="preserve">$553 shortfall</w:t>
            </w:r>
            <w:r>
              <w:rPr>
                <w:rFonts w:ascii="Arial" w:cs="Arial" w:eastAsia="Arial" w:hAnsi="Arial"/>
                <w:b/>
                <w:bCs/>
                <w:color w:val="15803D"/>
                <w:sz w:val="19"/>
                <w:szCs w:val="19"/>
              </w:rPr>
              <w:t xml:space="preserve">  ✓ matches dashboard</w:t>
            </w:r>
          </w:p>
        </w:tc>
      </w:tr>
    </w:tbl>
    <w:p>
      <w:pPr>
        <w:spacing w:after="160"/>
      </w:pPr>
      <w:r>
        <w:rPr>
          <w:rFonts w:ascii="Arial" w:cs="Arial" w:eastAsia="Arial" w:hAnsi="Arial"/>
        </w:rPr>
        <w:t xml:space="preserve"/>
      </w:r>
    </w:p>
    <w:p>
      <w:pPr>
        <w:pageBreakBefore/>
        <w:spacing w:after="80"/>
      </w:pPr>
      <w:r>
        <w:rPr>
          <w:rFonts w:ascii="Arial" w:cs="Arial" w:eastAsia="Arial" w:hAnsi="Arial"/>
          <w:b/>
          <w:bCs/>
          <w:color w:val="0B1F3A"/>
          <w:sz w:val="24"/>
          <w:szCs w:val="24"/>
        </w:rPr>
        <w:t xml:space="preserve">Portfolio roll-up</w:t>
      </w:r>
    </w:p>
    <w:p>
      <w:pPr>
        <w:spacing w:after="120"/>
      </w:pPr>
      <w:r>
        <w:rPr>
          <w:rFonts w:ascii="Arial" w:cs="Arial" w:eastAsia="Arial" w:hAnsi="Arial"/>
          <w:color w:val="1F2937"/>
          <w:sz w:val="19"/>
          <w:szCs w:val="19"/>
        </w:rPr>
        <w:t xml:space="preserve">The Portfolio Summary simply adds the four properties together. Occupancy is total occupied units divided by total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CBD5E1" w:sz="4"/>
              <w:left w:val="single" w:color="CBD5E1" w:sz="4"/>
              <w:bottom w:val="single" w:color="CBD5E1" w:sz="4"/>
              <w:right w:val="single" w:color="CBD5E1" w:sz="4"/>
            </w:tcBorders>
            <w:shd w:fill="0B1F3A" w:val="clear"/>
            <w:tcMar>
              <w:top w:type="dxa" w:w="70"/>
              <w:left w:type="dxa" w:w="120"/>
              <w:bottom w:type="dxa" w:w="70"/>
              <w:right w:type="dxa" w:w="120"/>
            </w:tcMar>
          </w:tcPr>
          <w:p>
            <w:r>
              <w:rPr>
                <w:rFonts w:ascii="Arial" w:cs="Arial" w:eastAsia="Arial" w:hAnsi="Arial"/>
                <w:b/>
                <w:bCs/>
                <w:color w:val="FFFFFF"/>
                <w:sz w:val="18"/>
                <w:szCs w:val="18"/>
              </w:rPr>
              <w:t xml:space="preserve">Property</w:t>
            </w:r>
          </w:p>
        </w:tc>
        <w:tc>
          <w:tcPr>
            <w:tcW w:type="dxa" w:w="2000"/>
            <w:tcBorders>
              <w:top w:val="single" w:color="CBD5E1" w:sz="4"/>
              <w:left w:val="single" w:color="CBD5E1" w:sz="4"/>
              <w:bottom w:val="single" w:color="CBD5E1" w:sz="4"/>
              <w:right w:val="single" w:color="CBD5E1" w:sz="4"/>
            </w:tcBorders>
            <w:shd w:fill="0B1F3A" w:val="clear"/>
            <w:tcMar>
              <w:top w:type="dxa" w:w="70"/>
              <w:left w:type="dxa" w:w="120"/>
              <w:bottom w:type="dxa" w:w="70"/>
              <w:right w:type="dxa" w:w="120"/>
            </w:tcMar>
          </w:tcPr>
          <w:p>
            <w:r>
              <w:rPr>
                <w:rFonts w:ascii="Arial" w:cs="Arial" w:eastAsia="Arial" w:hAnsi="Arial"/>
                <w:b/>
                <w:bCs/>
                <w:color w:val="FFFFFF"/>
                <w:sz w:val="18"/>
                <w:szCs w:val="18"/>
              </w:rPr>
              <w:t xml:space="preserve">Occupied / Units</w:t>
            </w:r>
          </w:p>
        </w:tc>
        <w:tc>
          <w:tcPr>
            <w:tcW w:type="dxa" w:w="2000"/>
            <w:tcBorders>
              <w:top w:val="single" w:color="CBD5E1" w:sz="4"/>
              <w:left w:val="single" w:color="CBD5E1" w:sz="4"/>
              <w:bottom w:val="single" w:color="CBD5E1" w:sz="4"/>
              <w:right w:val="single" w:color="CBD5E1" w:sz="4"/>
            </w:tcBorders>
            <w:shd w:fill="0B1F3A" w:val="clear"/>
            <w:tcMar>
              <w:top w:type="dxa" w:w="70"/>
              <w:left w:type="dxa" w:w="120"/>
              <w:bottom w:type="dxa" w:w="70"/>
              <w:right w:type="dxa" w:w="120"/>
            </w:tcMar>
          </w:tcPr>
          <w:p>
            <w:r>
              <w:rPr>
                <w:rFonts w:ascii="Arial" w:cs="Arial" w:eastAsia="Arial" w:hAnsi="Arial"/>
                <w:b/>
                <w:bCs/>
                <w:color w:val="FFFFFF"/>
                <w:sz w:val="18"/>
                <w:szCs w:val="18"/>
              </w:rPr>
              <w:t xml:space="preserve">Total Income</w:t>
            </w:r>
          </w:p>
        </w:tc>
        <w:tc>
          <w:tcPr>
            <w:tcW w:type="dxa" w:w="2000"/>
            <w:tcBorders>
              <w:top w:val="single" w:color="CBD5E1" w:sz="4"/>
              <w:left w:val="single" w:color="CBD5E1" w:sz="4"/>
              <w:bottom w:val="single" w:color="CBD5E1" w:sz="4"/>
              <w:right w:val="single" w:color="CBD5E1" w:sz="4"/>
            </w:tcBorders>
            <w:shd w:fill="0B1F3A" w:val="clear"/>
            <w:tcMar>
              <w:top w:type="dxa" w:w="70"/>
              <w:left w:type="dxa" w:w="120"/>
              <w:bottom w:type="dxa" w:w="70"/>
              <w:right w:type="dxa" w:w="120"/>
            </w:tcMar>
          </w:tcPr>
          <w:p>
            <w:r>
              <w:rPr>
                <w:rFonts w:ascii="Arial" w:cs="Arial" w:eastAsia="Arial" w:hAnsi="Arial"/>
                <w:b/>
                <w:bCs/>
                <w:color w:val="FFFFFF"/>
                <w:sz w:val="18"/>
                <w:szCs w:val="18"/>
              </w:rPr>
              <w:t xml:space="preserve">Operating Cash</w:t>
            </w:r>
          </w:p>
        </w:tc>
      </w:tr>
      <w:tr>
        <w:tc>
          <w:tcPr>
            <w:tcW w:type="dxa" w:w="3360"/>
            <w:tcBorders>
              <w:top w:val="single" w:color="CBD5E1" w:sz="4"/>
              <w:left w:val="single" w:color="CBD5E1" w:sz="4"/>
              <w:bottom w:val="single" w:color="CBD5E1" w:sz="4"/>
              <w:right w:val="single" w:color="CBD5E1" w:sz="4"/>
            </w:tcBorders>
            <w:tcMar>
              <w:top w:type="dxa" w:w="60"/>
              <w:left w:type="dxa" w:w="120"/>
              <w:bottom w:type="dxa" w:w="60"/>
              <w:right w:type="dxa" w:w="120"/>
            </w:tcMar>
          </w:tcPr>
          <w:p>
            <w:r>
              <w:rPr>
                <w:rFonts w:ascii="Arial" w:cs="Arial" w:eastAsia="Arial" w:hAnsi="Arial"/>
                <w:b w:val="false"/>
                <w:bCs w:val="false"/>
                <w:color w:val="1F2937"/>
                <w:sz w:val="18"/>
                <w:szCs w:val="18"/>
              </w:rPr>
              <w:t xml:space="preserve">Eagleview Apartments</w:t>
            </w:r>
          </w:p>
        </w:tc>
        <w:tc>
          <w:tcPr>
            <w:tcW w:type="dxa" w:w="2000"/>
            <w:tcBorders>
              <w:top w:val="single" w:color="CBD5E1" w:sz="4"/>
              <w:left w:val="single" w:color="CBD5E1" w:sz="4"/>
              <w:bottom w:val="single" w:color="CBD5E1" w:sz="4"/>
              <w:right w:val="single" w:color="CBD5E1" w:sz="4"/>
            </w:tcBorders>
            <w:tcMar>
              <w:top w:type="dxa" w:w="60"/>
              <w:left w:type="dxa" w:w="120"/>
              <w:bottom w:type="dxa" w:w="60"/>
              <w:right w:type="dxa" w:w="120"/>
            </w:tcMar>
          </w:tcPr>
          <w:p>
            <w:r>
              <w:rPr>
                <w:rFonts w:ascii="Arial" w:cs="Arial" w:eastAsia="Arial" w:hAnsi="Arial"/>
                <w:b w:val="false"/>
                <w:bCs w:val="false"/>
                <w:color w:val="1F2937"/>
                <w:sz w:val="18"/>
                <w:szCs w:val="18"/>
              </w:rPr>
              <w:t xml:space="preserve">32 / 32</w:t>
            </w:r>
          </w:p>
        </w:tc>
        <w:tc>
          <w:tcPr>
            <w:tcW w:type="dxa" w:w="2000"/>
            <w:tcBorders>
              <w:top w:val="single" w:color="CBD5E1" w:sz="4"/>
              <w:left w:val="single" w:color="CBD5E1" w:sz="4"/>
              <w:bottom w:val="single" w:color="CBD5E1" w:sz="4"/>
              <w:right w:val="single" w:color="CBD5E1" w:sz="4"/>
            </w:tcBorders>
            <w:tcMar>
              <w:top w:type="dxa" w:w="60"/>
              <w:left w:type="dxa" w:w="120"/>
              <w:bottom w:type="dxa" w:w="60"/>
              <w:right w:type="dxa" w:w="120"/>
            </w:tcMar>
          </w:tcPr>
          <w:p>
            <w:r>
              <w:rPr>
                <w:rFonts w:ascii="Arial" w:cs="Arial" w:eastAsia="Arial" w:hAnsi="Arial"/>
                <w:b w:val="false"/>
                <w:bCs w:val="false"/>
                <w:color w:val="1F2937"/>
                <w:sz w:val="18"/>
                <w:szCs w:val="18"/>
              </w:rPr>
              <w:t xml:space="preserve">$26,618</w:t>
            </w:r>
          </w:p>
        </w:tc>
        <w:tc>
          <w:tcPr>
            <w:tcW w:type="dxa" w:w="2000"/>
            <w:tcBorders>
              <w:top w:val="single" w:color="CBD5E1" w:sz="4"/>
              <w:left w:val="single" w:color="CBD5E1" w:sz="4"/>
              <w:bottom w:val="single" w:color="CBD5E1" w:sz="4"/>
              <w:right w:val="single" w:color="CBD5E1" w:sz="4"/>
            </w:tcBorders>
            <w:tcMar>
              <w:top w:type="dxa" w:w="60"/>
              <w:left w:type="dxa" w:w="120"/>
              <w:bottom w:type="dxa" w:w="60"/>
              <w:right w:type="dxa" w:w="120"/>
            </w:tcMar>
          </w:tcPr>
          <w:p>
            <w:r>
              <w:rPr>
                <w:rFonts w:ascii="Arial" w:cs="Arial" w:eastAsia="Arial" w:hAnsi="Arial"/>
                <w:b w:val="false"/>
                <w:bCs w:val="false"/>
                <w:color w:val="1F2937"/>
                <w:sz w:val="18"/>
                <w:szCs w:val="18"/>
              </w:rPr>
              <w:t xml:space="preserve">$39,087</w:t>
            </w:r>
          </w:p>
        </w:tc>
      </w:tr>
      <w:tr>
        <w:tc>
          <w:tcPr>
            <w:tcW w:type="dxa" w:w="3360"/>
            <w:tcBorders>
              <w:top w:val="single" w:color="CBD5E1" w:sz="4"/>
              <w:left w:val="single" w:color="CBD5E1" w:sz="4"/>
              <w:bottom w:val="single" w:color="CBD5E1" w:sz="4"/>
              <w:right w:val="single" w:color="CBD5E1" w:sz="4"/>
            </w:tcBorders>
            <w:shd w:fill="F4F7FB" w:val="clear"/>
            <w:tcMar>
              <w:top w:type="dxa" w:w="60"/>
              <w:left w:type="dxa" w:w="120"/>
              <w:bottom w:type="dxa" w:w="60"/>
              <w:right w:type="dxa" w:w="120"/>
            </w:tcMar>
          </w:tcPr>
          <w:p>
            <w:r>
              <w:rPr>
                <w:rFonts w:ascii="Arial" w:cs="Arial" w:eastAsia="Arial" w:hAnsi="Arial"/>
                <w:b w:val="false"/>
                <w:bCs w:val="false"/>
                <w:color w:val="1F2937"/>
                <w:sz w:val="18"/>
                <w:szCs w:val="18"/>
              </w:rPr>
              <w:t xml:space="preserve">Elk Valley Manor</w:t>
            </w:r>
          </w:p>
        </w:tc>
        <w:tc>
          <w:tcPr>
            <w:tcW w:type="dxa" w:w="2000"/>
            <w:tcBorders>
              <w:top w:val="single" w:color="CBD5E1" w:sz="4"/>
              <w:left w:val="single" w:color="CBD5E1" w:sz="4"/>
              <w:bottom w:val="single" w:color="CBD5E1" w:sz="4"/>
              <w:right w:val="single" w:color="CBD5E1" w:sz="4"/>
            </w:tcBorders>
            <w:shd w:fill="F4F7FB" w:val="clear"/>
            <w:tcMar>
              <w:top w:type="dxa" w:w="60"/>
              <w:left w:type="dxa" w:w="120"/>
              <w:bottom w:type="dxa" w:w="60"/>
              <w:right w:type="dxa" w:w="120"/>
            </w:tcMar>
          </w:tcPr>
          <w:p>
            <w:r>
              <w:rPr>
                <w:rFonts w:ascii="Arial" w:cs="Arial" w:eastAsia="Arial" w:hAnsi="Arial"/>
                <w:b w:val="false"/>
                <w:bCs w:val="false"/>
                <w:color w:val="1F2937"/>
                <w:sz w:val="18"/>
                <w:szCs w:val="18"/>
              </w:rPr>
              <w:t xml:space="preserve">50 / 50</w:t>
            </w:r>
          </w:p>
        </w:tc>
        <w:tc>
          <w:tcPr>
            <w:tcW w:type="dxa" w:w="2000"/>
            <w:tcBorders>
              <w:top w:val="single" w:color="CBD5E1" w:sz="4"/>
              <w:left w:val="single" w:color="CBD5E1" w:sz="4"/>
              <w:bottom w:val="single" w:color="CBD5E1" w:sz="4"/>
              <w:right w:val="single" w:color="CBD5E1" w:sz="4"/>
            </w:tcBorders>
            <w:shd w:fill="F4F7FB" w:val="clear"/>
            <w:tcMar>
              <w:top w:type="dxa" w:w="60"/>
              <w:left w:type="dxa" w:w="120"/>
              <w:bottom w:type="dxa" w:w="60"/>
              <w:right w:type="dxa" w:w="120"/>
            </w:tcMar>
          </w:tcPr>
          <w:p>
            <w:r>
              <w:rPr>
                <w:rFonts w:ascii="Arial" w:cs="Arial" w:eastAsia="Arial" w:hAnsi="Arial"/>
                <w:b w:val="false"/>
                <w:bCs w:val="false"/>
                <w:color w:val="1F2937"/>
                <w:sz w:val="18"/>
                <w:szCs w:val="18"/>
              </w:rPr>
              <w:t xml:space="preserve">$63,288</w:t>
            </w:r>
          </w:p>
        </w:tc>
        <w:tc>
          <w:tcPr>
            <w:tcW w:type="dxa" w:w="2000"/>
            <w:tcBorders>
              <w:top w:val="single" w:color="CBD5E1" w:sz="4"/>
              <w:left w:val="single" w:color="CBD5E1" w:sz="4"/>
              <w:bottom w:val="single" w:color="CBD5E1" w:sz="4"/>
              <w:right w:val="single" w:color="CBD5E1" w:sz="4"/>
            </w:tcBorders>
            <w:shd w:fill="F4F7FB" w:val="clear"/>
            <w:tcMar>
              <w:top w:type="dxa" w:w="60"/>
              <w:left w:type="dxa" w:w="120"/>
              <w:bottom w:type="dxa" w:w="60"/>
              <w:right w:type="dxa" w:w="120"/>
            </w:tcMar>
          </w:tcPr>
          <w:p>
            <w:r>
              <w:rPr>
                <w:rFonts w:ascii="Arial" w:cs="Arial" w:eastAsia="Arial" w:hAnsi="Arial"/>
                <w:b w:val="false"/>
                <w:bCs w:val="false"/>
                <w:color w:val="1F2937"/>
                <w:sz w:val="18"/>
                <w:szCs w:val="18"/>
              </w:rPr>
              <w:t xml:space="preserve">$21,764</w:t>
            </w:r>
          </w:p>
        </w:tc>
      </w:tr>
      <w:tr>
        <w:tc>
          <w:tcPr>
            <w:tcW w:type="dxa" w:w="3360"/>
            <w:tcBorders>
              <w:top w:val="single" w:color="CBD5E1" w:sz="4"/>
              <w:left w:val="single" w:color="CBD5E1" w:sz="4"/>
              <w:bottom w:val="single" w:color="CBD5E1" w:sz="4"/>
              <w:right w:val="single" w:color="CBD5E1" w:sz="4"/>
            </w:tcBorders>
            <w:tcMar>
              <w:top w:type="dxa" w:w="60"/>
              <w:left w:type="dxa" w:w="120"/>
              <w:bottom w:type="dxa" w:w="60"/>
              <w:right w:type="dxa" w:w="120"/>
            </w:tcMar>
          </w:tcPr>
          <w:p>
            <w:r>
              <w:rPr>
                <w:rFonts w:ascii="Arial" w:cs="Arial" w:eastAsia="Arial" w:hAnsi="Arial"/>
                <w:b w:val="false"/>
                <w:bCs w:val="false"/>
                <w:color w:val="1F2937"/>
                <w:sz w:val="18"/>
                <w:szCs w:val="18"/>
              </w:rPr>
              <w:t xml:space="preserve">East West Apartments</w:t>
            </w:r>
          </w:p>
        </w:tc>
        <w:tc>
          <w:tcPr>
            <w:tcW w:type="dxa" w:w="2000"/>
            <w:tcBorders>
              <w:top w:val="single" w:color="CBD5E1" w:sz="4"/>
              <w:left w:val="single" w:color="CBD5E1" w:sz="4"/>
              <w:bottom w:val="single" w:color="CBD5E1" w:sz="4"/>
              <w:right w:val="single" w:color="CBD5E1" w:sz="4"/>
            </w:tcBorders>
            <w:tcMar>
              <w:top w:type="dxa" w:w="60"/>
              <w:left w:type="dxa" w:w="120"/>
              <w:bottom w:type="dxa" w:w="60"/>
              <w:right w:type="dxa" w:w="120"/>
            </w:tcMar>
          </w:tcPr>
          <w:p>
            <w:r>
              <w:rPr>
                <w:rFonts w:ascii="Arial" w:cs="Arial" w:eastAsia="Arial" w:hAnsi="Arial"/>
                <w:b w:val="false"/>
                <w:bCs w:val="false"/>
                <w:color w:val="1F2937"/>
                <w:sz w:val="18"/>
                <w:szCs w:val="18"/>
              </w:rPr>
              <w:t xml:space="preserve">20 / 20</w:t>
            </w:r>
          </w:p>
        </w:tc>
        <w:tc>
          <w:tcPr>
            <w:tcW w:type="dxa" w:w="2000"/>
            <w:tcBorders>
              <w:top w:val="single" w:color="CBD5E1" w:sz="4"/>
              <w:left w:val="single" w:color="CBD5E1" w:sz="4"/>
              <w:bottom w:val="single" w:color="CBD5E1" w:sz="4"/>
              <w:right w:val="single" w:color="CBD5E1" w:sz="4"/>
            </w:tcBorders>
            <w:tcMar>
              <w:top w:type="dxa" w:w="60"/>
              <w:left w:type="dxa" w:w="120"/>
              <w:bottom w:type="dxa" w:w="60"/>
              <w:right w:type="dxa" w:w="120"/>
            </w:tcMar>
          </w:tcPr>
          <w:p>
            <w:r>
              <w:rPr>
                <w:rFonts w:ascii="Arial" w:cs="Arial" w:eastAsia="Arial" w:hAnsi="Arial"/>
                <w:b w:val="false"/>
                <w:bCs w:val="false"/>
                <w:color w:val="1F2937"/>
                <w:sz w:val="18"/>
                <w:szCs w:val="18"/>
              </w:rPr>
              <w:t xml:space="preserve">$16,497</w:t>
            </w:r>
          </w:p>
        </w:tc>
        <w:tc>
          <w:tcPr>
            <w:tcW w:type="dxa" w:w="2000"/>
            <w:tcBorders>
              <w:top w:val="single" w:color="CBD5E1" w:sz="4"/>
              <w:left w:val="single" w:color="CBD5E1" w:sz="4"/>
              <w:bottom w:val="single" w:color="CBD5E1" w:sz="4"/>
              <w:right w:val="single" w:color="CBD5E1" w:sz="4"/>
            </w:tcBorders>
            <w:tcMar>
              <w:top w:type="dxa" w:w="60"/>
              <w:left w:type="dxa" w:w="120"/>
              <w:bottom w:type="dxa" w:w="60"/>
              <w:right w:type="dxa" w:w="120"/>
            </w:tcMar>
          </w:tcPr>
          <w:p>
            <w:r>
              <w:rPr>
                <w:rFonts w:ascii="Arial" w:cs="Arial" w:eastAsia="Arial" w:hAnsi="Arial"/>
                <w:b w:val="false"/>
                <w:bCs w:val="false"/>
                <w:color w:val="1F2937"/>
                <w:sz w:val="18"/>
                <w:szCs w:val="18"/>
              </w:rPr>
              <w:t xml:space="preserve">$39,681</w:t>
            </w:r>
          </w:p>
        </w:tc>
      </w:tr>
      <w:tr>
        <w:tc>
          <w:tcPr>
            <w:tcW w:type="dxa" w:w="3360"/>
            <w:tcBorders>
              <w:top w:val="single" w:color="CBD5E1" w:sz="4"/>
              <w:left w:val="single" w:color="CBD5E1" w:sz="4"/>
              <w:bottom w:val="single" w:color="CBD5E1" w:sz="4"/>
              <w:right w:val="single" w:color="CBD5E1" w:sz="4"/>
            </w:tcBorders>
            <w:shd w:fill="F4F7FB" w:val="clear"/>
            <w:tcMar>
              <w:top w:type="dxa" w:w="60"/>
              <w:left w:type="dxa" w:w="120"/>
              <w:bottom w:type="dxa" w:w="60"/>
              <w:right w:type="dxa" w:w="120"/>
            </w:tcMar>
          </w:tcPr>
          <w:p>
            <w:r>
              <w:rPr>
                <w:rFonts w:ascii="Arial" w:cs="Arial" w:eastAsia="Arial" w:hAnsi="Arial"/>
                <w:b w:val="false"/>
                <w:bCs w:val="false"/>
                <w:color w:val="1F2937"/>
                <w:sz w:val="18"/>
                <w:szCs w:val="18"/>
              </w:rPr>
              <w:t xml:space="preserve">Tidioute Towers</w:t>
            </w:r>
          </w:p>
        </w:tc>
        <w:tc>
          <w:tcPr>
            <w:tcW w:type="dxa" w:w="2000"/>
            <w:tcBorders>
              <w:top w:val="single" w:color="CBD5E1" w:sz="4"/>
              <w:left w:val="single" w:color="CBD5E1" w:sz="4"/>
              <w:bottom w:val="single" w:color="CBD5E1" w:sz="4"/>
              <w:right w:val="single" w:color="CBD5E1" w:sz="4"/>
            </w:tcBorders>
            <w:shd w:fill="F4F7FB" w:val="clear"/>
            <w:tcMar>
              <w:top w:type="dxa" w:w="60"/>
              <w:left w:type="dxa" w:w="120"/>
              <w:bottom w:type="dxa" w:w="60"/>
              <w:right w:type="dxa" w:w="120"/>
            </w:tcMar>
          </w:tcPr>
          <w:p>
            <w:r>
              <w:rPr>
                <w:rFonts w:ascii="Arial" w:cs="Arial" w:eastAsia="Arial" w:hAnsi="Arial"/>
                <w:b w:val="false"/>
                <w:bCs w:val="false"/>
                <w:color w:val="1F2937"/>
                <w:sz w:val="18"/>
                <w:szCs w:val="18"/>
              </w:rPr>
              <w:t xml:space="preserve">49 / 53</w:t>
            </w:r>
          </w:p>
        </w:tc>
        <w:tc>
          <w:tcPr>
            <w:tcW w:type="dxa" w:w="2000"/>
            <w:tcBorders>
              <w:top w:val="single" w:color="CBD5E1" w:sz="4"/>
              <w:left w:val="single" w:color="CBD5E1" w:sz="4"/>
              <w:bottom w:val="single" w:color="CBD5E1" w:sz="4"/>
              <w:right w:val="single" w:color="CBD5E1" w:sz="4"/>
            </w:tcBorders>
            <w:shd w:fill="F4F7FB" w:val="clear"/>
            <w:tcMar>
              <w:top w:type="dxa" w:w="60"/>
              <w:left w:type="dxa" w:w="120"/>
              <w:bottom w:type="dxa" w:w="60"/>
              <w:right w:type="dxa" w:w="120"/>
            </w:tcMar>
          </w:tcPr>
          <w:p>
            <w:r>
              <w:rPr>
                <w:rFonts w:ascii="Arial" w:cs="Arial" w:eastAsia="Arial" w:hAnsi="Arial"/>
                <w:b w:val="false"/>
                <w:bCs w:val="false"/>
                <w:color w:val="1F2937"/>
                <w:sz w:val="18"/>
                <w:szCs w:val="18"/>
              </w:rPr>
              <w:t xml:space="preserve">$54,410</w:t>
            </w:r>
          </w:p>
        </w:tc>
        <w:tc>
          <w:tcPr>
            <w:tcW w:type="dxa" w:w="2000"/>
            <w:tcBorders>
              <w:top w:val="single" w:color="CBD5E1" w:sz="4"/>
              <w:left w:val="single" w:color="CBD5E1" w:sz="4"/>
              <w:bottom w:val="single" w:color="CBD5E1" w:sz="4"/>
              <w:right w:val="single" w:color="CBD5E1" w:sz="4"/>
            </w:tcBorders>
            <w:shd w:fill="F4F7FB" w:val="clear"/>
            <w:tcMar>
              <w:top w:type="dxa" w:w="60"/>
              <w:left w:type="dxa" w:w="120"/>
              <w:bottom w:type="dxa" w:w="60"/>
              <w:right w:type="dxa" w:w="120"/>
            </w:tcMar>
          </w:tcPr>
          <w:p>
            <w:r>
              <w:rPr>
                <w:rFonts w:ascii="Arial" w:cs="Arial" w:eastAsia="Arial" w:hAnsi="Arial"/>
                <w:b w:val="false"/>
                <w:bCs w:val="false"/>
                <w:color w:val="1F2937"/>
                <w:sz w:val="18"/>
                <w:szCs w:val="18"/>
              </w:rPr>
              <w:t xml:space="preserve">$43,531</w:t>
            </w:r>
          </w:p>
        </w:tc>
      </w:tr>
      <w:tr>
        <w:tc>
          <w:tcPr>
            <w:tcW w:type="dxa" w:w="3360"/>
            <w:tcBorders>
              <w:top w:val="single" w:color="CBD5E1" w:sz="4"/>
              <w:left w:val="single" w:color="CBD5E1" w:sz="4"/>
              <w:bottom w:val="single" w:color="CBD5E1" w:sz="4"/>
              <w:right w:val="single" w:color="CBD5E1" w:sz="4"/>
            </w:tcBorders>
            <w:shd w:fill="F4F7FB" w:val="clear"/>
            <w:tcMar>
              <w:top w:type="dxa" w:w="60"/>
              <w:left w:type="dxa" w:w="120"/>
              <w:bottom w:type="dxa" w:w="60"/>
              <w:right w:type="dxa" w:w="120"/>
            </w:tcMar>
          </w:tcPr>
          <w:p>
            <w:r>
              <w:rPr>
                <w:rFonts w:ascii="Arial" w:cs="Arial" w:eastAsia="Arial" w:hAnsi="Arial"/>
                <w:b/>
                <w:bCs/>
                <w:color w:val="0B1F3A"/>
                <w:sz w:val="18"/>
                <w:szCs w:val="18"/>
              </w:rPr>
              <w:t xml:space="preserve">PORTFOLIO TOTAL</w:t>
            </w:r>
          </w:p>
        </w:tc>
        <w:tc>
          <w:tcPr>
            <w:tcW w:type="dxa" w:w="2000"/>
            <w:tcBorders>
              <w:top w:val="single" w:color="CBD5E1" w:sz="4"/>
              <w:left w:val="single" w:color="CBD5E1" w:sz="4"/>
              <w:bottom w:val="single" w:color="CBD5E1" w:sz="4"/>
              <w:right w:val="single" w:color="CBD5E1" w:sz="4"/>
            </w:tcBorders>
            <w:shd w:fill="E7EDF6" w:val="clear"/>
            <w:tcMar>
              <w:top w:type="dxa" w:w="60"/>
              <w:left w:type="dxa" w:w="120"/>
              <w:bottom w:type="dxa" w:w="60"/>
              <w:right w:type="dxa" w:w="120"/>
            </w:tcMar>
          </w:tcPr>
          <w:p>
            <w:r>
              <w:rPr>
                <w:rFonts w:ascii="Arial" w:cs="Arial" w:eastAsia="Arial" w:hAnsi="Arial"/>
                <w:b/>
                <w:bCs/>
                <w:color w:val="0B1F3A"/>
                <w:sz w:val="18"/>
                <w:szCs w:val="18"/>
              </w:rPr>
              <w:t xml:space="preserve">151 / 155 = 97.4%</w:t>
            </w:r>
          </w:p>
        </w:tc>
        <w:tc>
          <w:tcPr>
            <w:tcW w:type="dxa" w:w="2000"/>
            <w:tcBorders>
              <w:top w:val="single" w:color="CBD5E1" w:sz="4"/>
              <w:left w:val="single" w:color="CBD5E1" w:sz="4"/>
              <w:bottom w:val="single" w:color="CBD5E1" w:sz="4"/>
              <w:right w:val="single" w:color="CBD5E1" w:sz="4"/>
            </w:tcBorders>
            <w:shd w:fill="E7EDF6" w:val="clear"/>
            <w:tcMar>
              <w:top w:type="dxa" w:w="60"/>
              <w:left w:type="dxa" w:w="120"/>
              <w:bottom w:type="dxa" w:w="60"/>
              <w:right w:type="dxa" w:w="120"/>
            </w:tcMar>
          </w:tcPr>
          <w:p>
            <w:r>
              <w:rPr>
                <w:rFonts w:ascii="Arial" w:cs="Arial" w:eastAsia="Arial" w:hAnsi="Arial"/>
                <w:b/>
                <w:bCs/>
                <w:color w:val="0B1F3A"/>
                <w:sz w:val="18"/>
                <w:szCs w:val="18"/>
              </w:rPr>
              <w:t xml:space="preserve">$160,813</w:t>
            </w:r>
          </w:p>
        </w:tc>
        <w:tc>
          <w:tcPr>
            <w:tcW w:type="dxa" w:w="2000"/>
            <w:tcBorders>
              <w:top w:val="single" w:color="CBD5E1" w:sz="4"/>
              <w:left w:val="single" w:color="CBD5E1" w:sz="4"/>
              <w:bottom w:val="single" w:color="CBD5E1" w:sz="4"/>
              <w:right w:val="single" w:color="CBD5E1" w:sz="4"/>
            </w:tcBorders>
            <w:shd w:fill="E7EDF6" w:val="clear"/>
            <w:tcMar>
              <w:top w:type="dxa" w:w="60"/>
              <w:left w:type="dxa" w:w="120"/>
              <w:bottom w:type="dxa" w:w="60"/>
              <w:right w:type="dxa" w:w="120"/>
            </w:tcMar>
          </w:tcPr>
          <w:p>
            <w:r>
              <w:rPr>
                <w:rFonts w:ascii="Arial" w:cs="Arial" w:eastAsia="Arial" w:hAnsi="Arial"/>
                <w:b/>
                <w:bCs/>
                <w:color w:val="0B1F3A"/>
                <w:sz w:val="18"/>
                <w:szCs w:val="18"/>
              </w:rPr>
              <w:t xml:space="preserve">$144,063</w:t>
            </w:r>
          </w:p>
        </w:tc>
      </w:tr>
    </w:tbl>
    <w:p>
      <w:pPr>
        <w:spacing w:after="200" w:before="120"/>
      </w:pPr>
      <w:r>
        <w:rPr>
          <w:rFonts w:ascii="Arial" w:cs="Arial" w:eastAsia="Arial" w:hAnsi="Arial"/>
          <w:color w:val="1F2937"/>
          <w:sz w:val="19"/>
          <w:szCs w:val="19"/>
        </w:rPr>
        <w:t xml:space="preserve">Dashboard shows 97.4% portfolio occupancy, $160,813 total income, and $144,063 operating cash.</w:t>
      </w:r>
      <w:r>
        <w:rPr>
          <w:rFonts w:ascii="Arial" w:cs="Arial" w:eastAsia="Arial" w:hAnsi="Arial"/>
          <w:b/>
          <w:bCs/>
          <w:color w:val="15803D"/>
          <w:sz w:val="19"/>
          <w:szCs w:val="19"/>
        </w:rPr>
        <w:t xml:space="preserve">  ✓ matches dashboard</w:t>
      </w:r>
    </w:p>
    <w:p>
      <w:pPr>
        <w:spacing w:after="80"/>
      </w:pPr>
      <w:r>
        <w:rPr>
          <w:rFonts w:ascii="Arial" w:cs="Arial" w:eastAsia="Arial" w:hAnsi="Arial"/>
          <w:b/>
          <w:bCs/>
          <w:color w:val="0B1F3A"/>
          <w:sz w:val="22"/>
          <w:szCs w:val="22"/>
        </w:rPr>
        <w:t xml:space="preserve">How to spot-check any number yourself</w:t>
      </w:r>
    </w:p>
    <w:p>
      <w:pPr>
        <w:pStyle w:val="ListParagraph"/>
        <w:numPr>
          <w:ilvl w:val="0"/>
          <w:numId w:val="2"/>
        </w:numPr>
        <w:spacing w:after="40"/>
      </w:pPr>
      <w:r>
        <w:rPr>
          <w:rFonts w:ascii="Arial" w:cs="Arial" w:eastAsia="Arial" w:hAnsi="Arial"/>
          <w:color w:val="1F2937"/>
          <w:sz w:val="19"/>
          <w:szCs w:val="19"/>
        </w:rPr>
        <w:t xml:space="preserve">Open the matching report for the property (for example, the General Ledger for cash, reserves, payables, income, capital, or the Rent Roll for occupancy and deposits).</w:t>
      </w:r>
    </w:p>
    <w:p>
      <w:pPr>
        <w:pStyle w:val="ListParagraph"/>
        <w:numPr>
          <w:ilvl w:val="0"/>
          <w:numId w:val="2"/>
        </w:numPr>
        <w:spacing w:after="40"/>
      </w:pPr>
      <w:r>
        <w:rPr>
          <w:rFonts w:ascii="Arial" w:cs="Arial" w:eastAsia="Arial" w:hAnsi="Arial"/>
          <w:color w:val="1F2937"/>
          <w:sz w:val="19"/>
          <w:szCs w:val="19"/>
        </w:rPr>
        <w:t xml:space="preserve">Find the account number or column named above.</w:t>
      </w:r>
    </w:p>
    <w:p>
      <w:pPr>
        <w:pStyle w:val="ListParagraph"/>
        <w:numPr>
          <w:ilvl w:val="0"/>
          <w:numId w:val="2"/>
        </w:numPr>
        <w:spacing w:after="40"/>
      </w:pPr>
      <w:r>
        <w:rPr>
          <w:rFonts w:ascii="Arial" w:cs="Arial" w:eastAsia="Arial" w:hAnsi="Arial"/>
          <w:color w:val="1F2937"/>
          <w:sz w:val="19"/>
          <w:szCs w:val="19"/>
        </w:rPr>
        <w:t xml:space="preserve">Read the ending balance (for ledger accounts) or apply the simple math shown.</w:t>
      </w:r>
    </w:p>
    <w:p>
      <w:pPr>
        <w:pStyle w:val="ListParagraph"/>
        <w:numPr>
          <w:ilvl w:val="0"/>
          <w:numId w:val="2"/>
        </w:numPr>
        <w:spacing w:after="40"/>
      </w:pPr>
      <w:r>
        <w:rPr>
          <w:rFonts w:ascii="Arial" w:cs="Arial" w:eastAsia="Arial" w:hAnsi="Arial"/>
          <w:color w:val="1F2937"/>
          <w:sz w:val="19"/>
          <w:szCs w:val="19"/>
        </w:rPr>
        <w:t xml:space="preserve">On the dashboard, click the card or table row — a panel slides open listing the exact transactions behind that number.</w:t>
      </w:r>
    </w:p>
    <w:p>
      <w:pPr>
        <w:spacing w:before="200"/>
      </w:pPr>
      <w:r>
        <w:rPr>
          <w:rFonts w:ascii="Arial" w:cs="Arial" w:eastAsia="Arial" w:hAnsi="Arial"/>
          <w:i/>
          <w:iCs/>
          <w:color w:val="5B6470"/>
          <w:sz w:val="17"/>
          <w:szCs w:val="17"/>
        </w:rPr>
        <w:t xml:space="preserve">Prepared by HelloIT Pros for Gateway Management Services.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B6470"/>
        <w:sz w:val="15"/>
        <w:szCs w:val="15"/>
      </w:rPr>
      <w:t xml:space="preserve">Gateway Management — Data Validation Summary</w:t>
    </w:r>
    <w:r>
      <w:rPr>
        <w:rFonts w:ascii="Arial" w:cs="Arial" w:eastAsia="Arial" w:hAnsi="Arial"/>
        <w:color w:val="5B6470"/>
        <w:sz w:val="15"/>
        <w:szCs w:val="15"/>
      </w:rPr>
      <w:t xml:space="preserve">	Page </w:t>
    </w:r>
    <w:r>
      <w:rPr>
        <w:rFonts w:ascii="Arial" w:cs="Arial" w:eastAsia="Arial" w:hAnsi="Arial"/>
        <w:color w:val="5B64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2026-06-17T12:35:02.317Z</dcterms:created>
  <dcterms:modified xsi:type="dcterms:W3CDTF">2026-06-17T12:35:02.321Z</dcterms:modified>
</cp:coreProperties>
</file>

<file path=docProps/custom.xml><?xml version="1.0" encoding="utf-8"?>
<Properties xmlns="http://schemas.openxmlformats.org/officeDocument/2006/custom-properties" xmlns:vt="http://schemas.openxmlformats.org/officeDocument/2006/docPropsVTypes"/>
</file>