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580"/>
        <w:gridCol w:w="2550"/>
        <w:gridCol w:w="2970"/>
        <w:tblGridChange w:id="0">
          <w:tblGrid>
            <w:gridCol w:w="660"/>
            <w:gridCol w:w="2580"/>
            <w:gridCol w:w="2550"/>
            <w:gridCol w:w="29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Система или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Что унифицируем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Зачем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Материнские платы и бэкплейны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Форм-фактор (M.2 2280, U.2/U.3, 2.5" SATA) и интерфейс (PCIe NVMe, SATA III)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Физическая и электрическая совместимость со слотами ПК и серверов, исключение переходников.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Корпуса устройств, серверные стойки и салазки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Габаритные размеры (толщина 7 мм / 15 мм) и точки крепления (стандарты ISO/IEC)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Быстрая установка и горячая замена без модификации крепежей и салазок.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Подсистема электроснабжения и БП (включая ИБП)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Напряжение питания (+3.3V/+5V/+12V), пиковая мощность и наличие PLP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Защита от перегрузок и предотвращение потери данных при внезапном обесточивании.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Операционные системы и гипервизоры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Драйверы, размер сектора (512e/4Kn), спецификации команд (NVMe, TRIM/UNMAP)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Корректная работа файловых систем (NTFS, ext4, VMFS, ZFS) и сохранение производительности.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Системы мониторинга IT-инфраструктуры (Zabbix, Prometheus)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Протоколы телеметрии (S.M.A.R.T., NVMe-MI) и атрибуты износа (TBW, DWPD)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Автоматизированный контроль состояния SSD и своевременная превентивная замена.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Средства защиты информации и DLP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Спецификации аппаратного шифрования (TCG Opal 2.0, IEEE 1667, AES-256)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Выполнение стандартов безопасности без снижения производительности CPU.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Системы резервного копирования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Совместимость с СРК, ресурс (TBW, MTBF) и протоколы передачи данных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Высокая скорость создания бэкапов и надежность при частых циклах перезаписи.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ktztfl1i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 кейса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Закупается единая линейка SSD одного вендора (деление на Client-серию и Enterprise-серию).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бухгалтерии</w:t>
      </w:r>
      <w:r w:rsidDel="00000000" w:rsidR="00000000" w:rsidRPr="00000000">
        <w:rPr>
          <w:rtl w:val="0"/>
        </w:rPr>
        <w:t xml:space="preserve"> — M.2 NVMe (256 ГБ).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отдела разработки</w:t>
      </w:r>
      <w:r w:rsidDel="00000000" w:rsidR="00000000" w:rsidRPr="00000000">
        <w:rPr>
          <w:rtl w:val="0"/>
        </w:rPr>
        <w:t xml:space="preserve"> — M.2 NVMe (512 ГБ).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отдела дизайна</w:t>
      </w:r>
      <w:r w:rsidDel="00000000" w:rsidR="00000000" w:rsidRPr="00000000">
        <w:rPr>
          <w:rtl w:val="0"/>
        </w:rPr>
        <w:t xml:space="preserve"> — M.2 NVMe (1 ТБ / 1024 ГБ).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серверного сегмента</w:t>
      </w:r>
      <w:r w:rsidDel="00000000" w:rsidR="00000000" w:rsidRPr="00000000">
        <w:rPr>
          <w:rtl w:val="0"/>
        </w:rPr>
        <w:t xml:space="preserve"> — U.2 / U.3 NVMe Enterprise (2 ТБ / 2048 ГБ).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Для архивного сервера</w:t>
      </w:r>
      <w:r w:rsidDel="00000000" w:rsidR="00000000" w:rsidRPr="00000000">
        <w:rPr>
          <w:rtl w:val="0"/>
        </w:rPr>
        <w:t xml:space="preserve"> — 2.5" SATA III или U.2 NVMe Enterprise Read-Intensive (4 ТБ / 4096 ГБ).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размер логического сектора — </w:t>
      </w:r>
      <w:r w:rsidDel="00000000" w:rsidR="00000000" w:rsidRPr="00000000">
        <w:rPr>
          <w:b w:val="1"/>
          <w:bCs w:val="1"/>
          <w:rtl w:val="0"/>
        </w:rPr>
        <w:t xml:space="preserve">512e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Везде поддержка </w:t>
      </w:r>
      <w:r w:rsidDel="00000000" w:rsidR="00000000" w:rsidRPr="00000000">
        <w:rPr>
          <w:b w:val="1"/>
          <w:bCs w:val="1"/>
          <w:rtl w:val="0"/>
        </w:rPr>
        <w:t xml:space="preserve">TRIM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UNMAP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S.M.A.R.T.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серверов и архива — обязательная аппаратно-схемная защита от потери питания (</w:t>
      </w:r>
      <w:r w:rsidDel="00000000" w:rsidR="00000000" w:rsidRPr="00000000">
        <w:rPr>
          <w:b w:val="1"/>
          <w:bCs w:val="1"/>
          <w:rtl w:val="0"/>
        </w:rPr>
        <w:t xml:space="preserve">PLP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1995"/>
        <w:gridCol w:w="1125"/>
        <w:gridCol w:w="2850"/>
        <w:tblGridChange w:id="0">
          <w:tblGrid>
            <w:gridCol w:w="2790"/>
            <w:gridCol w:w="1995"/>
            <w:gridCol w:w="1125"/>
            <w:gridCol w:w="28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Технический регламент / Норматив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Вид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Схема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ТР ТС 004/2011</w:t>
            </w:r>
            <w:r w:rsidDel="00000000" w:rsidR="00000000" w:rsidRPr="00000000">
              <w:rPr>
                <w:color w:val="1f1f1f"/>
                <w:rtl w:val="0"/>
              </w:rPr>
              <w:t xml:space="preserve"> (Низковольтное оборудование)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Сертификат соответствия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Ввоз ограниченной партии (100 шт.). Требуются испытания образцов из конкретной партии.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ТР ТС 020/2011</w:t>
            </w:r>
            <w:r w:rsidDel="00000000" w:rsidR="00000000" w:rsidRPr="00000000">
              <w:rPr>
                <w:color w:val="1f1f1f"/>
                <w:rtl w:val="0"/>
              </w:rPr>
              <w:t xml:space="preserve"> (Электромагнитная совместимость)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Сертификат соответствия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Ввозится партия персональных ЭВМ. Объединяется в один сертификат с ТР ТС 004/2011.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ТР ЕАЭС 037/2016</w:t>
            </w:r>
            <w:r w:rsidDel="00000000" w:rsidR="00000000" w:rsidRPr="00000000">
              <w:rPr>
                <w:color w:val="1f1f1f"/>
                <w:rtl w:val="0"/>
              </w:rPr>
              <w:t xml:space="preserve"> (Ограничение опасных веществ)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Декларация о соответствии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2д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Декларирование партии изделий. Допускается замена декларации на сертификат (схема 3с) для единого пакета документов.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Решение Коллегии ЕЭК № 30</w:t>
            </w:r>
            <w:r w:rsidDel="00000000" w:rsidR="00000000" w:rsidRPr="00000000">
              <w:rPr>
                <w:color w:val="1f1f1f"/>
                <w:rtl w:val="0"/>
              </w:rPr>
              <w:t xml:space="preserve"> (Криптография, Wi-Fi/Bluetooth)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Нотификация ФСБ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Обязательный документ для ввоза устройств с функциями шифрования и беспроводной связью.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nmr4nlr2o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Алгоритм действий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товара и подготовка комплекта документов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Сбор технического описания, руководства пользователя на русском языке, контракта поставки, инвойса и спецификации на 100 шт.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наличия действующей Нотификации ФСБ на данную модель в едином реестре ЕЭК. При отсутствии — оформление и регистрация нотификации через изготовителя/доверенное лицо.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Ввоз проб и образцов для испытаний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Заключение договора с аккредитованным Органом по сертификации (ОС).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Получение от ОС письма для таможни на ввоз проб и образцов (обычно 1–2 шт.).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Оформление таможенной декларации на образцы (процедура «выпуск для внутреннего потребления») и их ввоз в РФ.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Проведение лабораторных испытаний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Передача образцов в аккредитованную испытательную лабораторию.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Проведение тестов на безопасность, электромагнитную совместимость и содержание опасных веществ.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Получение официальных Протоколов испытаний (ПИ).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Оформление разрешительных документов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Орган по сертификации регистрирует и выдает </w:t>
      </w:r>
      <w:r w:rsidDel="00000000" w:rsidR="00000000" w:rsidRPr="00000000">
        <w:rPr>
          <w:b w:val="1"/>
          <w:bCs w:val="1"/>
          <w:rtl w:val="0"/>
        </w:rPr>
        <w:t xml:space="preserve">Сертификат соответствия ТР ТС 004/2011 + 020/2011</w:t>
      </w:r>
      <w:r w:rsidDel="00000000" w:rsidR="00000000" w:rsidRPr="00000000">
        <w:rPr>
          <w:rtl w:val="0"/>
        </w:rPr>
        <w:t xml:space="preserve"> по схеме 3с (с указанием размера партии — 100 шт. и серийных номеров).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Регистрация </w:t>
      </w:r>
      <w:r w:rsidDel="00000000" w:rsidR="00000000" w:rsidRPr="00000000">
        <w:rPr>
          <w:b w:val="1"/>
          <w:bCs w:val="1"/>
          <w:rtl w:val="0"/>
        </w:rPr>
        <w:t xml:space="preserve">Декларации ТР ЕАЭС 037/2016</w:t>
      </w:r>
      <w:r w:rsidDel="00000000" w:rsidR="00000000" w:rsidRPr="00000000">
        <w:rPr>
          <w:rtl w:val="0"/>
        </w:rPr>
        <w:t xml:space="preserve"> в реестре Росаккредитации с помощью ЭЦП (либо получение добровольного сертификата взамен декларации).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Маркировка продукции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и нанесение на каждый ноутбук, упаковку и мануал знака обращения </w:t>
      </w:r>
      <w:r w:rsidDel="00000000" w:rsidR="00000000" w:rsidRPr="00000000">
        <w:rPr>
          <w:b w:val="1"/>
          <w:bCs w:val="1"/>
          <w:rtl w:val="0"/>
        </w:rPr>
        <w:t xml:space="preserve">ЕАС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Нанесение обязательной маркировки: наименование, модель, характеристики питания, страна изготовитель, наименование импортера.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Таможенное оформление основной партии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Подача Декларации на товары (ДТ) на таможенный пост.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Указание реквизитов Сертификата соответствия, Декларации 037, Нотификации ФСБ и уплата таможенных пошлин/НДС.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Прохождение таможенного контроля и выпуск партии (100 шт.) в свободное обращение.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