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NSO Acceptance Test Cases</w:t>
      </w:r>
    </w:p>
    <w:p>
      <w:pPr>
        <w:spacing w:before="240"/>
        <w:jc w:val="center"/>
      </w:pPr>
      <w:r>
        <w:rPr>
          <w:rFonts w:ascii="Calibri" w:cs="Calibri" w:eastAsia="Calibri" w:hAnsi="Calibri"/>
          <w:b/>
          <w:bCs/>
          <w:color w:val="44546A"/>
          <w:sz w:val="32"/>
          <w:szCs w:val="32"/>
        </w:rPr>
        <w:t xml:space="preserve">LSA Deployment — GPON Service Provisioning (CFS / RFS Cluster)</w:t>
      </w:r>
    </w:p>
    <w:p>
      <w:pPr>
        <w:spacing w:before="480"/>
        <w:jc w:val="center"/>
      </w:pPr>
      <w:r>
        <w:rPr>
          <w:rFonts w:ascii="Calibri" w:cs="Calibri" w:eastAsia="Calibri" w:hAnsi="Calibri"/>
          <w:color w:val="595959"/>
          <w:sz w:val="24"/>
          <w:szCs w:val="24"/>
        </w:rPr>
        <w:t xml:space="preserve">CLI and Web UI Test Procedures — Tejas EMS Integration</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tabs>
          <w:tab w:val="right" w:pos="9026" w:leader="dot"/>
        </w:tabs>
        <w:spacing w:after="140"/>
        <w:ind w:left="0"/>
      </w:pPr>
      <w:r>
        <w:rPr>
          <w:rFonts w:ascii="Calibri" w:cs="Calibri" w:eastAsia="Calibri" w:hAnsi="Calibri"/>
          <w:b/>
          <w:bCs/>
          <w:sz w:val="22"/>
          <w:szCs w:val="22"/>
        </w:rPr>
        <w:t xml:space="preserve">1. CLI-Based Test Cases</w:t>
      </w:r>
      <w:r>
        <w:rPr>
          <w:rFonts w:ascii="Calibri" w:cs="Calibri" w:eastAsia="Calibri" w:hAnsi="Calibri"/>
          <w:b/>
          <w:bCs/>
          <w:sz w:val="22"/>
          <w:szCs w:val="22"/>
        </w:rPr>
        <w:tab/>
      </w:r>
      <w:r>
        <w:rPr>
          <w:rFonts w:ascii="Calibri" w:cs="Calibri" w:eastAsia="Calibri" w:hAnsi="Calibri"/>
          <w:b/>
          <w:bCs/>
          <w:sz w:val="22"/>
          <w:szCs w:val="22"/>
        </w:rPr>
        <w:t xml:space="preserve">3</w:t>
      </w:r>
    </w:p>
    <w:p>
      <w:pPr>
        <w:tabs>
          <w:tab w:val="right" w:pos="9026" w:leader="dot"/>
        </w:tabs>
        <w:spacing w:after="140"/>
        <w:ind w:left="360"/>
      </w:pPr>
      <w:r>
        <w:rPr>
          <w:rFonts w:ascii="Calibri" w:cs="Calibri" w:eastAsia="Calibri" w:hAnsi="Calibri"/>
          <w:b w:val="false"/>
          <w:bCs w:val="false"/>
          <w:sz w:val="22"/>
          <w:szCs w:val="22"/>
        </w:rPr>
        <w:t xml:space="preserve">Test Case 1: Service Order Submission</w:t>
      </w:r>
      <w:r>
        <w:rPr>
          <w:rFonts w:ascii="Calibri" w:cs="Calibri" w:eastAsia="Calibri" w:hAnsi="Calibri"/>
          <w:b w:val="false"/>
          <w:bCs w:val="false"/>
          <w:sz w:val="22"/>
          <w:szCs w:val="22"/>
        </w:rPr>
        <w:tab/>
      </w:r>
      <w:r>
        <w:rPr>
          <w:rFonts w:ascii="Calibri" w:cs="Calibri" w:eastAsia="Calibri" w:hAnsi="Calibri"/>
          <w:b w:val="false"/>
          <w:bCs w:val="false"/>
          <w:sz w:val="22"/>
          <w:szCs w:val="22"/>
        </w:rPr>
        <w:t xml:space="preserve">3</w:t>
      </w:r>
    </w:p>
    <w:p>
      <w:pPr>
        <w:tabs>
          <w:tab w:val="right" w:pos="9026" w:leader="dot"/>
        </w:tabs>
        <w:spacing w:after="140"/>
        <w:ind w:left="360"/>
      </w:pPr>
      <w:r>
        <w:rPr>
          <w:rFonts w:ascii="Calibri" w:cs="Calibri" w:eastAsia="Calibri" w:hAnsi="Calibri"/>
          <w:b w:val="false"/>
          <w:bCs w:val="false"/>
          <w:sz w:val="22"/>
          <w:szCs w:val="22"/>
        </w:rPr>
        <w:t xml:space="preserve">Test Case 2: Order Processing</w:t>
      </w:r>
      <w:r>
        <w:rPr>
          <w:rFonts w:ascii="Calibri" w:cs="Calibri" w:eastAsia="Calibri" w:hAnsi="Calibri"/>
          <w:b w:val="false"/>
          <w:bCs w:val="false"/>
          <w:sz w:val="22"/>
          <w:szCs w:val="22"/>
        </w:rPr>
        <w:tab/>
      </w:r>
      <w:r>
        <w:rPr>
          <w:rFonts w:ascii="Calibri" w:cs="Calibri" w:eastAsia="Calibri" w:hAnsi="Calibri"/>
          <w:b w:val="false"/>
          <w:bCs w:val="false"/>
          <w:sz w:val="22"/>
          <w:szCs w:val="22"/>
        </w:rPr>
        <w:t xml:space="preserve">3</w:t>
      </w:r>
    </w:p>
    <w:p>
      <w:pPr>
        <w:tabs>
          <w:tab w:val="right" w:pos="9026" w:leader="dot"/>
        </w:tabs>
        <w:spacing w:after="140"/>
        <w:ind w:left="360"/>
      </w:pPr>
      <w:r>
        <w:rPr>
          <w:rFonts w:ascii="Calibri" w:cs="Calibri" w:eastAsia="Calibri" w:hAnsi="Calibri"/>
          <w:b w:val="false"/>
          <w:bCs w:val="false"/>
          <w:sz w:val="22"/>
          <w:szCs w:val="22"/>
        </w:rPr>
        <w:t xml:space="preserve">Test Case 3: Delete</w:t>
      </w:r>
      <w:r>
        <w:rPr>
          <w:rFonts w:ascii="Calibri" w:cs="Calibri" w:eastAsia="Calibri" w:hAnsi="Calibri"/>
          <w:b w:val="false"/>
          <w:bCs w:val="false"/>
          <w:sz w:val="22"/>
          <w:szCs w:val="22"/>
        </w:rPr>
        <w:tab/>
      </w:r>
      <w:r>
        <w:rPr>
          <w:rFonts w:ascii="Calibri" w:cs="Calibri" w:eastAsia="Calibri" w:hAnsi="Calibri"/>
          <w:b w:val="false"/>
          <w:bCs w:val="false"/>
          <w:sz w:val="22"/>
          <w:szCs w:val="22"/>
        </w:rPr>
        <w:t xml:space="preserve">3</w:t>
      </w:r>
    </w:p>
    <w:p>
      <w:pPr>
        <w:tabs>
          <w:tab w:val="right" w:pos="9026" w:leader="dot"/>
        </w:tabs>
        <w:spacing w:after="140"/>
        <w:ind w:left="0"/>
      </w:pPr>
      <w:r>
        <w:rPr>
          <w:rFonts w:ascii="Calibri" w:cs="Calibri" w:eastAsia="Calibri" w:hAnsi="Calibri"/>
          <w:b/>
          <w:bCs/>
          <w:sz w:val="22"/>
          <w:szCs w:val="22"/>
        </w:rPr>
        <w:t xml:space="preserve">2. Cluster Node Overview</w:t>
      </w:r>
      <w:r>
        <w:rPr>
          <w:rFonts w:ascii="Calibri" w:cs="Calibri" w:eastAsia="Calibri" w:hAnsi="Calibri"/>
          <w:b/>
          <w:bCs/>
          <w:sz w:val="22"/>
          <w:szCs w:val="22"/>
        </w:rPr>
        <w:tab/>
      </w:r>
      <w:r>
        <w:rPr>
          <w:rFonts w:ascii="Calibri" w:cs="Calibri" w:eastAsia="Calibri" w:hAnsi="Calibri"/>
          <w:b/>
          <w:bCs/>
          <w:sz w:val="22"/>
          <w:szCs w:val="22"/>
        </w:rPr>
        <w:t xml:space="preserve">4</w:t>
      </w:r>
    </w:p>
    <w:p>
      <w:pPr>
        <w:tabs>
          <w:tab w:val="right" w:pos="9026" w:leader="dot"/>
        </w:tabs>
        <w:spacing w:after="140"/>
        <w:ind w:left="0"/>
      </w:pPr>
      <w:r>
        <w:rPr>
          <w:rFonts w:ascii="Calibri" w:cs="Calibri" w:eastAsia="Calibri" w:hAnsi="Calibri"/>
          <w:b/>
          <w:bCs/>
          <w:sz w:val="22"/>
          <w:szCs w:val="22"/>
        </w:rPr>
        <w:t xml:space="preserve">3. UI-Based Test Cases</w:t>
      </w:r>
      <w:r>
        <w:rPr>
          <w:rFonts w:ascii="Calibri" w:cs="Calibri" w:eastAsia="Calibri" w:hAnsi="Calibri"/>
          <w:b/>
          <w:bCs/>
          <w:sz w:val="22"/>
          <w:szCs w:val="22"/>
        </w:rPr>
        <w:tab/>
      </w:r>
      <w:r>
        <w:rPr>
          <w:rFonts w:ascii="Calibri" w:cs="Calibri" w:eastAsia="Calibri" w:hAnsi="Calibri"/>
          <w:b/>
          <w:bCs/>
          <w:sz w:val="22"/>
          <w:szCs w:val="22"/>
        </w:rPr>
        <w:t xml:space="preserve">5</w:t>
      </w:r>
    </w:p>
    <w:p>
      <w:pPr>
        <w:tabs>
          <w:tab w:val="right" w:pos="9026" w:leader="dot"/>
        </w:tabs>
        <w:spacing w:after="140"/>
        <w:ind w:left="360"/>
      </w:pPr>
      <w:r>
        <w:rPr>
          <w:rFonts w:ascii="Calibri" w:cs="Calibri" w:eastAsia="Calibri" w:hAnsi="Calibri"/>
          <w:b w:val="false"/>
          <w:bCs w:val="false"/>
          <w:sz w:val="22"/>
          <w:szCs w:val="22"/>
        </w:rPr>
        <w:t xml:space="preserve">3.1 Web Portal Verification</w:t>
      </w:r>
      <w:r>
        <w:rPr>
          <w:rFonts w:ascii="Calibri" w:cs="Calibri" w:eastAsia="Calibri" w:hAnsi="Calibri"/>
          <w:b w:val="false"/>
          <w:bCs w:val="false"/>
          <w:sz w:val="22"/>
          <w:szCs w:val="22"/>
        </w:rPr>
        <w:tab/>
      </w:r>
      <w:r>
        <w:rPr>
          <w:rFonts w:ascii="Calibri" w:cs="Calibri" w:eastAsia="Calibri" w:hAnsi="Calibri"/>
          <w:b w:val="false"/>
          <w:bCs w:val="false"/>
          <w:sz w:val="22"/>
          <w:szCs w:val="22"/>
        </w:rPr>
        <w:t xml:space="preserve">5</w:t>
      </w:r>
    </w:p>
    <w:p>
      <w:pPr>
        <w:tabs>
          <w:tab w:val="right" w:pos="9026" w:leader="dot"/>
        </w:tabs>
        <w:spacing w:after="140"/>
        <w:ind w:left="720"/>
      </w:pPr>
      <w:r>
        <w:rPr>
          <w:rFonts w:ascii="Calibri" w:cs="Calibri" w:eastAsia="Calibri" w:hAnsi="Calibri"/>
          <w:b w:val="false"/>
          <w:bCs w:val="false"/>
          <w:sz w:val="22"/>
          <w:szCs w:val="22"/>
        </w:rPr>
        <w:t xml:space="preserve">Test Case 4: RFS Cluster Lock/Unlock — Baseline (All Nodes Unlocked)</w:t>
      </w:r>
      <w:r>
        <w:rPr>
          <w:rFonts w:ascii="Calibri" w:cs="Calibri" w:eastAsia="Calibri" w:hAnsi="Calibri"/>
          <w:b w:val="false"/>
          <w:bCs w:val="false"/>
          <w:sz w:val="22"/>
          <w:szCs w:val="22"/>
        </w:rPr>
        <w:tab/>
      </w:r>
      <w:r>
        <w:rPr>
          <w:rFonts w:ascii="Calibri" w:cs="Calibri" w:eastAsia="Calibri" w:hAnsi="Calibri"/>
          <w:b w:val="false"/>
          <w:bCs w:val="false"/>
          <w:sz w:val="22"/>
          <w:szCs w:val="22"/>
        </w:rPr>
        <w:t xml:space="preserve">5</w:t>
      </w:r>
    </w:p>
    <w:p>
      <w:pPr>
        <w:tabs>
          <w:tab w:val="right" w:pos="9026" w:leader="dot"/>
        </w:tabs>
        <w:spacing w:after="140"/>
        <w:ind w:left="720"/>
      </w:pPr>
      <w:r>
        <w:rPr>
          <w:rFonts w:ascii="Calibri" w:cs="Calibri" w:eastAsia="Calibri" w:hAnsi="Calibri"/>
          <w:b w:val="false"/>
          <w:bCs w:val="false"/>
          <w:sz w:val="22"/>
          <w:szCs w:val="22"/>
        </w:rPr>
        <w:t xml:space="preserve">Test Case 5: RFS Cluster Lock/Unlock — Partial Lock (RFS-18 &amp; RFS-20 Locked)</w:t>
      </w:r>
      <w:r>
        <w:rPr>
          <w:rFonts w:ascii="Calibri" w:cs="Calibri" w:eastAsia="Calibri" w:hAnsi="Calibri"/>
          <w:b w:val="false"/>
          <w:bCs w:val="false"/>
          <w:sz w:val="22"/>
          <w:szCs w:val="22"/>
        </w:rPr>
        <w:tab/>
      </w:r>
      <w:r>
        <w:rPr>
          <w:rFonts w:ascii="Calibri" w:cs="Calibri" w:eastAsia="Calibri" w:hAnsi="Calibri"/>
          <w:b w:val="false"/>
          <w:bCs w:val="false"/>
          <w:sz w:val="22"/>
          <w:szCs w:val="22"/>
        </w:rPr>
        <w:t xml:space="preserve">6</w:t>
      </w:r>
    </w:p>
    <w:p>
      <w:pPr>
        <w:tabs>
          <w:tab w:val="right" w:pos="9026" w:leader="dot"/>
        </w:tabs>
        <w:spacing w:after="140"/>
        <w:ind w:left="720"/>
      </w:pPr>
      <w:r>
        <w:rPr>
          <w:rFonts w:ascii="Calibri" w:cs="Calibri" w:eastAsia="Calibri" w:hAnsi="Calibri"/>
          <w:b w:val="false"/>
          <w:bCs w:val="false"/>
          <w:sz w:val="22"/>
          <w:szCs w:val="22"/>
        </w:rPr>
        <w:t xml:space="preserve">Test Case 6: RFS Cluster Lock/Unlock — Alternate Partial Lock (RFS-18 &amp; RFS-19 Locked)</w:t>
      </w:r>
      <w:r>
        <w:rPr>
          <w:rFonts w:ascii="Calibri" w:cs="Calibri" w:eastAsia="Calibri" w:hAnsi="Calibri"/>
          <w:b w:val="false"/>
          <w:bCs w:val="false"/>
          <w:sz w:val="22"/>
          <w:szCs w:val="22"/>
        </w:rPr>
        <w:tab/>
      </w:r>
      <w:r>
        <w:rPr>
          <w:rFonts w:ascii="Calibri" w:cs="Calibri" w:eastAsia="Calibri" w:hAnsi="Calibri"/>
          <w:b w:val="false"/>
          <w:bCs w:val="false"/>
          <w:sz w:val="22"/>
          <w:szCs w:val="22"/>
        </w:rPr>
        <w:t xml:space="preserve">6</w:t>
      </w:r>
    </w:p>
    <w:p>
      <w:r>
        <w:br w:type="page"/>
      </w:r>
    </w:p>
    <w:p>
      <w:pPr>
        <w:sectPr>
          <w:pgSz w:w="11906" w:h="16838" w:orient="portrait"/>
          <w:pgMar w:top="1440" w:right="1440" w:bottom="1440" w:left="1440" w:header="708" w:footer="708" w:gutter="0"/>
          <w:pgNumType/>
          <w:docGrid w:linePitch="360"/>
        </w:sectPr>
      </w:pPr>
    </w:p>
    <w:p>
      <w:pPr>
        <w:pStyle w:val="Heading1"/>
      </w:pPr>
      <w:r>
        <w:t xml:space="preserve">1. CLI-Based Test Cases</w:t>
      </w:r>
    </w:p>
    <w:p>
      <w:r>
        <w:rPr>
          <w:rFonts w:ascii="Calibri" w:cs="Calibri" w:eastAsia="Calibri" w:hAnsi="Calibri"/>
          <w:sz w:val="20"/>
          <w:szCs w:val="20"/>
        </w:rPr>
        <w:t xml:space="preserve">The following test cases validate core NSO service lifecycle operations performed through the command-line interface (CLI), covering service configuration, commit, and deletion.</w:t>
      </w:r>
    </w:p>
    <w:p>
      <w:pPr>
        <w:pStyle w:val="Heading2"/>
        <w:spacing w:after="120" w:before="240"/>
      </w:pPr>
      <w:r>
        <w:t xml:space="preserve">Test Case 1: Service Order Submission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a service instance can be configured in NSO by providing the required service parameters such as device name, OLT details, ONT details, customer ID, VLANs, and bandwidth profile.</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Enter the service configuration mode using the command: services tejas-mns-nso-cfs Tik10012-GPON-300626022237</w:t>
            </w:r>
          </w:p>
          <w:p>
            <w:pPr>
              <w:spacing w:after="80"/>
            </w:pPr>
            <w:r>
              <w:rPr>
                <w:rFonts w:ascii="Calibri" w:cs="Calibri" w:eastAsia="Calibri" w:hAnsi="Calibri"/>
                <w:sz w:val="20"/>
                <w:szCs w:val="20"/>
              </w:rPr>
              <w:t xml:space="preserve">2. Configure the required service parameters, including device name, package, OLT IP address, ONT serial number, ONT model, ONT port, C-VLAN, S-VLAN, customer ID, bandwidth profile, provisioning mode, VLAN tagging, and PON port details.</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The service configuration should accept and display the configured service parameters in the NSO configuration session.</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(Screenshots/logs to be attached)</w:t>
            </w:r>
          </w:p>
        </w:tc>
      </w:tr>
    </w:tbl>
    <w:p>
      <w:pPr>
        <w:pStyle w:val="Heading2"/>
        <w:spacing w:after="120" w:before="240"/>
      </w:pPr>
      <w:r>
        <w:t xml:space="preserve">Test Case 2: Order Processing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the configured service transaction can be committed in NSO.</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Execute the command: commit</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The service configuration transaction should be committed successfully.</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Confirmation that the order committed successfully.</w:t>
            </w:r>
          </w:p>
        </w:tc>
      </w:tr>
    </w:tbl>
    <w:p>
      <w:pPr>
        <w:pStyle w:val="Heading2"/>
        <w:spacing w:after="120" w:before="240"/>
      </w:pPr>
      <w:r>
        <w:t xml:space="preserve">Test Case 3: Delete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an existing service instance can be deleted from NSO and the deletion transaction can be committed.</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Enter configuration mode: config terminal</w:t>
            </w:r>
          </w:p>
          <w:p>
            <w:pPr>
              <w:spacing w:after="80"/>
            </w:pPr>
            <w:r>
              <w:rPr>
                <w:rFonts w:ascii="Calibri" w:cs="Calibri" w:eastAsia="Calibri" w:hAnsi="Calibri"/>
                <w:sz w:val="20"/>
                <w:szCs w:val="20"/>
              </w:rPr>
              <w:t xml:space="preserve">2. Execute the command to delete the required service instance: no services tejas-mns-nso-cfs Tik10012-GPON-300626022237</w:t>
            </w:r>
          </w:p>
          <w:p>
            <w:pPr>
              <w:spacing w:after="80"/>
            </w:pPr>
            <w:r>
              <w:rPr>
                <w:rFonts w:ascii="Calibri" w:cs="Calibri" w:eastAsia="Calibri" w:hAnsi="Calibri"/>
                <w:sz w:val="20"/>
                <w:szCs w:val="20"/>
              </w:rPr>
              <w:t xml:space="preserve">3. Execute the command to commit the configuration changes: commit</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The specified service instance should be deleted, and the commit operation should complete successfully.</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Confirmation that the committed order was successfully deleted.</w:t>
            </w:r>
          </w:p>
        </w:tc>
      </w:tr>
    </w:tbl>
    <w:p>
      <w:r>
        <w:br w:type="page"/>
      </w:r>
    </w:p>
    <w:p>
      <w:pPr>
        <w:pStyle w:val="Heading1"/>
      </w:pPr>
      <w:r>
        <w:t xml:space="preserve">2. Cluster Node Overview</w:t>
      </w:r>
    </w:p>
    <w:p>
      <w:r>
        <w:rPr>
          <w:rFonts w:ascii="Calibri" w:cs="Calibri" w:eastAsia="Calibri" w:hAnsi="Calibri"/>
          <w:sz w:val="20"/>
          <w:szCs w:val="20"/>
        </w:rPr>
        <w:t xml:space="preserve">The table below lists the CFS and RFS nodes referenced throughout this test suite, along with their cluster role and IP address.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shd w:fill="D9E2F3" w:val="clear"/>
          </w:tcPr>
          <w:p>
            <w:r>
              <w:rPr>
                <w:rFonts w:ascii="Calibri" w:cs="Calibri" w:eastAsia="Calibri" w:hAnsi="Calibri"/>
                <w:b/>
                <w:bCs/>
                <w:sz w:val="20"/>
                <w:szCs w:val="20"/>
              </w:rPr>
              <w:t xml:space="preserve">Node</w:t>
            </w:r>
          </w:p>
        </w:tc>
        <w:tc>
          <w:tcPr>
            <w:shd w:fill="D9E2F3" w:val="clear"/>
          </w:tcPr>
          <w:p>
            <w:r>
              <w:rPr>
                <w:rFonts w:ascii="Calibri" w:cs="Calibri" w:eastAsia="Calibri" w:hAnsi="Calibri"/>
                <w:b/>
                <w:bCs/>
                <w:sz w:val="20"/>
                <w:szCs w:val="20"/>
              </w:rPr>
              <w:t xml:space="preserve">Role</w:t>
            </w:r>
          </w:p>
        </w:tc>
        <w:tc>
          <w:tcPr>
            <w:shd w:fill="D9E2F3" w:val="clear"/>
          </w:tcPr>
          <w:p>
            <w:r>
              <w:rPr>
                <w:rFonts w:ascii="Calibri" w:cs="Calibri" w:eastAsia="Calibri" w:hAnsi="Calibri"/>
                <w:b/>
                <w:bCs/>
                <w:sz w:val="20"/>
                <w:szCs w:val="20"/>
              </w:rPr>
              <w:t xml:space="preserve">Node Type</w:t>
            </w:r>
          </w:p>
        </w:tc>
        <w:tc>
          <w:tcPr>
            <w:shd w:fill="D9E2F3" w:val="clear"/>
          </w:tcPr>
          <w:p>
            <w:r>
              <w:rPr>
                <w:rFonts w:ascii="Calibri" w:cs="Calibri" w:eastAsia="Calibri" w:hAnsi="Calibri"/>
                <w:b/>
                <w:bCs/>
                <w:sz w:val="20"/>
                <w:szCs w:val="20"/>
              </w:rPr>
              <w:t xml:space="preserve">IP Address</w:t>
            </w:r>
          </w:p>
        </w:tc>
      </w:tr>
      <w:tr>
        <w:tc>
          <w:p>
            <w:r>
              <w:rPr>
                <w:rFonts w:ascii="Calibri" w:cs="Calibri" w:eastAsia="Calibri" w:hAnsi="Calibri"/>
                <w:sz w:val="20"/>
                <w:szCs w:val="20"/>
              </w:rPr>
              <w:t xml:space="preserve">CFS</w:t>
            </w:r>
          </w:p>
        </w:tc>
        <w:tc>
          <w:p>
            <w:r>
              <w:rPr>
                <w:rFonts w:ascii="Calibri" w:cs="Calibri" w:eastAsia="Calibri" w:hAnsi="Calibri"/>
                <w:sz w:val="20"/>
                <w:szCs w:val="20"/>
              </w:rPr>
              <w:t xml:space="preserve">Central Orchestrator</w:t>
            </w:r>
          </w:p>
        </w:tc>
        <w:tc>
          <w:p>
            <w:r>
              <w:rPr>
                <w:rFonts w:ascii="Calibri" w:cs="Calibri" w:eastAsia="Calibri" w:hAnsi="Calibri"/>
                <w:sz w:val="20"/>
                <w:szCs w:val="20"/>
              </w:rPr>
              <w:t xml:space="preserve">CFS</w:t>
            </w:r>
          </w:p>
        </w:tc>
        <w:tc>
          <w:p>
            <w:r>
              <w:rPr>
                <w:rFonts w:ascii="Calibri" w:cs="Calibri" w:eastAsia="Calibri" w:hAnsi="Calibri"/>
                <w:sz w:val="20"/>
                <w:szCs w:val="20"/>
              </w:rPr>
              <w:t xml:space="preserve">172.28.2.17</w:t>
            </w:r>
          </w:p>
        </w:tc>
      </w:tr>
      <w:tr>
        <w:tc>
          <w:p>
            <w:r>
              <w:rPr>
                <w:rFonts w:ascii="Calibri" w:cs="Calibri" w:eastAsia="Calibri" w:hAnsi="Calibri"/>
                <w:sz w:val="20"/>
                <w:szCs w:val="20"/>
              </w:rPr>
              <w:t xml:space="preserve">RFS-18</w:t>
            </w:r>
          </w:p>
        </w:tc>
        <w:tc>
          <w:p>
            <w:r>
              <w:rPr>
                <w:rFonts w:ascii="Calibri" w:cs="Calibri" w:eastAsia="Calibri" w:hAnsi="Calibri"/>
                <w:sz w:val="20"/>
                <w:szCs w:val="20"/>
              </w:rPr>
              <w:t xml:space="preserve">Leader</w:t>
            </w:r>
          </w:p>
        </w:tc>
        <w:tc>
          <w:p>
            <w:r>
              <w:rPr>
                <w:rFonts w:ascii="Calibri" w:cs="Calibri" w:eastAsia="Calibri" w:hAnsi="Calibri"/>
                <w:sz w:val="20"/>
                <w:szCs w:val="20"/>
              </w:rPr>
              <w:t xml:space="preserve">RFS</w:t>
            </w:r>
          </w:p>
        </w:tc>
        <w:tc>
          <w:p>
            <w:r>
              <w:rPr>
                <w:rFonts w:ascii="Calibri" w:cs="Calibri" w:eastAsia="Calibri" w:hAnsi="Calibri"/>
                <w:sz w:val="20"/>
                <w:szCs w:val="20"/>
              </w:rPr>
              <w:t xml:space="preserve">172.28.2.18</w:t>
            </w:r>
          </w:p>
        </w:tc>
      </w:tr>
      <w:tr>
        <w:tc>
          <w:p>
            <w:r>
              <w:rPr>
                <w:rFonts w:ascii="Calibri" w:cs="Calibri" w:eastAsia="Calibri" w:hAnsi="Calibri"/>
                <w:sz w:val="20"/>
                <w:szCs w:val="20"/>
              </w:rPr>
              <w:t xml:space="preserve">RFS-19</w:t>
            </w:r>
          </w:p>
        </w:tc>
        <w:tc>
          <w:p>
            <w:r>
              <w:rPr>
                <w:rFonts w:ascii="Calibri" w:cs="Calibri" w:eastAsia="Calibri" w:hAnsi="Calibri"/>
                <w:sz w:val="20"/>
                <w:szCs w:val="20"/>
              </w:rPr>
              <w:t xml:space="preserve">Follower</w:t>
            </w:r>
          </w:p>
        </w:tc>
        <w:tc>
          <w:p>
            <w:r>
              <w:rPr>
                <w:rFonts w:ascii="Calibri" w:cs="Calibri" w:eastAsia="Calibri" w:hAnsi="Calibri"/>
                <w:sz w:val="20"/>
                <w:szCs w:val="20"/>
              </w:rPr>
              <w:t xml:space="preserve">RFS</w:t>
            </w:r>
          </w:p>
        </w:tc>
        <w:tc>
          <w:p>
            <w:r>
              <w:rPr>
                <w:rFonts w:ascii="Calibri" w:cs="Calibri" w:eastAsia="Calibri" w:hAnsi="Calibri"/>
                <w:sz w:val="20"/>
                <w:szCs w:val="20"/>
              </w:rPr>
              <w:t xml:space="preserve">172.28.2.19</w:t>
            </w:r>
          </w:p>
        </w:tc>
      </w:tr>
      <w:tr>
        <w:tc>
          <w:p>
            <w:r>
              <w:rPr>
                <w:rFonts w:ascii="Calibri" w:cs="Calibri" w:eastAsia="Calibri" w:hAnsi="Calibri"/>
                <w:sz w:val="20"/>
                <w:szCs w:val="20"/>
              </w:rPr>
              <w:t xml:space="preserve">RFS-20</w:t>
            </w:r>
          </w:p>
        </w:tc>
        <w:tc>
          <w:p>
            <w:r>
              <w:rPr>
                <w:rFonts w:ascii="Calibri" w:cs="Calibri" w:eastAsia="Calibri" w:hAnsi="Calibri"/>
                <w:sz w:val="20"/>
                <w:szCs w:val="20"/>
              </w:rPr>
              <w:t xml:space="preserve">Follower</w:t>
            </w:r>
          </w:p>
        </w:tc>
        <w:tc>
          <w:p>
            <w:r>
              <w:rPr>
                <w:rFonts w:ascii="Calibri" w:cs="Calibri" w:eastAsia="Calibri" w:hAnsi="Calibri"/>
                <w:sz w:val="20"/>
                <w:szCs w:val="20"/>
              </w:rPr>
              <w:t xml:space="preserve">RFS</w:t>
            </w:r>
          </w:p>
        </w:tc>
        <w:tc>
          <w:p>
            <w:r>
              <w:rPr>
                <w:rFonts w:ascii="Calibri" w:cs="Calibri" w:eastAsia="Calibri" w:hAnsi="Calibri"/>
                <w:sz w:val="20"/>
                <w:szCs w:val="20"/>
              </w:rPr>
              <w:t xml:space="preserve">172.28.2.20</w:t>
            </w:r>
          </w:p>
        </w:tc>
      </w:tr>
    </w:tbl>
    <w:p>
      <w:pPr>
        <w:spacing w:before="200"/>
      </w:pPr>
    </w:p>
    <w:p>
      <w:r>
        <w:rPr>
          <w:rFonts w:ascii="Calibri" w:cs="Calibri" w:eastAsia="Calibri" w:hAnsi="Calibri"/>
          <w:sz w:val="20"/>
          <w:szCs w:val="20"/>
        </w:rPr>
        <w:t xml:space="preserve">The following test cases validate RFS cluster node Lock/Unlock behavior. RFS-18, RFS-19, and RFS-20 are configured as RFS nodes, with RFS-18 acting as the Leader and RFS-19 and RFS-20 acting as Followers. Each scenario below confirms that service orders remain visible and manageable across CFS, RFS, and the Tejas EMS field management system under different combinations of node lock states.</w:t>
      </w:r>
    </w:p>
    <w:p>
      <w:r>
        <w:br w:type="page"/>
      </w:r>
    </w:p>
    <w:p>
      <w:pPr>
        <w:pStyle w:val="Heading1"/>
      </w:pPr>
      <w:r>
        <w:t xml:space="preserve">3. UI-Based Test Cases</w:t>
      </w:r>
    </w:p>
    <w:p>
      <w:r>
        <w:rPr>
          <w:rFonts w:ascii="Calibri" w:cs="Calibri" w:eastAsia="Calibri" w:hAnsi="Calibri"/>
          <w:sz w:val="20"/>
          <w:szCs w:val="20"/>
        </w:rPr>
        <w:t xml:space="preserve">These test cases are performed on the web-facing systems — the CFS (172.28.2.17) and RFS (172.28.2.18) web dashboards and the Tejas EMS field management application — and validate that the automated changes made via the CLI are correctly reflected in the systems that business and field teams use on a daily basis.</w:t>
      </w:r>
    </w:p>
    <w:p>
      <w:r>
        <w:rPr>
          <w:rFonts w:ascii="Calibri" w:cs="Calibri" w:eastAsia="Calibri" w:hAnsi="Calibri"/>
          <w:sz w:val="20"/>
          <w:szCs w:val="20"/>
        </w:rPr>
        <w:t xml:space="preserve">The table below summarizes the environment used to conduct this acceptance test.</w:t>
      </w:r>
    </w:p>
    <w:p>
      <w:pPr>
        <w:spacing w:before="12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c>
          <w:tcPr>
            <w:tcW w:type="auto" w:w="0"/>
            <w:shd w:fill="D9E2F3" w:val="clear"/>
          </w:tcPr>
          <w:p>
            <w:r>
              <w:rPr>
                <w:rFonts w:ascii="Calibri" w:cs="Calibri" w:eastAsia="Calibri" w:hAnsi="Calibri"/>
                <w:b/>
                <w:bCs/>
                <w:sz w:val="20"/>
                <w:szCs w:val="20"/>
              </w:rPr>
              <w:t xml:space="preserve">Component</w:t>
            </w:r>
          </w:p>
        </w:tc>
        <w:tc>
          <w:tcPr>
            <w:tcW w:type="auto" w:w="0"/>
            <w:shd w:fill="D9E2F3" w:val="clear"/>
          </w:tcPr>
          <w:p>
            <w:r>
              <w:rPr>
                <w:rFonts w:ascii="Calibri" w:cs="Calibri" w:eastAsia="Calibri" w:hAnsi="Calibri"/>
                <w:b/>
                <w:bCs/>
                <w:sz w:val="20"/>
                <w:szCs w:val="20"/>
              </w:rPr>
              <w:t xml:space="preserve">Role</w:t>
            </w:r>
          </w:p>
        </w:tc>
        <w:tc>
          <w:tcPr>
            <w:tcW w:type="auto" w:w="0"/>
            <w:shd w:fill="D9E2F3" w:val="clear"/>
          </w:tcPr>
          <w:p>
            <w:r>
              <w:rPr>
                <w:rFonts w:ascii="Calibri" w:cs="Calibri" w:eastAsia="Calibri" w:hAnsi="Calibri"/>
                <w:b/>
                <w:bCs/>
                <w:sz w:val="20"/>
                <w:szCs w:val="20"/>
              </w:rPr>
              <w:t xml:space="preserve">IP Address / Identifier</w:t>
            </w:r>
          </w:p>
        </w:tc>
      </w:tr>
      <w:tr>
        <w:tc>
          <w:tcPr>
            <w:tcW w:type="auto" w:w="0"/>
          </w:tcPr>
          <w:p>
            <w:r>
              <w:rPr>
                <w:rFonts w:ascii="Calibri" w:cs="Calibri" w:eastAsia="Calibri" w:hAnsi="Calibri"/>
                <w:sz w:val="20"/>
                <w:szCs w:val="20"/>
              </w:rPr>
              <w:t xml:space="preserve">CFS (Customer Facing Service)</w:t>
            </w:r>
          </w:p>
        </w:tc>
        <w:tc>
          <w:tcPr>
            <w:tcW w:type="auto" w:w="0"/>
          </w:tcPr>
          <w:p>
            <w:r>
              <w:rPr>
                <w:rFonts w:ascii="Calibri" w:cs="Calibri" w:eastAsia="Calibri" w:hAnsi="Calibri"/>
                <w:sz w:val="20"/>
                <w:szCs w:val="20"/>
              </w:rPr>
              <w:t xml:space="preserve">Central orchestration node used for order submission and verification</w:t>
            </w:r>
          </w:p>
        </w:tc>
        <w:tc>
          <w:tcPr>
            <w:tcW w:type="auto" w:w="0"/>
          </w:tcPr>
          <w:p>
            <w:r>
              <w:rPr>
                <w:rFonts w:ascii="Calibri" w:cs="Calibri" w:eastAsia="Calibri" w:hAnsi="Calibri"/>
                <w:sz w:val="20"/>
                <w:szCs w:val="20"/>
              </w:rPr>
              <w:t xml:space="preserve">172.28.2.17</w:t>
            </w:r>
          </w:p>
        </w:tc>
      </w:tr>
      <w:tr>
        <w:tc>
          <w:tcPr>
            <w:tcW w:type="auto" w:w="0"/>
          </w:tcPr>
          <w:p>
            <w:r>
              <w:rPr>
                <w:rFonts w:ascii="Calibri" w:cs="Calibri" w:eastAsia="Calibri" w:hAnsi="Calibri"/>
                <w:sz w:val="20"/>
                <w:szCs w:val="20"/>
              </w:rPr>
              <w:t xml:space="preserve">RFS (Resource Facing Service) Web Portal</w:t>
            </w:r>
          </w:p>
        </w:tc>
        <w:tc>
          <w:tcPr>
            <w:tcW w:type="auto" w:w="0"/>
          </w:tcPr>
          <w:p>
            <w:r>
              <w:rPr>
                <w:rFonts w:ascii="Calibri" w:cs="Calibri" w:eastAsia="Calibri" w:hAnsi="Calibri"/>
                <w:sz w:val="20"/>
                <w:szCs w:val="20"/>
              </w:rPr>
              <w:t xml:space="preserve">Field-facing service node used for order verification</w:t>
            </w:r>
          </w:p>
        </w:tc>
        <w:tc>
          <w:tcPr>
            <w:tcW w:type="auto" w:w="0"/>
          </w:tcPr>
          <w:p>
            <w:r>
              <w:rPr>
                <w:rFonts w:ascii="Calibri" w:cs="Calibri" w:eastAsia="Calibri" w:hAnsi="Calibri"/>
                <w:sz w:val="20"/>
                <w:szCs w:val="20"/>
              </w:rPr>
              <w:t xml:space="preserve">172.28.2.18</w:t>
            </w:r>
          </w:p>
        </w:tc>
      </w:tr>
      <w:tr>
        <w:tc>
          <w:tcPr>
            <w:tcW w:type="auto" w:w="0"/>
          </w:tcPr>
          <w:p>
            <w:r>
              <w:rPr>
                <w:rFonts w:ascii="Calibri" w:cs="Calibri" w:eastAsia="Calibri" w:hAnsi="Calibri"/>
                <w:sz w:val="20"/>
                <w:szCs w:val="20"/>
              </w:rPr>
              <w:t xml:space="preserve">Tejas EMS</w:t>
            </w:r>
          </w:p>
        </w:tc>
        <w:tc>
          <w:tcPr>
            <w:tcW w:type="auto" w:w="0"/>
          </w:tcPr>
          <w:p>
            <w:r>
              <w:rPr>
                <w:rFonts w:ascii="Calibri" w:cs="Calibri" w:eastAsia="Calibri" w:hAnsi="Calibri"/>
                <w:sz w:val="20"/>
                <w:szCs w:val="20"/>
              </w:rPr>
              <w:t xml:space="preserve">Third-party Element Management System for OLT field device verification</w:t>
            </w:r>
          </w:p>
        </w:tc>
        <w:tc>
          <w:tcPr>
            <w:tcW w:type="auto" w:w="0"/>
          </w:tcPr>
          <w:p>
            <w:r>
              <w:rPr>
                <w:rFonts w:ascii="Calibri" w:cs="Calibri" w:eastAsia="Calibri" w:hAnsi="Calibri"/>
                <w:sz w:val="20"/>
                <w:szCs w:val="20"/>
              </w:rPr>
              <w:t xml:space="preserve">Integrated via NBI</w:t>
            </w:r>
          </w:p>
        </w:tc>
      </w:tr>
    </w:tbl>
    <w:p>
      <w:pPr>
        <w:pStyle w:val="Heading2"/>
        <w:spacing w:before="300"/>
      </w:pPr>
      <w:r>
        <w:t xml:space="preserve">3.1 Web Portal Verification</w:t>
      </w:r>
    </w:p>
    <w:p>
      <w:pPr>
        <w:pStyle w:val="Heading3"/>
        <w:spacing w:after="120" w:before="240"/>
      </w:pPr>
      <w:r>
        <w:t xml:space="preserve">Test Case 4: RFS Cluster Lock/Unlock — Baseline (All Nodes Unlocked)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all RFS cluster nodes (RFS-18, RFS-19, and RFS-20) are in the Unlocked state, and validate service provisioning and service deletion visibility across CFS, RFS, and Tejas EMS.</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Verify the administrative state of RFS-18 in the NSO Web UI and confirm it is Unlocked.</w:t>
            </w:r>
          </w:p>
          <w:p>
            <w:pPr>
              <w:spacing w:after="80"/>
            </w:pPr>
            <w:r>
              <w:rPr>
                <w:rFonts w:ascii="Calibri" w:cs="Calibri" w:eastAsia="Calibri" w:hAnsi="Calibri"/>
                <w:sz w:val="20"/>
                <w:szCs w:val="20"/>
              </w:rPr>
              <w:t xml:space="preserve">2. Verify the administrative state of RFS-19 in the NSO Web UI and confirm it is Unlocked.</w:t>
            </w:r>
          </w:p>
          <w:p>
            <w:pPr>
              <w:spacing w:after="80"/>
            </w:pPr>
            <w:r>
              <w:rPr>
                <w:rFonts w:ascii="Calibri" w:cs="Calibri" w:eastAsia="Calibri" w:hAnsi="Calibri"/>
                <w:sz w:val="20"/>
                <w:szCs w:val="20"/>
              </w:rPr>
              <w:t xml:space="preserve">3. Verify the administrative state of RFS-20 in the NSO Web UI and confirm it is Unlocked.</w:t>
            </w:r>
          </w:p>
          <w:p>
            <w:pPr>
              <w:spacing w:after="80"/>
            </w:pPr>
            <w:r>
              <w:rPr>
                <w:rFonts w:ascii="Calibri" w:cs="Calibri" w:eastAsia="Calibri" w:hAnsi="Calibri"/>
                <w:sz w:val="20"/>
                <w:szCs w:val="20"/>
              </w:rPr>
              <w:t xml:space="preserve">4. Submit the service provisioning request from the SCCM application to NSO using the RESTCONF API. (For a sample request payload, refer to the Postman screenshot.)</w:t>
            </w:r>
          </w:p>
          <w:p>
            <w:pPr>
              <w:spacing w:after="80"/>
            </w:pPr>
            <w:r>
              <w:rPr>
                <w:rFonts w:ascii="Calibri" w:cs="Calibri" w:eastAsia="Calibri" w:hAnsi="Calibri"/>
                <w:sz w:val="20"/>
                <w:szCs w:val="20"/>
              </w:rPr>
              <w:t xml:space="preserve">5. Verify that the RESTCONF request is accepted by NSO.</w:t>
            </w:r>
          </w:p>
          <w:p>
            <w:pPr>
              <w:spacing w:after="80"/>
            </w:pPr>
            <w:r>
              <w:rPr>
                <w:rFonts w:ascii="Calibri" w:cs="Calibri" w:eastAsia="Calibri" w:hAnsi="Calibri"/>
                <w:sz w:val="20"/>
                <w:szCs w:val="20"/>
              </w:rPr>
              <w:t xml:space="preserve">6. Search for the Service ID in CFS (172.28.2.17) and verify that the service instance is displayed.</w:t>
            </w:r>
          </w:p>
          <w:p>
            <w:pPr>
              <w:spacing w:after="80"/>
            </w:pPr>
            <w:r>
              <w:rPr>
                <w:rFonts w:ascii="Calibri" w:cs="Calibri" w:eastAsia="Calibri" w:hAnsi="Calibri"/>
                <w:sz w:val="20"/>
                <w:szCs w:val="20"/>
              </w:rPr>
              <w:t xml:space="preserve">7. Search for the Service ID in RFS (172.28.2.18) and verify that the service instance is displayed.</w:t>
            </w:r>
          </w:p>
          <w:p>
            <w:pPr>
              <w:spacing w:after="80"/>
            </w:pPr>
            <w:r>
              <w:rPr>
                <w:rFonts w:ascii="Calibri" w:cs="Calibri" w:eastAsia="Calibri" w:hAnsi="Calibri"/>
                <w:sz w:val="20"/>
                <w:szCs w:val="20"/>
              </w:rPr>
              <w:t xml:space="preserve">8. Search for the ONT Serial Number in the Tejas EMS application and verify that the provisioned service is displayed.</w:t>
            </w:r>
          </w:p>
          <w:p>
            <w:pPr>
              <w:spacing w:after="80"/>
            </w:pPr>
            <w:r>
              <w:rPr>
                <w:rFonts w:ascii="Calibri" w:cs="Calibri" w:eastAsia="Calibri" w:hAnsi="Calibri"/>
                <w:sz w:val="20"/>
                <w:szCs w:val="20"/>
              </w:rPr>
              <w:t xml:space="preserve">9. Select the service instance in CFS and perform the Delete operation.</w:t>
            </w:r>
          </w:p>
          <w:p>
            <w:pPr>
              <w:spacing w:after="80"/>
            </w:pPr>
            <w:r>
              <w:rPr>
                <w:rFonts w:ascii="Calibri" w:cs="Calibri" w:eastAsia="Calibri" w:hAnsi="Calibri"/>
                <w:sz w:val="20"/>
                <w:szCs w:val="20"/>
              </w:rPr>
              <w:t xml:space="preserve">10. Confirm the service deletion request.</w:t>
            </w:r>
          </w:p>
          <w:p>
            <w:pPr>
              <w:spacing w:after="80"/>
            </w:pPr>
            <w:r>
              <w:rPr>
                <w:rFonts w:ascii="Calibri" w:cs="Calibri" w:eastAsia="Calibri" w:hAnsi="Calibri"/>
                <w:sz w:val="20"/>
                <w:szCs w:val="20"/>
              </w:rPr>
              <w:t xml:space="preserve">11. Search for the Service ID in CFS and verify that no service instance is displayed.</w:t>
            </w:r>
          </w:p>
          <w:p>
            <w:pPr>
              <w:spacing w:after="80"/>
            </w:pPr>
            <w:r>
              <w:rPr>
                <w:rFonts w:ascii="Calibri" w:cs="Calibri" w:eastAsia="Calibri" w:hAnsi="Calibri"/>
                <w:sz w:val="20"/>
                <w:szCs w:val="20"/>
              </w:rPr>
              <w:t xml:space="preserve">12. Search for the Service ID in RFS and verify that no service instance is displayed.</w:t>
            </w:r>
          </w:p>
          <w:p>
            <w:pPr>
              <w:spacing w:after="80"/>
            </w:pPr>
            <w:r>
              <w:rPr>
                <w:rFonts w:ascii="Calibri" w:cs="Calibri" w:eastAsia="Calibri" w:hAnsi="Calibri"/>
                <w:sz w:val="20"/>
                <w:szCs w:val="20"/>
              </w:rPr>
              <w:t xml:space="preserve">13. Search for the ONT Serial Number in the Tejas EMS application and verify that no service records are displayed.</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All RFS cluster nodes (RFS-18, RFS-19, and RFS-20) should be displayed in the Unlocked state. The service provisioning request submitted from SCCM should be accepted by NSO, and the provisioned service should be visible in CFS, RFS, and Tejas EMS. After the service deletion operation, the service should no longer be visible in CFS, RFS, and Tejas EMS.</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RFS-18 (Leader) confirmed in the Unlocked state.</w:t>
            </w:r>
          </w:p>
          <w:p>
            <w:r>
              <w:rPr>
                <w:rFonts w:ascii="Calibri" w:cs="Calibri" w:eastAsia="Calibri" w:hAnsi="Calibri"/>
                <w:i/>
                <w:iCs/>
                <w:sz w:val="20"/>
                <w:szCs w:val="20"/>
              </w:rPr>
              <w:t xml:space="preserve">RFS-19 (Follower) confirmed in the Unlocked state.</w:t>
            </w:r>
          </w:p>
          <w:p>
            <w:r>
              <w:rPr>
                <w:rFonts w:ascii="Calibri" w:cs="Calibri" w:eastAsia="Calibri" w:hAnsi="Calibri"/>
                <w:i/>
                <w:iCs/>
                <w:sz w:val="20"/>
                <w:szCs w:val="20"/>
              </w:rPr>
              <w:t xml:space="preserve">RFS-20 (Follower) confirmed in the Unlocked state.</w:t>
            </w:r>
          </w:p>
          <w:p>
            <w:r>
              <w:rPr>
                <w:rFonts w:ascii="Calibri" w:cs="Calibri" w:eastAsia="Calibri" w:hAnsi="Calibri"/>
                <w:i/>
                <w:iCs/>
                <w:sz w:val="20"/>
                <w:szCs w:val="20"/>
              </w:rPr>
              <w:t xml:space="preserve">Payload passed from the SCCM application; all RFS cluster nodes (18, 19, 20) confirmed Unlocked.</w:t>
            </w:r>
          </w:p>
          <w:p>
            <w:r>
              <w:rPr>
                <w:rFonts w:ascii="Calibri" w:cs="Calibri" w:eastAsia="Calibri" w:hAnsi="Calibri"/>
                <w:i/>
                <w:iCs/>
                <w:sz w:val="20"/>
                <w:szCs w:val="20"/>
              </w:rPr>
              <w:t xml:space="preserve">Committed service order found in CFS (172.28.2.17) by Service ID.</w:t>
            </w:r>
          </w:p>
          <w:p>
            <w:r>
              <w:rPr>
                <w:rFonts w:ascii="Calibri" w:cs="Calibri" w:eastAsia="Calibri" w:hAnsi="Calibri"/>
                <w:i/>
                <w:iCs/>
                <w:sz w:val="20"/>
                <w:szCs w:val="20"/>
              </w:rPr>
              <w:t xml:space="preserve">Committed service order found in RFS (172.28.2.18) by Service ID.</w:t>
            </w:r>
          </w:p>
          <w:p>
            <w:r>
              <w:rPr>
                <w:rFonts w:ascii="Calibri" w:cs="Calibri" w:eastAsia="Calibri" w:hAnsi="Calibri"/>
                <w:i/>
                <w:iCs/>
                <w:sz w:val="20"/>
                <w:szCs w:val="20"/>
              </w:rPr>
              <w:t xml:space="preserve">OLT service provisioning confirmed in Tejas EMS by ONT Serial Number.</w:t>
            </w:r>
          </w:p>
          <w:p>
            <w:r>
              <w:rPr>
                <w:rFonts w:ascii="Calibri" w:cs="Calibri" w:eastAsia="Calibri" w:hAnsi="Calibri"/>
                <w:i/>
                <w:iCs/>
                <w:sz w:val="20"/>
                <w:szCs w:val="20"/>
              </w:rPr>
              <w:t xml:space="preserve">Service order deleted from CFS (172.28.2.17) by Service ID.</w:t>
            </w:r>
          </w:p>
          <w:p>
            <w:r>
              <w:rPr>
                <w:rFonts w:ascii="Calibri" w:cs="Calibri" w:eastAsia="Calibri" w:hAnsi="Calibri"/>
                <w:i/>
                <w:iCs/>
                <w:sz w:val="20"/>
                <w:szCs w:val="20"/>
              </w:rPr>
              <w:t xml:space="preserve">Deletion confirmed in CFS (172.28.2.17) by Service ID.</w:t>
            </w:r>
          </w:p>
          <w:p>
            <w:r>
              <w:rPr>
                <w:rFonts w:ascii="Calibri" w:cs="Calibri" w:eastAsia="Calibri" w:hAnsi="Calibri"/>
                <w:i/>
                <w:iCs/>
                <w:sz w:val="20"/>
                <w:szCs w:val="20"/>
              </w:rPr>
              <w:t xml:space="preserve">Deletion confirmed in RFS (172.28.2.18) by Service ID.</w:t>
            </w:r>
          </w:p>
          <w:p>
            <w:r>
              <w:rPr>
                <w:rFonts w:ascii="Calibri" w:cs="Calibri" w:eastAsia="Calibri" w:hAnsi="Calibri"/>
                <w:i/>
                <w:iCs/>
                <w:sz w:val="20"/>
                <w:szCs w:val="20"/>
              </w:rPr>
              <w:t xml:space="preserve">Service removal confirmed in Tejas EMS by ONT Serial Number.</w:t>
            </w:r>
          </w:p>
        </w:tc>
      </w:tr>
    </w:tbl>
    <w:p>
      <w:pPr>
        <w:pStyle w:val="Heading3"/>
        <w:spacing w:after="120" w:before="240"/>
      </w:pPr>
      <w:r>
        <w:t xml:space="preserve">Test Case 5: RFS Cluster Lock/Unlock — Partial Lock (RFS-18 &amp; RFS-20 Locked)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RFS-18 and RFS-20 are in the Locked state and RFS-19 is in the Unlocked state, and validate service visibility across CFS, RFS, and Tejas EMS.</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Verify that RFS-18 is in the Locked state.</w:t>
            </w:r>
          </w:p>
          <w:p>
            <w:pPr>
              <w:spacing w:after="80"/>
            </w:pPr>
            <w:r>
              <w:rPr>
                <w:rFonts w:ascii="Calibri" w:cs="Calibri" w:eastAsia="Calibri" w:hAnsi="Calibri"/>
                <w:sz w:val="20"/>
                <w:szCs w:val="20"/>
              </w:rPr>
              <w:t xml:space="preserve">2. Verify that RFS-19 is in the Unlocked state.</w:t>
            </w:r>
          </w:p>
          <w:p>
            <w:pPr>
              <w:spacing w:after="80"/>
            </w:pPr>
            <w:r>
              <w:rPr>
                <w:rFonts w:ascii="Calibri" w:cs="Calibri" w:eastAsia="Calibri" w:hAnsi="Calibri"/>
                <w:sz w:val="20"/>
                <w:szCs w:val="20"/>
              </w:rPr>
              <w:t xml:space="preserve">3. Verify that RFS-20 is in the Locked state.</w:t>
            </w:r>
          </w:p>
          <w:p>
            <w:pPr>
              <w:spacing w:after="80"/>
            </w:pPr>
            <w:r>
              <w:rPr>
                <w:rFonts w:ascii="Calibri" w:cs="Calibri" w:eastAsia="Calibri" w:hAnsi="Calibri"/>
                <w:sz w:val="20"/>
                <w:szCs w:val="20"/>
              </w:rPr>
              <w:t xml:space="preserve">4. Submit the service provisioning request from the SCCM application to NSO using the RESTCONF API. (For a sample request payload, refer to the Postman screenshot.)</w:t>
            </w:r>
          </w:p>
          <w:p>
            <w:pPr>
              <w:spacing w:after="80"/>
            </w:pPr>
            <w:r>
              <w:rPr>
                <w:rFonts w:ascii="Calibri" w:cs="Calibri" w:eastAsia="Calibri" w:hAnsi="Calibri"/>
                <w:sz w:val="20"/>
                <w:szCs w:val="20"/>
              </w:rPr>
              <w:t xml:space="preserve">5. Verify that the RESTCONF request is accepted by NSO.</w:t>
            </w:r>
          </w:p>
          <w:p>
            <w:pPr>
              <w:spacing w:after="80"/>
            </w:pPr>
            <w:r>
              <w:rPr>
                <w:rFonts w:ascii="Calibri" w:cs="Calibri" w:eastAsia="Calibri" w:hAnsi="Calibri"/>
                <w:sz w:val="20"/>
                <w:szCs w:val="20"/>
              </w:rPr>
              <w:t xml:space="preserve">6. Search for the Service ID in CFS (172.28.2.17) and verify that the service instance is displayed.</w:t>
            </w:r>
          </w:p>
          <w:p>
            <w:pPr>
              <w:spacing w:after="80"/>
            </w:pPr>
            <w:r>
              <w:rPr>
                <w:rFonts w:ascii="Calibri" w:cs="Calibri" w:eastAsia="Calibri" w:hAnsi="Calibri"/>
                <w:sz w:val="20"/>
                <w:szCs w:val="20"/>
              </w:rPr>
              <w:t xml:space="preserve">7. Search for the Service ID in RFS and verify that the service instance is displayed.</w:t>
            </w:r>
          </w:p>
          <w:p>
            <w:pPr>
              <w:spacing w:after="80"/>
            </w:pPr>
            <w:r>
              <w:rPr>
                <w:rFonts w:ascii="Calibri" w:cs="Calibri" w:eastAsia="Calibri" w:hAnsi="Calibri"/>
                <w:sz w:val="20"/>
                <w:szCs w:val="20"/>
              </w:rPr>
              <w:t xml:space="preserve">8. Search for the ONT Serial Number in the Tejas EMS application and verify that the provisioned service is displayed.</w:t>
            </w:r>
          </w:p>
          <w:p>
            <w:pPr>
              <w:spacing w:after="80"/>
            </w:pPr>
            <w:r>
              <w:rPr>
                <w:rFonts w:ascii="Calibri" w:cs="Calibri" w:eastAsia="Calibri" w:hAnsi="Calibri"/>
                <w:sz w:val="20"/>
                <w:szCs w:val="20"/>
              </w:rPr>
              <w:t xml:space="preserve">9. Select the service instance in CFS and perform the Delete operation.</w:t>
            </w:r>
          </w:p>
          <w:p>
            <w:pPr>
              <w:spacing w:after="80"/>
            </w:pPr>
            <w:r>
              <w:rPr>
                <w:rFonts w:ascii="Calibri" w:cs="Calibri" w:eastAsia="Calibri" w:hAnsi="Calibri"/>
                <w:sz w:val="20"/>
                <w:szCs w:val="20"/>
              </w:rPr>
              <w:t xml:space="preserve">10. Confirm the service deletion request.</w:t>
            </w:r>
          </w:p>
          <w:p>
            <w:pPr>
              <w:spacing w:after="80"/>
            </w:pPr>
            <w:r>
              <w:rPr>
                <w:rFonts w:ascii="Calibri" w:cs="Calibri" w:eastAsia="Calibri" w:hAnsi="Calibri"/>
                <w:sz w:val="20"/>
                <w:szCs w:val="20"/>
              </w:rPr>
              <w:t xml:space="preserve">11. Search for the Service ID in CFS and verify that no service instance is displayed.</w:t>
            </w:r>
          </w:p>
          <w:p>
            <w:pPr>
              <w:spacing w:after="80"/>
            </w:pPr>
            <w:r>
              <w:rPr>
                <w:rFonts w:ascii="Calibri" w:cs="Calibri" w:eastAsia="Calibri" w:hAnsi="Calibri"/>
                <w:sz w:val="20"/>
                <w:szCs w:val="20"/>
              </w:rPr>
              <w:t xml:space="preserve">12. Search for the Service ID in RFS and verify that no service instance is displayed.</w:t>
            </w:r>
          </w:p>
          <w:p>
            <w:pPr>
              <w:spacing w:after="80"/>
            </w:pPr>
            <w:r>
              <w:rPr>
                <w:rFonts w:ascii="Calibri" w:cs="Calibri" w:eastAsia="Calibri" w:hAnsi="Calibri"/>
                <w:sz w:val="20"/>
                <w:szCs w:val="20"/>
              </w:rPr>
              <w:t xml:space="preserve">13. Search for the ONT Serial Number in the Tejas EMS application and verify that no service records are displayed.</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RFS-18 and RFS-20 should be displayed in the Locked state, and RFS-19 should be displayed in the Unlocked state. The service provisioning request should be accepted by NSO, and the provisioned service should be visible in CFS, RFS, and Tejas EMS.</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RFS-18 confirmed in the Locked state.</w:t>
            </w:r>
          </w:p>
          <w:p>
            <w:r>
              <w:rPr>
                <w:rFonts w:ascii="Calibri" w:cs="Calibri" w:eastAsia="Calibri" w:hAnsi="Calibri"/>
                <w:i/>
                <w:iCs/>
                <w:sz w:val="20"/>
                <w:szCs w:val="20"/>
              </w:rPr>
              <w:t xml:space="preserve">RFS-20 confirmed in the Locked state.</w:t>
            </w:r>
          </w:p>
          <w:p>
            <w:r>
              <w:rPr>
                <w:rFonts w:ascii="Calibri" w:cs="Calibri" w:eastAsia="Calibri" w:hAnsi="Calibri"/>
                <w:i/>
                <w:iCs/>
                <w:sz w:val="20"/>
                <w:szCs w:val="20"/>
              </w:rPr>
              <w:t xml:space="preserve">RFS-19 confirmed in the Unlocked state.</w:t>
            </w:r>
          </w:p>
          <w:p>
            <w:r>
              <w:rPr>
                <w:rFonts w:ascii="Calibri" w:cs="Calibri" w:eastAsia="Calibri" w:hAnsi="Calibri"/>
                <w:i/>
                <w:iCs/>
                <w:sz w:val="20"/>
                <w:szCs w:val="20"/>
              </w:rPr>
              <w:t xml:space="preserve">CFS (172.28.2.17) service order search — result 1.</w:t>
            </w:r>
          </w:p>
          <w:p>
            <w:r>
              <w:rPr>
                <w:rFonts w:ascii="Calibri" w:cs="Calibri" w:eastAsia="Calibri" w:hAnsi="Calibri"/>
                <w:i/>
                <w:iCs/>
                <w:sz w:val="20"/>
                <w:szCs w:val="20"/>
              </w:rPr>
              <w:t xml:space="preserve">CFS (172.28.2.17) service order search — result 2.</w:t>
            </w:r>
          </w:p>
          <w:p>
            <w:r>
              <w:rPr>
                <w:rFonts w:ascii="Calibri" w:cs="Calibri" w:eastAsia="Calibri" w:hAnsi="Calibri"/>
                <w:i/>
                <w:iCs/>
                <w:sz w:val="20"/>
                <w:szCs w:val="20"/>
              </w:rPr>
              <w:t xml:space="preserve">CFS (172.28.2.17) service order confirmed present by Service ID.</w:t>
            </w:r>
          </w:p>
        </w:tc>
      </w:tr>
    </w:tbl>
    <w:p>
      <w:pPr>
        <w:pStyle w:val="Heading3"/>
        <w:spacing w:after="120" w:before="240"/>
      </w:pPr>
      <w:r>
        <w:t xml:space="preserve">Test Case 6: RFS Cluster Lock/Unlock — Alternate Partial Lock (RFS-18 &amp; RFS-19 Locked)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D9E2F3" w:val="clear"/>
            <w:vAlign w:val="top"/>
          </w:tcPr>
          <w:p>
            <w:r>
              <w:rPr>
                <w:rFonts w:ascii="Calibri" w:cs="Calibri" w:eastAsia="Calibri" w:hAnsi="Calibri"/>
                <w:b/>
                <w:bCs/>
                <w:sz w:val="20"/>
                <w:szCs w:val="20"/>
              </w:rPr>
              <w:t xml:space="preserve">Description:</w:t>
            </w:r>
          </w:p>
        </w:tc>
        <w:tc>
          <w:tcPr>
            <w:tcW w:type="dxa" w:w="8000"/>
            <w:vAlign w:val="top"/>
          </w:tcPr>
          <w:p>
            <w:r>
              <w:rPr>
                <w:rFonts w:ascii="Calibri" w:cs="Calibri" w:eastAsia="Calibri" w:hAnsi="Calibri"/>
                <w:sz w:val="20"/>
                <w:szCs w:val="20"/>
              </w:rPr>
              <w:t xml:space="preserve">Verify that RFS-18 and RFS-19 are in the Locked state and RFS-20 is in the Unlocked state, and validate service visibility across CFS, RFS, and Tejas EMS.</w:t>
            </w:r>
          </w:p>
        </w:tc>
      </w:tr>
      <w:tr>
        <w:tc>
          <w:tcPr>
            <w:tcW w:type="dxa" w:w="2000"/>
            <w:shd w:fill="D9E2F3" w:val="clear"/>
            <w:vAlign w:val="top"/>
          </w:tcPr>
          <w:p>
            <w:r>
              <w:rPr>
                <w:rFonts w:ascii="Calibri" w:cs="Calibri" w:eastAsia="Calibri" w:hAnsi="Calibri"/>
                <w:b/>
                <w:bCs/>
                <w:sz w:val="20"/>
                <w:szCs w:val="20"/>
              </w:rPr>
              <w:t xml:space="preserve">Procedure:</w:t>
            </w:r>
          </w:p>
        </w:tc>
        <w:tc>
          <w:tcPr>
            <w:tcW w:type="dxa" w:w="8000"/>
            <w:vAlign w:val="top"/>
          </w:tcPr>
          <w:p>
            <w:pPr>
              <w:spacing w:after="80"/>
            </w:pPr>
            <w:r>
              <w:rPr>
                <w:rFonts w:ascii="Calibri" w:cs="Calibri" w:eastAsia="Calibri" w:hAnsi="Calibri"/>
                <w:sz w:val="20"/>
                <w:szCs w:val="20"/>
              </w:rPr>
              <w:t xml:space="preserve">1. Verify that RFS-18 is in the Locked state.</w:t>
            </w:r>
          </w:p>
          <w:p>
            <w:pPr>
              <w:spacing w:after="80"/>
            </w:pPr>
            <w:r>
              <w:rPr>
                <w:rFonts w:ascii="Calibri" w:cs="Calibri" w:eastAsia="Calibri" w:hAnsi="Calibri"/>
                <w:sz w:val="20"/>
                <w:szCs w:val="20"/>
              </w:rPr>
              <w:t xml:space="preserve">2. Verify that RFS-19 is in the Locked state.</w:t>
            </w:r>
          </w:p>
          <w:p>
            <w:pPr>
              <w:spacing w:after="80"/>
            </w:pPr>
            <w:r>
              <w:rPr>
                <w:rFonts w:ascii="Calibri" w:cs="Calibri" w:eastAsia="Calibri" w:hAnsi="Calibri"/>
                <w:sz w:val="20"/>
                <w:szCs w:val="20"/>
              </w:rPr>
              <w:t xml:space="preserve">3. Verify that RFS-20 is in the Unlocked state.</w:t>
            </w:r>
          </w:p>
          <w:p>
            <w:pPr>
              <w:spacing w:after="80"/>
            </w:pPr>
            <w:r>
              <w:rPr>
                <w:rFonts w:ascii="Calibri" w:cs="Calibri" w:eastAsia="Calibri" w:hAnsi="Calibri"/>
                <w:sz w:val="20"/>
                <w:szCs w:val="20"/>
              </w:rPr>
              <w:t xml:space="preserve">4. Submit the service provisioning request from the SCCM application to NSO using the RESTCONF API. (For a sample request payload, refer to the Postman screenshot.)</w:t>
            </w:r>
          </w:p>
          <w:p>
            <w:pPr>
              <w:spacing w:after="80"/>
            </w:pPr>
            <w:r>
              <w:rPr>
                <w:rFonts w:ascii="Calibri" w:cs="Calibri" w:eastAsia="Calibri" w:hAnsi="Calibri"/>
                <w:sz w:val="20"/>
                <w:szCs w:val="20"/>
              </w:rPr>
              <w:t xml:space="preserve">5. Verify that the RESTCONF request is accepted by NSO.</w:t>
            </w:r>
          </w:p>
          <w:p>
            <w:pPr>
              <w:spacing w:after="80"/>
            </w:pPr>
            <w:r>
              <w:rPr>
                <w:rFonts w:ascii="Calibri" w:cs="Calibri" w:eastAsia="Calibri" w:hAnsi="Calibri"/>
                <w:sz w:val="20"/>
                <w:szCs w:val="20"/>
              </w:rPr>
              <w:t xml:space="preserve">6. Search for the Service ID in CFS (172.28.2.17) and verify that the service instance is displayed.</w:t>
            </w:r>
          </w:p>
          <w:p>
            <w:pPr>
              <w:spacing w:after="80"/>
            </w:pPr>
            <w:r>
              <w:rPr>
                <w:rFonts w:ascii="Calibri" w:cs="Calibri" w:eastAsia="Calibri" w:hAnsi="Calibri"/>
                <w:sz w:val="20"/>
                <w:szCs w:val="20"/>
              </w:rPr>
              <w:t xml:space="preserve">7. Search for the Service ID in RFS and verify that the service instance is displayed.</w:t>
            </w:r>
          </w:p>
          <w:p>
            <w:pPr>
              <w:spacing w:after="80"/>
            </w:pPr>
            <w:r>
              <w:rPr>
                <w:rFonts w:ascii="Calibri" w:cs="Calibri" w:eastAsia="Calibri" w:hAnsi="Calibri"/>
                <w:sz w:val="20"/>
                <w:szCs w:val="20"/>
              </w:rPr>
              <w:t xml:space="preserve">8. Search for the ONT Serial Number in the Tejas EMS application and verify that the provisioned service is displayed.</w:t>
            </w:r>
          </w:p>
          <w:p>
            <w:pPr>
              <w:spacing w:after="80"/>
            </w:pPr>
            <w:r>
              <w:rPr>
                <w:rFonts w:ascii="Calibri" w:cs="Calibri" w:eastAsia="Calibri" w:hAnsi="Calibri"/>
                <w:sz w:val="20"/>
                <w:szCs w:val="20"/>
              </w:rPr>
              <w:t xml:space="preserve">9. Select the service instance in CFS and perform the Delete operation.</w:t>
            </w:r>
          </w:p>
          <w:p>
            <w:pPr>
              <w:spacing w:after="80"/>
            </w:pPr>
            <w:r>
              <w:rPr>
                <w:rFonts w:ascii="Calibri" w:cs="Calibri" w:eastAsia="Calibri" w:hAnsi="Calibri"/>
                <w:sz w:val="20"/>
                <w:szCs w:val="20"/>
              </w:rPr>
              <w:t xml:space="preserve">10. Confirm the service deletion request.</w:t>
            </w:r>
          </w:p>
          <w:p>
            <w:pPr>
              <w:spacing w:after="80"/>
            </w:pPr>
            <w:r>
              <w:rPr>
                <w:rFonts w:ascii="Calibri" w:cs="Calibri" w:eastAsia="Calibri" w:hAnsi="Calibri"/>
                <w:sz w:val="20"/>
                <w:szCs w:val="20"/>
              </w:rPr>
              <w:t xml:space="preserve">11. Search for the Service ID in CFS and verify that no service instance is displayed.</w:t>
            </w:r>
          </w:p>
          <w:p>
            <w:pPr>
              <w:spacing w:after="80"/>
            </w:pPr>
            <w:r>
              <w:rPr>
                <w:rFonts w:ascii="Calibri" w:cs="Calibri" w:eastAsia="Calibri" w:hAnsi="Calibri"/>
                <w:sz w:val="20"/>
                <w:szCs w:val="20"/>
              </w:rPr>
              <w:t xml:space="preserve">12. Search for the Service ID in RFS and verify that no service instance is displayed.</w:t>
            </w:r>
          </w:p>
          <w:p>
            <w:pPr>
              <w:spacing w:after="80"/>
            </w:pPr>
            <w:r>
              <w:rPr>
                <w:rFonts w:ascii="Calibri" w:cs="Calibri" w:eastAsia="Calibri" w:hAnsi="Calibri"/>
                <w:sz w:val="20"/>
                <w:szCs w:val="20"/>
              </w:rPr>
              <w:t xml:space="preserve">13. Search for the ONT Serial Number in the Tejas EMS application and verify that no service records are displayed.</w:t>
            </w:r>
          </w:p>
        </w:tc>
      </w:tr>
      <w:tr>
        <w:tc>
          <w:tcPr>
            <w:tcW w:type="dxa" w:w="2000"/>
            <w:shd w:fill="D9E2F3" w:val="clear"/>
            <w:vAlign w:val="top"/>
          </w:tcPr>
          <w:p>
            <w:r>
              <w:rPr>
                <w:rFonts w:ascii="Calibri" w:cs="Calibri" w:eastAsia="Calibri" w:hAnsi="Calibri"/>
                <w:b/>
                <w:bCs/>
                <w:sz w:val="20"/>
                <w:szCs w:val="20"/>
              </w:rPr>
              <w:t xml:space="preserve">Expected Result:</w:t>
            </w:r>
          </w:p>
        </w:tc>
        <w:tc>
          <w:tcPr>
            <w:tcW w:type="dxa" w:w="8000"/>
            <w:vAlign w:val="top"/>
          </w:tcPr>
          <w:p>
            <w:r>
              <w:rPr>
                <w:rFonts w:ascii="Calibri" w:cs="Calibri" w:eastAsia="Calibri" w:hAnsi="Calibri"/>
                <w:sz w:val="20"/>
                <w:szCs w:val="20"/>
              </w:rPr>
              <w:t xml:space="preserve">RFS-18 and RFS-19 should be displayed in the Locked state, and RFS-20 should be displayed in the Unlocked state. The service should be visible in CFS, RFS, and Tejas EMS after provisioning.</w:t>
            </w:r>
          </w:p>
        </w:tc>
      </w:tr>
      <w:tr>
        <w:tc>
          <w:tcPr>
            <w:tcW w:type="dxa" w:w="2000"/>
            <w:shd w:fill="D9E2F3" w:val="clear"/>
            <w:vAlign w:val="top"/>
          </w:tcPr>
          <w:p>
            <w:r>
              <w:rPr>
                <w:rFonts w:ascii="Calibri" w:cs="Calibri" w:eastAsia="Calibri" w:hAnsi="Calibri"/>
                <w:b/>
                <w:bCs/>
                <w:sz w:val="20"/>
                <w:szCs w:val="20"/>
              </w:rPr>
              <w:t xml:space="preserve">Result:</w:t>
            </w:r>
          </w:p>
        </w:tc>
        <w:tc>
          <w:tcPr>
            <w:tcW w:type="dxa" w:w="8000"/>
            <w:vAlign w:val="top"/>
          </w:tcPr>
          <w:p>
            <w:r>
              <w:rPr>
                <w:rFonts w:ascii="Calibri" w:cs="Calibri" w:eastAsia="Calibri" w:hAnsi="Calibri"/>
                <w:sz w:val="20"/>
                <w:szCs w:val="20"/>
              </w:rPr>
              <w:t xml:space="preserve">☐ OK    ☐ Not OK</w:t>
            </w:r>
          </w:p>
        </w:tc>
      </w:tr>
      <w:tr>
        <w:tc>
          <w:tcPr>
            <w:tcW w:type="dxa" w:w="2000"/>
            <w:shd w:fill="D9E2F3" w:val="clear"/>
            <w:vAlign w:val="top"/>
          </w:tcPr>
          <w:p>
            <w:r>
              <w:rPr>
                <w:rFonts w:ascii="Calibri" w:cs="Calibri" w:eastAsia="Calibri" w:hAnsi="Calibri"/>
                <w:b/>
                <w:bCs/>
                <w:sz w:val="20"/>
                <w:szCs w:val="20"/>
              </w:rPr>
              <w:t xml:space="preserve">Logs/Snaps (if Any):</w:t>
            </w:r>
          </w:p>
        </w:tc>
        <w:tc>
          <w:tcPr>
            <w:tcW w:type="dxa" w:w="8000"/>
            <w:vAlign w:val="top"/>
          </w:tcPr>
          <w:p>
            <w:r>
              <w:rPr>
                <w:rFonts w:ascii="Calibri" w:cs="Calibri" w:eastAsia="Calibri" w:hAnsi="Calibri"/>
                <w:i/>
                <w:iCs/>
                <w:sz w:val="20"/>
                <w:szCs w:val="20"/>
              </w:rPr>
              <w:t xml:space="preserve">RFS-18 and RFS-19 confirmed in the Locked state; RFS-20 confirmed Unlocked — result 1.</w:t>
            </w:r>
          </w:p>
          <w:p>
            <w:r>
              <w:rPr>
                <w:rFonts w:ascii="Calibri" w:cs="Calibri" w:eastAsia="Calibri" w:hAnsi="Calibri"/>
                <w:i/>
                <w:iCs/>
                <w:sz w:val="20"/>
                <w:szCs w:val="20"/>
              </w:rPr>
              <w:t xml:space="preserve">RFS-18 and RFS-19 confirmed in the Locked state; RFS-20 confirmed Unlocked — result 2.</w:t>
            </w:r>
          </w:p>
          <w:p>
            <w:r>
              <w:rPr>
                <w:rFonts w:ascii="Calibri" w:cs="Calibri" w:eastAsia="Calibri" w:hAnsi="Calibri"/>
                <w:i/>
                <w:iCs/>
                <w:sz w:val="20"/>
                <w:szCs w:val="20"/>
              </w:rPr>
              <w:t xml:space="preserve">RFS-18 and RFS-19 confirmed in the Locked state; RFS-20 confirmed Unlocked — result 3.</w:t>
            </w:r>
          </w:p>
          <w:p>
            <w:r>
              <w:rPr>
                <w:rFonts w:ascii="Calibri" w:cs="Calibri" w:eastAsia="Calibri" w:hAnsi="Calibri"/>
                <w:i/>
                <w:iCs/>
                <w:sz w:val="20"/>
                <w:szCs w:val="20"/>
              </w:rPr>
              <w:t xml:space="preserve">Committed service order seen in CFS (172.28.2.17).</w:t>
            </w:r>
          </w:p>
          <w:p>
            <w:r>
              <w:rPr>
                <w:rFonts w:ascii="Calibri" w:cs="Calibri" w:eastAsia="Calibri" w:hAnsi="Calibri"/>
                <w:i/>
                <w:iCs/>
                <w:sz w:val="20"/>
                <w:szCs w:val="20"/>
              </w:rPr>
              <w:t xml:space="preserve">Committed service order seen in RFS (172.28.2.18).</w:t>
            </w:r>
          </w:p>
          <w:p>
            <w:r>
              <w:rPr>
                <w:rFonts w:ascii="Calibri" w:cs="Calibri" w:eastAsia="Calibri" w:hAnsi="Calibri"/>
                <w:i/>
                <w:iCs/>
                <w:sz w:val="20"/>
                <w:szCs w:val="20"/>
              </w:rPr>
              <w:t xml:space="preserve">Corresponding service confirmed in Tejas EMS.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2026-07-17T11:02:00.267Z</dcterms:created>
  <dcterms:modified xsi:type="dcterms:W3CDTF">2026-07-17T11:02:00.267Z</dcterms:modified>
</cp:coreProperties>
</file>

<file path=docProps/custom.xml><?xml version="1.0" encoding="utf-8"?>
<Properties xmlns="http://schemas.openxmlformats.org/officeDocument/2006/custom-properties" xmlns:vt="http://schemas.openxmlformats.org/officeDocument/2006/docPropsVTypes"/>
</file>