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panel / viva FAQ — Sinhala Document OCR</w:t>
      </w:r>
    </w:p>
    <w:p>
      <w:r>
        <w:t>Short answers intended for an MSc review panel. Numbers match `RESULTS.md` and</w:t>
      </w:r>
    </w:p>
    <w:p>
      <w:r>
        <w:t>`data/metrics/eval_summary.json` for the delivered checkpoint</w:t>
      </w:r>
    </w:p>
    <w:p>
      <w:r>
        <w:t>`models/crnn_best.pth` (beam+LM + post-correct, including §3g word-accuracy push).</w:t>
      </w:r>
    </w:p>
    <w:p/>
    <w:p>
      <w:pPr>
        <w:pStyle w:val="Heading2"/>
      </w:pPr>
      <w:r>
        <w:t>Why CRNN+CTC instead of TrOCR / a vision transformer?</w:t>
      </w:r>
    </w:p>
    <w:p>
      <w:r>
        <w:t>CRNN+CTC is a proven line OCR baseline, trains on a single consumer GPU with the</w:t>
      </w:r>
    </w:p>
    <w:p>
      <w:r>
        <w:t>available data budget, and needs no character boxes thanks to CTC. Transformer</w:t>
      </w:r>
    </w:p>
    <w:p>
      <w:r>
        <w:t>OCR was considered as an optional path in the repo notes, but the fully trained</w:t>
      </w:r>
    </w:p>
    <w:p>
      <w:r>
        <w:t>and evaluated delivery is CRNN. For an MSc project, a well-measured classical</w:t>
      </w:r>
    </w:p>
    <w:p>
      <w:r>
        <w:t>stack is preferable to an under-trained larger model.</w:t>
      </w:r>
    </w:p>
    <w:p>
      <w:pPr>
        <w:pStyle w:val="Heading2"/>
      </w:pPr>
      <w:r>
        <w:t>Why report CER/WER instead of “accuracy” alone?</w:t>
      </w:r>
    </w:p>
    <w:p>
      <w:r>
        <w:t>CER/WER are standard OCR error rates and expose edit distance, not only</w:t>
      </w:r>
    </w:p>
    <w:p>
      <w:r>
        <w:t xml:space="preserve">exact-match. This project also reports </w:t>
      </w:r>
      <w:r>
        <w:rPr>
          <w:b/>
        </w:rPr>
        <w:t>Character Accuracy = (1−CER)×100%</w:t>
      </w:r>
      <w:r>
        <w:t xml:space="preserve"> and</w:t>
      </w:r>
    </w:p>
    <w:p>
      <w:r/>
      <w:r>
        <w:rPr>
          <w:b/>
        </w:rPr>
        <w:t>Word Accuracy = (1−WER)×100%</w:t>
      </w:r>
      <w:r>
        <w:t xml:space="preserve"> so the panel can read both conventions. Word</w:t>
      </w:r>
    </w:p>
    <w:p>
      <w:r>
        <w:t>Accuracy on real photos (85.09%) is still lower than Character Accuracy (96.75%)</w:t>
      </w:r>
    </w:p>
    <w:p>
      <w:r>
        <w:t>because a one-character matra error flips a whole word.</w:t>
      </w:r>
    </w:p>
    <w:p>
      <w:pPr>
        <w:pStyle w:val="Heading2"/>
      </w:pPr>
      <w:r>
        <w:t>What is the headline number I should quote?</w:t>
      </w:r>
    </w:p>
    <w:p>
      <w:r>
        <w:t>Held-out real photographs (`print_photos`, 2 pages / 32 lines):</w:t>
      </w:r>
    </w:p>
    <w:p>
      <w:pPr>
        <w:pStyle w:val="ListBullet"/>
      </w:pPr>
      <w:r>
        <w:t xml:space="preserve">CER </w:t>
      </w:r>
      <w:r>
        <w:rPr>
          <w:b/>
        </w:rPr>
        <w:t>0.0325</w:t>
      </w:r>
      <w:r>
        <w:t xml:space="preserve"> → Character Accuracy </w:t>
      </w:r>
      <w:r>
        <w:rPr>
          <w:b/>
        </w:rPr>
        <w:t>96.75%</w:t>
      </w:r>
      <w:r/>
    </w:p>
    <w:p>
      <w:pPr>
        <w:pStyle w:val="ListBullet"/>
      </w:pPr>
      <w:r>
        <w:t xml:space="preserve">WER </w:t>
      </w:r>
      <w:r>
        <w:rPr>
          <w:b/>
        </w:rPr>
        <w:t>0.1491</w:t>
      </w:r>
      <w:r>
        <w:t xml:space="preserve"> → Word Accuracy </w:t>
      </w:r>
      <w:r>
        <w:rPr>
          <w:b/>
        </w:rPr>
        <w:t>85.09%</w:t>
      </w:r>
      <w:r/>
    </w:p>
    <w:p>
      <w:r>
        <w:t xml:space="preserve">Do </w:t>
      </w:r>
      <w:r>
        <w:rPr>
          <w:b/>
        </w:rPr>
        <w:t>not</w:t>
      </w:r>
      <w:r>
        <w:t xml:space="preserve"> quote `user_batch1` / poem CERs near zero as generalisation; those</w:t>
      </w:r>
    </w:p>
    <w:p>
      <w:r>
        <w:t>sets are in training.</w:t>
      </w:r>
    </w:p>
    <w:p>
      <w:pPr>
        <w:pStyle w:val="Heading2"/>
      </w:pPr>
      <w:r>
        <w:t>Why can synthetic validation look better than real photos?</w:t>
      </w:r>
    </w:p>
    <w:p>
      <w:r>
        <w:t>The generator and the real camera domain differ (fonts, blur, compression, tiny</w:t>
      </w:r>
    </w:p>
    <w:p>
      <w:r>
        <w:t>lyric crops). A Jul-29 continue-train improved synthetic val CER to 0.0343 yet</w:t>
      </w:r>
    </w:p>
    <w:p>
      <w:r/>
      <w:r>
        <w:rPr>
          <w:b/>
        </w:rPr>
        <w:t>worsened every held-out set</w:t>
      </w:r>
      <w:r>
        <w:t>. Synthetic val is useful for monitoring training</w:t>
      </w:r>
    </w:p>
    <w:p>
      <w:r>
        <w:t>but must not be the sole promotion criterion.</w:t>
      </w:r>
    </w:p>
    <w:p>
      <w:pPr>
        <w:pStyle w:val="Heading2"/>
      </w:pPr>
      <w:r>
        <w:t>How do you know the holdout is clean?</w:t>
      </w:r>
    </w:p>
    <w:p>
      <w:r>
        <w:t>`scripts/check_holdout_leakage.py` compares evaluation transcripts against every</w:t>
      </w:r>
    </w:p>
    <w:p>
      <w:r>
        <w:t>training transcript. `print_photos` has no overlap. Some historically named</w:t>
      </w:r>
    </w:p>
    <w:p>
      <w:r>
        <w:t>“holdout” label files later entered the training mix and are labelled as</w:t>
      </w:r>
    </w:p>
    <w:p>
      <w:r>
        <w:t>in-training / partial leak in `RESULTS.md`.</w:t>
      </w:r>
    </w:p>
    <w:p>
      <w:pPr>
        <w:pStyle w:val="Heading2"/>
      </w:pPr>
      <w:r>
        <w:t>Why projection-profile detection instead of a learned detector?</w:t>
      </w:r>
    </w:p>
    <w:p>
      <w:r>
        <w:t>It is simple, fast, and sufficient for the mostly single-column printed pages in</w:t>
      </w:r>
    </w:p>
    <w:p>
      <w:r>
        <w:t>this project. On the evaluation suite it recovered every GT line. A learned</w:t>
      </w:r>
    </w:p>
    <w:p>
      <w:r>
        <w:t>detector is future work for denser multi-column layouts.</w:t>
      </w:r>
    </w:p>
    <w:p>
      <w:pPr>
        <w:pStyle w:val="Heading2"/>
      </w:pPr>
      <w:r>
        <w:t>What does deskew do, and when does it matter?</w:t>
      </w:r>
    </w:p>
    <w:p>
      <w:r>
        <w:t>Before detection, the page rotation is estimated and corrected if above a small</w:t>
      </w:r>
    </w:p>
    <w:p>
      <w:r>
        <w:t>threshold. Skewed phone photos otherwise merge or split projection bands. Upright</w:t>
      </w:r>
    </w:p>
    <w:p>
      <w:r>
        <w:t>scans typically report ~0° and skip a meaningful rotation.</w:t>
      </w:r>
    </w:p>
    <w:p>
      <w:pPr>
        <w:pStyle w:val="Heading2"/>
      </w:pPr>
      <w:r>
        <w:t>How is Sinhala ZWJ handled?</w:t>
      </w:r>
    </w:p>
    <w:p>
      <w:r>
        <w:t>The charset keeps ZWJ-capable sequences so conjuncts are not silently dropped.</w:t>
      </w:r>
    </w:p>
    <w:p>
      <w:r>
        <w:t>Encode/decode utilities and unit tests live in `src/charset.py`. Display fonts</w:t>
      </w:r>
    </w:p>
    <w:p>
      <w:r>
        <w:t>must also support Sinhala (Nirmala / Noto) for notebook figures.</w:t>
      </w:r>
    </w:p>
    <w:p>
      <w:pPr>
        <w:pStyle w:val="Heading2"/>
      </w:pPr>
      <w:r>
        <w:t>What is beam+LM shallow fusion?</w:t>
      </w:r>
    </w:p>
    <w:p>
      <w:r>
        <w:t>CTC prefix beam search rescores partial hypotheses with a character *n*-gram LM</w:t>
      </w:r>
    </w:p>
    <w:p>
      <w:r>
        <w:t>trained only on training-side text:</w:t>
      </w:r>
    </w:p>
    <w:p>
      <w:r>
        <w:t>`score = log P_ctc + lm_weight · log P_lm + insertion_bonus · |y|`</w:t>
      </w:r>
    </w:p>
    <w:p>
      <w:r>
        <w:t>Shipped `lm_weight=0.2` improved or tied all holdouts; higher weights overfit the</w:t>
      </w:r>
    </w:p>
    <w:p>
      <w:r>
        <w:t>news/legal corpus and hurt song lyrics.</w:t>
      </w:r>
    </w:p>
    <w:p>
      <w:pPr>
        <w:pStyle w:val="Heading2"/>
      </w:pPr>
      <w:r>
        <w:t>Why a rule-based post-corrector after a neural decoder?</w:t>
      </w:r>
    </w:p>
    <w:p>
      <w:r>
        <w:t>Error analysis showed a stable orthographic cluster (mis-attached kombuva,</w:t>
      </w:r>
    </w:p>
    <w:p>
      <w:r>
        <w:t>`ණී`/`ණේ`, lyric punctuation). Rules were admitted only when they improved or</w:t>
      </w:r>
    </w:p>
    <w:p>
      <w:r>
        <w:t xml:space="preserve">tied </w:t>
      </w:r>
      <w:r>
        <w:rPr>
          <w:b/>
        </w:rPr>
        <w:t>every</w:t>
      </w:r>
      <w:r>
        <w:t xml:space="preserve"> held-out set. Same checkpoint—no retrain. Blind rules that helped</w:t>
      </w:r>
    </w:p>
    <w:p>
      <w:r>
        <w:t>lyrics but hurt `eval_pages` were rejected.</w:t>
      </w:r>
    </w:p>
    <w:p>
      <w:pPr>
        <w:pStyle w:val="Heading2"/>
      </w:pPr>
      <w:r>
        <w:t>What still fails?</w:t>
      </w:r>
    </w:p>
    <w:p>
      <w:r>
        <w:t>Very small lyric text (`ේ`/`ී`), serif long/short `ු`/`ූ`, occasional</w:t>
      </w:r>
    </w:p>
    <w:p>
      <w:r>
        <w:t>logo/decorative regions, and proper names on credit lines. Handwriting is out of</w:t>
      </w:r>
    </w:p>
    <w:p>
      <w:r>
        <w:t>scope.</w:t>
      </w:r>
    </w:p>
    <w:p>
      <w:pPr>
        <w:pStyle w:val="Heading2"/>
      </w:pPr>
      <w:r>
        <w:t>How should an examiner run the demo?</w:t>
      </w:r>
    </w:p>
    <w:p>
      <w:pPr>
        <w:pStyle w:val="ListNumber"/>
      </w:pPr>
      <w:r>
        <w:t>Place `models/crnn_best.pth` in `models/`.</w:t>
      </w:r>
    </w:p>
    <w:p>
      <w:pPr>
        <w:pStyle w:val="ListNumber"/>
      </w:pPr>
      <w:r>
        <w:t>Open `notebooks/local_pipeline.ipynb`.</w:t>
      </w:r>
    </w:p>
    <w:p>
      <w:pPr>
        <w:pStyle w:val="ListNumber"/>
      </w:pPr>
      <w:r>
        <w:t>Optionally set `TEST_IMAGE_PATH` (or use the picker / leave empty for the</w:t>
      </w:r>
    </w:p>
    <w:p>
      <w:r>
        <w:t>bundled demo page).</w:t>
      </w:r>
    </w:p>
    <w:p>
      <w:pPr>
        <w:pStyle w:val="ListNumber"/>
      </w:pPr>
      <w:r/>
      <w:r>
        <w:rPr>
          <w:b/>
        </w:rPr>
        <w:t>Kernel → Restart &amp; Run All</w:t>
      </w:r>
      <w:r>
        <w:t>.</w:t>
      </w:r>
    </w:p>
    <w:p>
      <w:pPr>
        <w:pStyle w:val="ListNumber"/>
      </w:pPr>
      <w:r>
        <w:t>Read the short sections in order: Load model → Run OCR → Predictions →</w:t>
      </w:r>
    </w:p>
    <w:p>
      <w:r>
        <w:t>Evaluation metrics → Training curves.</w:t>
      </w:r>
    </w:p>
    <w:p>
      <w:r>
        <w:t xml:space="preserve">Training, data generation, and long methodology notes are </w:t>
      </w:r>
      <w:r>
        <w:rPr>
          <w:b/>
        </w:rPr>
        <w:t>not</w:t>
      </w:r>
      <w:r>
        <w:t xml:space="preserve"> in the</w:t>
      </w:r>
    </w:p>
    <w:p>
      <w:r>
        <w:t>notebook — see this FAQ, `docs/Project_Report.md`, and `README.md`.</w:t>
      </w:r>
    </w:p>
    <w:p>
      <w:pPr>
        <w:pStyle w:val="Heading2"/>
      </w:pPr>
      <w:r>
        <w:t>Where is the full write-up?</w:t>
      </w:r>
    </w:p>
    <w:p>
      <w:pPr>
        <w:pStyle w:val="ListBullet"/>
      </w:pPr>
      <w:r>
        <w:t>`docs/Project_Report.md` (and `.docx` if generated)</w:t>
      </w:r>
    </w:p>
    <w:p>
      <w:pPr>
        <w:pStyle w:val="ListBullet"/>
      </w:pPr>
      <w:r>
        <w:t>`RESULTS.md` — methodology of evaluation and ablations</w:t>
      </w:r>
    </w:p>
    <w:p>
      <w:pPr>
        <w:pStyle w:val="ListBullet"/>
      </w:pPr>
      <w:r>
        <w:t>`README.md` — setup and reproduction commands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