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7C046" w14:textId="0049687D" w:rsidR="00BC0A97" w:rsidRPr="00BE6709" w:rsidRDefault="00000000" w:rsidP="007E0406">
      <w:pPr>
        <w:jc w:val="center"/>
      </w:pPr>
      <w:r w:rsidRPr="00BE6709">
        <w:rPr>
          <w:b/>
          <w:sz w:val="40"/>
        </w:rPr>
        <w:t>Alliah–</w:t>
      </w:r>
      <w:proofErr w:type="spellStart"/>
      <w:r w:rsidRPr="00BE6709">
        <w:rPr>
          <w:b/>
          <w:sz w:val="40"/>
        </w:rPr>
        <w:t>KretsMart</w:t>
      </w:r>
      <w:proofErr w:type="spellEnd"/>
      <w:r w:rsidRPr="00BE6709">
        <w:rPr>
          <w:b/>
          <w:sz w:val="40"/>
        </w:rPr>
        <w:t xml:space="preserve"> Hybrid Security Architecture Proposal</w:t>
      </w:r>
    </w:p>
    <w:p w14:paraId="2E5800F1" w14:textId="77777777" w:rsidR="00BC0A97" w:rsidRDefault="00000000">
      <w:pPr>
        <w:jc w:val="center"/>
        <w:rPr>
          <w:i/>
          <w:sz w:val="24"/>
        </w:rPr>
      </w:pPr>
      <w:r w:rsidRPr="00BE6709">
        <w:rPr>
          <w:i/>
          <w:sz w:val="24"/>
        </w:rPr>
        <w:t>Network Security Design for a Merged Hybrid Retail Environment</w:t>
      </w:r>
    </w:p>
    <w:p w14:paraId="4C9A98DC" w14:textId="386DD181" w:rsidR="007E0406" w:rsidRPr="00170B8D" w:rsidRDefault="007E0406">
      <w:pPr>
        <w:pBdr>
          <w:bottom w:val="single" w:sz="6" w:space="1" w:color="auto"/>
        </w:pBdr>
        <w:jc w:val="center"/>
        <w:rPr>
          <w:iCs/>
        </w:rPr>
      </w:pPr>
      <w:r w:rsidRPr="00170B8D">
        <w:rPr>
          <w:b/>
          <w:bCs/>
          <w:iCs/>
          <w:sz w:val="24"/>
        </w:rPr>
        <w:t>Prepared by</w:t>
      </w:r>
      <w:r w:rsidRPr="00170B8D">
        <w:rPr>
          <w:iCs/>
          <w:sz w:val="24"/>
        </w:rPr>
        <w:t>: Duc Tran</w:t>
      </w:r>
    </w:p>
    <w:p w14:paraId="33816892" w14:textId="5947D779" w:rsidR="00BC0A97" w:rsidRPr="00FE18C6" w:rsidRDefault="00000000" w:rsidP="00FE18C6">
      <w:pPr>
        <w:rPr>
          <w:b/>
          <w:bCs/>
          <w:sz w:val="28"/>
          <w:szCs w:val="28"/>
        </w:rPr>
      </w:pPr>
      <w:r w:rsidRPr="00BE6709">
        <w:rPr>
          <w:b/>
        </w:rPr>
        <w:br/>
      </w:r>
      <w:r w:rsidRPr="00FE18C6">
        <w:rPr>
          <w:b/>
          <w:bCs/>
          <w:sz w:val="28"/>
          <w:szCs w:val="28"/>
        </w:rPr>
        <w:t>Part I: Business Case Analysis</w:t>
      </w:r>
    </w:p>
    <w:p w14:paraId="069585EB" w14:textId="77777777" w:rsidR="00BC0A97" w:rsidRPr="00BE6709" w:rsidRDefault="00000000">
      <w:pPr>
        <w:pStyle w:val="Heading2"/>
        <w:rPr>
          <w:color w:val="auto"/>
        </w:rPr>
      </w:pPr>
      <w:r w:rsidRPr="00BE6709">
        <w:rPr>
          <w:color w:val="auto"/>
        </w:rPr>
        <w:t>A1. Problem Statement (Scenario-Based)</w:t>
      </w:r>
    </w:p>
    <w:p w14:paraId="313F2E2C" w14:textId="77777777" w:rsidR="00BC0A97" w:rsidRPr="00BE6709" w:rsidRDefault="00000000">
      <w:r w:rsidRPr="00BE6709">
        <w:t>Alliah Company’s merger with KretsMart created a hybrid retail environment that now spans an on‑premises data center and a multicloud footprint across AWS, Azure, and Google Cloud. While this architecture improves scalability and supports modern e‑commerce capabilities, it also expands the attack surface and increases operational complexity. In hybrid and multicloud environments, security risk often shifts from a single perimeter problem to a trust‑boundary and policy‑consistency problem, because data and access traverse multiple “edges” where control implementation can drift over time (Buckwell, Van Daele, &amp; Horst, 2024; Dotson, 2024; Kraus, 2022).</w:t>
      </w:r>
    </w:p>
    <w:p w14:paraId="5FDB2D1B" w14:textId="77777777" w:rsidR="00BC0A97" w:rsidRPr="00BE6709" w:rsidRDefault="00000000">
      <w:r w:rsidRPr="00BE6709">
        <w:t>Problem statement: The merged Alliah–KretsMart environment requires a network security design that (1) protects sensitive retail and customer data as it moves between on‑premises systems and multicloud workloads and (2) provides centralized visibility and monitoring across the entire hybrid environment so threats can be detected, investigated, and contained consistently across on‑prem and cloud. The design must also support business continuity and scale as traffic grows and cloud adoption expands (Buckwell et al., 2024; Dotson, 2024; Kraus, 2022).</w:t>
      </w:r>
    </w:p>
    <w:p w14:paraId="765E4234" w14:textId="77777777" w:rsidR="00BC0A97" w:rsidRPr="00BE6709" w:rsidRDefault="00000000">
      <w:r w:rsidRPr="00BE6709">
        <w:t>Assumptions and design boundaries: This proposal assumes the organization must support remote users and administrators without forcing downtime during integration, that the design must remain effective across multiple cloud providers using repeatable governance patterns, and that controls must align to common retail compliance expectations by using strong encryption, segmentation, and logging regardless of where workloads run (Dotson, 2024; Kraus, 2022).</w:t>
      </w:r>
    </w:p>
    <w:p w14:paraId="191EC1E0" w14:textId="77777777" w:rsidR="00BC0A97" w:rsidRPr="00BE6709" w:rsidRDefault="00000000">
      <w:pPr>
        <w:pStyle w:val="Heading2"/>
        <w:rPr>
          <w:color w:val="auto"/>
        </w:rPr>
      </w:pPr>
      <w:r w:rsidRPr="00BE6709">
        <w:rPr>
          <w:color w:val="auto"/>
        </w:rPr>
        <w:t>A2. Network Security Control Solutions (Same Two Challenges for Both)</w:t>
      </w:r>
    </w:p>
    <w:p w14:paraId="4C0060F4" w14:textId="77777777" w:rsidR="00BC0A97" w:rsidRPr="00BE6709" w:rsidRDefault="00000000">
      <w:r w:rsidRPr="00BE6709">
        <w:t>Both solutions below address the same two security challenges: secure data transfer between cloud and on‑premises systems, and centralized visibility and monitoring for detection and response (Buckwell et al., 2024; Dotson, 2024; Kraus, 2022).</w:t>
      </w:r>
    </w:p>
    <w:p w14:paraId="45943B6B" w14:textId="77777777" w:rsidR="00BC0A97" w:rsidRPr="00BE6709" w:rsidRDefault="00000000">
      <w:pPr>
        <w:pStyle w:val="Heading3"/>
        <w:rPr>
          <w:color w:val="auto"/>
        </w:rPr>
      </w:pPr>
      <w:r w:rsidRPr="00BE6709">
        <w:rPr>
          <w:color w:val="auto"/>
        </w:rPr>
        <w:lastRenderedPageBreak/>
        <w:t>Solution 1: SASE/SD‑WAN with ZTNA and Centralized Telemetry</w:t>
      </w:r>
    </w:p>
    <w:p w14:paraId="62B85C59" w14:textId="6C475A06" w:rsidR="00BC0A97" w:rsidRPr="00BE6709" w:rsidRDefault="000A5679">
      <w:r w:rsidRPr="000A5679">
        <w:t>A Secure Access Service Edge (SASE) architecture integrates networking connectivity and security controls into a single framework that protects users, branch locations, cloud services, and on-premises resources.</w:t>
      </w:r>
      <w:r>
        <w:t xml:space="preserve"> </w:t>
      </w:r>
      <w:r w:rsidRPr="00BE6709">
        <w:t>SASE commonly combines secure connectivity (often SD‑WAN), firewall capabilities delivered as a service, secure web controls, and Zero Trust Network Access (ZTNA). ZTNA grants application‑level access based on identity and context rather than granting broad network access based on location (Buckwell et al., 2024; Dotson, 2024).</w:t>
      </w:r>
    </w:p>
    <w:p w14:paraId="55BBB26C" w14:textId="77777777" w:rsidR="00BC0A97" w:rsidRPr="00BE6709" w:rsidRDefault="00000000">
      <w:r w:rsidRPr="00BE6709">
        <w:t>Addressing secure data transfer: SASE enforces encrypted connectivity and explicit trust boundaries for hybrid connectors. Sensitive retail flows are routed through approved, policy‑enforced paths, and only documented application traffic is permitted between environments. This reduces unmanaged interconnects and limits lateral movement opportunities when hybrid connectivity expands (Buckwell et al., 2024; Dotson, 2024).</w:t>
      </w:r>
    </w:p>
    <w:p w14:paraId="1CB8CF40" w14:textId="77777777" w:rsidR="00BC0A97" w:rsidRPr="00BE6709" w:rsidRDefault="00000000">
      <w:r w:rsidRPr="00BE6709">
        <w:t>Addressing centralized visibility and monitoring: Because policy decisions and traffic inspection occur at managed enforcement points, access and network telemetry can be standardized and forwarded into a central SIEM/SOAR platform. Centralized telemetry supports correlation of identity, network, and cloud events and improves coordinated incident response across environments (Dotson, 2024; Kraus, 2022).</w:t>
      </w:r>
    </w:p>
    <w:p w14:paraId="78F380F2" w14:textId="77777777" w:rsidR="00BC0A97" w:rsidRPr="00BE6709" w:rsidRDefault="00000000">
      <w:pPr>
        <w:pStyle w:val="Heading3"/>
        <w:rPr>
          <w:color w:val="auto"/>
        </w:rPr>
      </w:pPr>
      <w:r w:rsidRPr="00BE6709">
        <w:rPr>
          <w:color w:val="auto"/>
        </w:rPr>
        <w:t>Solution 2: Standardized NGFW + IDS/IPS at Hybrid Boundaries with Central SIEM</w:t>
      </w:r>
    </w:p>
    <w:p w14:paraId="30A6B4AF" w14:textId="77777777" w:rsidR="00BC0A97" w:rsidRPr="00BE6709" w:rsidRDefault="00000000">
      <w:r w:rsidRPr="00BE6709">
        <w:t>A firewall‑centric methodology standardizes next‑generation firewalls (NGFW) and IDS/IPS capabilities at the on‑prem perimeter and within each cloud using hub/transit patterns. This creates explicit chokepoints where traffic is inspected, segmented, and logged (Dotson, 2024; Kraus, 2022).</w:t>
      </w:r>
    </w:p>
    <w:p w14:paraId="066E5F4A" w14:textId="77777777" w:rsidR="00BC0A97" w:rsidRPr="00BE6709" w:rsidRDefault="00000000">
      <w:r w:rsidRPr="00BE6709">
        <w:t>Addressing secure data transfer: The organization establishes encrypted site‑to‑site connectivity and forces cloud↔on‑prem traffic through NGFW inspection points. Segmentation is enforced using security zones and explicit allowlists (default deny), while IDS/IPS contributes detection and prevention of exploit attempts and anomalous traffic patterns across hybrid trust boundaries (Dotson, 2024; Buckwell et al., 2024).</w:t>
      </w:r>
    </w:p>
    <w:p w14:paraId="534A58D2" w14:textId="77777777" w:rsidR="00BC0A97" w:rsidRPr="00BE6709" w:rsidRDefault="00000000">
      <w:r w:rsidRPr="00BE6709">
        <w:t>Addressing centralized visibility and monitoring: Firewall and IDS/IPS events, along with cloud audit logs, are normalized and forwarded into a central SIEM for correlation. This enables the SOC to identify attack patterns spanning identity events and network signals; however, it depends on consistent configuration and sustained tuning to avoid blind spots and alert fatigue (Kraus, 2022; Dotson, 2024).</w:t>
      </w:r>
    </w:p>
    <w:p w14:paraId="663E604E" w14:textId="77777777" w:rsidR="00BC0A97" w:rsidRPr="00BE6709" w:rsidRDefault="00000000">
      <w:pPr>
        <w:pStyle w:val="Heading1"/>
        <w:rPr>
          <w:color w:val="auto"/>
        </w:rPr>
      </w:pPr>
      <w:r w:rsidRPr="00BE6709">
        <w:rPr>
          <w:color w:val="auto"/>
        </w:rPr>
        <w:lastRenderedPageBreak/>
        <w:t>Part II: Network Security Control Methodologies</w:t>
      </w:r>
    </w:p>
    <w:p w14:paraId="02017F62" w14:textId="77777777" w:rsidR="00BC0A97" w:rsidRPr="00BE6709" w:rsidRDefault="00000000">
      <w:pPr>
        <w:pStyle w:val="Heading2"/>
        <w:rPr>
          <w:color w:val="auto"/>
        </w:rPr>
      </w:pPr>
      <w:r w:rsidRPr="00BE6709">
        <w:rPr>
          <w:color w:val="auto"/>
        </w:rPr>
        <w:t>B1. Evaluation of Project Parameters</w:t>
      </w:r>
    </w:p>
    <w:p w14:paraId="0E808D6C" w14:textId="77777777" w:rsidR="00BC0A97" w:rsidRPr="00BE6709" w:rsidRDefault="00000000">
      <w:pPr>
        <w:pStyle w:val="Heading3"/>
        <w:rPr>
          <w:color w:val="auto"/>
        </w:rPr>
      </w:pPr>
      <w:r w:rsidRPr="00BE6709">
        <w:rPr>
          <w:color w:val="auto"/>
        </w:rPr>
        <w:t>Solution 1 (SASE + ZTNA): Scope, Complexity, Timeline, Budget</w:t>
      </w:r>
    </w:p>
    <w:p w14:paraId="74BE3243" w14:textId="77777777" w:rsidR="00BC0A97" w:rsidRPr="00BE6709" w:rsidRDefault="00000000">
      <w:r w:rsidRPr="00BE6709">
        <w:t>Scope: SASE supports enterprise‑wide coverage—remote users, branches, cloud applications, and on‑prem resources—under a unified policy approach, reducing fragmentation and improving governance across hybrid environments (Buckwell et al., 2024; Kraus, 2022).</w:t>
      </w:r>
    </w:p>
    <w:p w14:paraId="3F9B36DE" w14:textId="77777777" w:rsidR="00BC0A97" w:rsidRPr="00BE6709" w:rsidRDefault="00000000">
      <w:r w:rsidRPr="00BE6709">
        <w:t>Complexity: Initial implementation requires careful identity integration, traffic steering, and policy design; however, central policy management typically reduces long‑term operational complexity compared to maintaining separate security stacks across multiple clouds and on‑prem (Dotson, 2024; Kraus, 2022).</w:t>
      </w:r>
    </w:p>
    <w:p w14:paraId="4094A64F" w14:textId="77777777" w:rsidR="00BC0A97" w:rsidRPr="00BE6709" w:rsidRDefault="00000000">
      <w:r w:rsidRPr="00BE6709">
        <w:t>Timeline: SASE supports phased delivery. A practical rollout secures remote access first, then enforces hybrid connectivity and segmentation, and finally matures monitoring and automated response use cases as operational readiness increases (Buckwell et al., 2024; Dotson, 2024).</w:t>
      </w:r>
    </w:p>
    <w:p w14:paraId="21BCFF5D" w14:textId="77777777" w:rsidR="00BC0A97" w:rsidRPr="00BE6709" w:rsidRDefault="00000000">
      <w:r w:rsidRPr="00BE6709">
        <w:t>Budget: SASE is usually subscription‑based, shifting spend toward operating expense. Costs can be offset by reducing redundant tools, minimizing hardware refreshes, and lowering administrative overhead, while requiring strong vendor governance and service‑level expectations (Dotson, 2024; Kraus, 2022).</w:t>
      </w:r>
    </w:p>
    <w:p w14:paraId="6A9D6461" w14:textId="77777777" w:rsidR="00BC0A97" w:rsidRPr="00BE6709" w:rsidRDefault="00000000">
      <w:pPr>
        <w:pStyle w:val="Heading3"/>
        <w:rPr>
          <w:color w:val="auto"/>
        </w:rPr>
      </w:pPr>
      <w:r w:rsidRPr="00BE6709">
        <w:rPr>
          <w:color w:val="auto"/>
        </w:rPr>
        <w:t>Solution 2 (NGFW + IDS/IPS Everywhere): Scope, Complexity, Timeline, Budget</w:t>
      </w:r>
    </w:p>
    <w:p w14:paraId="3320D606" w14:textId="77777777" w:rsidR="00BC0A97" w:rsidRPr="00BE6709" w:rsidRDefault="00000000">
      <w:r w:rsidRPr="00BE6709">
        <w:t>Scope: This methodology secures hybrid environments by placing standardized boundary controls at the perimeter of on‑prem and each cloud environment, which can be clear and auditable when managed consistently (Dotson, 2024).</w:t>
      </w:r>
    </w:p>
    <w:p w14:paraId="0DBF7687" w14:textId="77777777" w:rsidR="00BC0A97" w:rsidRPr="00BE6709" w:rsidRDefault="00000000">
      <w:r w:rsidRPr="00BE6709">
        <w:t>Complexity: Multicloud implementations increase complexity because each provider has different networking constructs, scaling patterns, and logging pipelines. Maintaining consistent rule sets and telemetry quality across providers requires strong governance and continuous validation (Kraus, 2022; Dotson, 2024).</w:t>
      </w:r>
    </w:p>
    <w:p w14:paraId="0532E46D" w14:textId="77777777" w:rsidR="00BC0A97" w:rsidRPr="00BE6709" w:rsidRDefault="00000000">
      <w:r w:rsidRPr="00BE6709">
        <w:t>Timeline: Boundary deployments can deliver early value, but full effectiveness requires sustained “day‑2” operations—rule tuning, IDS signature tuning, scaling, and SIEM detection engineering—to ensure controls improve outcomes rather than simply generating noise (Dotson, 2024; Kraus, 2022).</w:t>
      </w:r>
    </w:p>
    <w:p w14:paraId="0C71D2BD" w14:textId="77777777" w:rsidR="00BC0A97" w:rsidRPr="00BE6709" w:rsidRDefault="00000000">
      <w:r w:rsidRPr="00BE6709">
        <w:t>Budget: Distributed firewalls and IDS/IPS across three clouds plus on‑prem can increase licensing, HA/scaling costs, and operational workload. Ongoing operations often become the largest cost driver in distributed security tooling architectures (Dotson, 2024; Kraus, 2022).</w:t>
      </w:r>
    </w:p>
    <w:p w14:paraId="05AE456D" w14:textId="77777777" w:rsidR="00BC0A97" w:rsidRPr="00BE6709" w:rsidRDefault="00000000">
      <w:pPr>
        <w:pStyle w:val="Heading2"/>
        <w:rPr>
          <w:color w:val="auto"/>
        </w:rPr>
      </w:pPr>
      <w:r w:rsidRPr="00BE6709">
        <w:rPr>
          <w:color w:val="auto"/>
        </w:rPr>
        <w:lastRenderedPageBreak/>
        <w:t>B2. Comparative Analysis (Strengths and Weaknesses)</w:t>
      </w:r>
    </w:p>
    <w:p w14:paraId="09AA12E2" w14:textId="77777777" w:rsidR="00BC0A97" w:rsidRPr="00BE6709" w:rsidRDefault="00000000">
      <w:pPr>
        <w:pStyle w:val="Heading3"/>
        <w:rPr>
          <w:color w:val="auto"/>
        </w:rPr>
      </w:pPr>
      <w:r w:rsidRPr="00BE6709">
        <w:rPr>
          <w:color w:val="auto"/>
        </w:rPr>
        <w:t>Solution 1 (SASE + ZTNA)</w:t>
      </w:r>
    </w:p>
    <w:p w14:paraId="5CA328FD" w14:textId="77777777" w:rsidR="00BC0A97" w:rsidRPr="00BE6709" w:rsidRDefault="00000000">
      <w:r w:rsidRPr="00BE6709">
        <w:t>Strengths: SASE improves policy consistency across hybrid edges by centralizing enforcement and aligning access decisions to identity and context. This reduces configuration drift and limits lateral movement by providing application‑level access rather than broad network access. Consolidated enforcement also produces more standardized telemetry into SIEM/SOAR, improving investigation speed and coordinated response (Buckwell et al., 2024; Dotson, 2024; Kraus, 2022).</w:t>
      </w:r>
    </w:p>
    <w:p w14:paraId="7A685749" w14:textId="77777777" w:rsidR="00BC0A97" w:rsidRPr="00BE6709" w:rsidRDefault="00000000">
      <w:r w:rsidRPr="00BE6709">
        <w:t>Weaknesses: SASE increases dependency on the provider’s availability and point‑of‑presence performance, and it can require careful exception handling for legacy protocols or hard‑coded dependencies that cannot be traffic‑steered immediately without business impact (Dotson, 2024; Buckwell et al., 2024).</w:t>
      </w:r>
    </w:p>
    <w:p w14:paraId="0FE98282" w14:textId="77777777" w:rsidR="00BC0A97" w:rsidRPr="00BE6709" w:rsidRDefault="00000000">
      <w:pPr>
        <w:pStyle w:val="Heading3"/>
        <w:rPr>
          <w:color w:val="auto"/>
        </w:rPr>
      </w:pPr>
      <w:r w:rsidRPr="00BE6709">
        <w:rPr>
          <w:color w:val="auto"/>
        </w:rPr>
        <w:t>Solution 2 (NGFW + IDS/IPS)</w:t>
      </w:r>
    </w:p>
    <w:p w14:paraId="0C4079CA" w14:textId="77777777" w:rsidR="00BC0A97" w:rsidRPr="00BE6709" w:rsidRDefault="00000000">
      <w:r w:rsidRPr="00BE6709">
        <w:t>Strengths: A standardized NGFW/IDS model creates explicit trust boundaries, supports default‑deny segmentation, and provides deep traffic inspection that can reduce exploit success. Many organizations also have mature audit and operational processes for firewall governance and IDS tuning (Dotson, 2024; Kraus, 2022).</w:t>
      </w:r>
    </w:p>
    <w:p w14:paraId="208CF594" w14:textId="77777777" w:rsidR="00BC0A97" w:rsidRPr="00BE6709" w:rsidRDefault="00000000">
      <w:r w:rsidRPr="00BE6709">
        <w:t>Weaknesses: In multicloud environments, this approach has higher risk of inconsistency because each provider’s networking and telemetry patterns differ, increasing the likelihood of policy drift and monitoring gaps. It also increases operational overhead and can contribute to alert fatigue if tuning and correlation are not maintained as the environment evolves (Dotson, 2024; Kraus, 2022).</w:t>
      </w:r>
    </w:p>
    <w:p w14:paraId="5AB5F546" w14:textId="77777777" w:rsidR="00BC0A97" w:rsidRPr="00BE6709" w:rsidRDefault="00000000">
      <w:pPr>
        <w:pStyle w:val="Heading1"/>
        <w:rPr>
          <w:color w:val="auto"/>
        </w:rPr>
      </w:pPr>
      <w:r w:rsidRPr="00BE6709">
        <w:rPr>
          <w:color w:val="auto"/>
        </w:rPr>
        <w:t>Part III: Recommended Design Solution</w:t>
      </w:r>
    </w:p>
    <w:p w14:paraId="118F555A" w14:textId="77777777" w:rsidR="00BC0A97" w:rsidRPr="00BE6709" w:rsidRDefault="00000000">
      <w:pPr>
        <w:pStyle w:val="Heading2"/>
        <w:rPr>
          <w:color w:val="auto"/>
        </w:rPr>
      </w:pPr>
      <w:r w:rsidRPr="00BE6709">
        <w:rPr>
          <w:color w:val="auto"/>
        </w:rPr>
        <w:t>C1. Proposed Solution Summary</w:t>
      </w:r>
    </w:p>
    <w:p w14:paraId="42CA05C8" w14:textId="77777777" w:rsidR="00BC0A97" w:rsidRPr="00BE6709" w:rsidRDefault="00000000">
      <w:r w:rsidRPr="00BE6709">
        <w:t>Recommended solution: The SASE + ZTNA methodology is recommended as the primary control plane, with NGFW/IDS retained selectively for defense‑in‑depth at the on‑prem perimeter and for legacy exception paths that cannot be fully traffic‑steered during transition (Buckwell et al., 2024; Dotson, 2024).</w:t>
      </w:r>
    </w:p>
    <w:p w14:paraId="5B4CAA50" w14:textId="77777777" w:rsidR="00BC0A97" w:rsidRPr="00BE6709" w:rsidRDefault="00000000">
      <w:r w:rsidRPr="00BE6709">
        <w:t>Rationale: The major post‑merger risk in hybrid/multicloud environments is fragmented control implementation and siloed visibility across multiple edges. SASE directly reduces this risk by unifying access enforcement and telemetry, while selective NGFW/IDS preserves strong segmentation and compensating controls for legacy enclaves (Buckwell et al., 2024; Dotson, 2024; Kraus, 2022).</w:t>
      </w:r>
    </w:p>
    <w:p w14:paraId="272EA50B" w14:textId="77777777" w:rsidR="00BC0A97" w:rsidRPr="00BE6709" w:rsidRDefault="00000000">
      <w:pPr>
        <w:pStyle w:val="Heading3"/>
        <w:rPr>
          <w:color w:val="auto"/>
        </w:rPr>
      </w:pPr>
      <w:r w:rsidRPr="00BE6709">
        <w:rPr>
          <w:color w:val="auto"/>
        </w:rPr>
        <w:lastRenderedPageBreak/>
        <w:t>Network Security Architecture Plan (Implementation‑Focused)</w:t>
      </w:r>
    </w:p>
    <w:p w14:paraId="437E52A4" w14:textId="77777777" w:rsidR="00BC0A97" w:rsidRPr="00BE6709" w:rsidRDefault="00000000">
      <w:r w:rsidRPr="00BE6709">
        <w:t>First, establish trust boundaries and segmentation by defining security zones according to sensitivity (for example, customer PII services, transaction systems, corporate IT, dev/test, and vendor integrations). Enforce default deny between zones and permit only documented application flows to reduce lateral movement risk (Buckwell et al., 2024; Dotson, 2024).</w:t>
      </w:r>
    </w:p>
    <w:p w14:paraId="60352788" w14:textId="77777777" w:rsidR="00BC0A97" w:rsidRPr="00BE6709" w:rsidRDefault="00000000">
      <w:r w:rsidRPr="00BE6709">
        <w:t>Second, secure hybrid data movement by ensuring all cloud↔on‑prem cross‑boundary traffic uses strong encryption and routes through approved enforcement points. Minimize the number of hybrid connectors and govern them as high‑risk interfaces with clear ownership and change control (Dotson, 2024; Kraus, 2022).</w:t>
      </w:r>
    </w:p>
    <w:p w14:paraId="723A70F5" w14:textId="77777777" w:rsidR="00BC0A97" w:rsidRPr="00BE6709" w:rsidRDefault="00000000">
      <w:r w:rsidRPr="00BE6709">
        <w:t>Third, enforce identity‑centric access using ZTNA. Provide application‑level access rather than broad network access, apply least privilege for privileged and high‑risk roles, and require strong authentication and risk‑based conditional access for sensitive actions (Buckwell et al., 2024; Kraus, 2022).</w:t>
      </w:r>
    </w:p>
    <w:p w14:paraId="470C5E11" w14:textId="77777777" w:rsidR="00BC0A97" w:rsidRPr="00BE6709" w:rsidRDefault="00000000">
      <w:r w:rsidRPr="00BE6709">
        <w:t>Fourth, centralize visibility, monitoring, and response by aggregating logs from SASE policy decisions, cloud audit activity, firewall/IDS events, endpoint security, and key applications into the SIEM. Build correlation detections that combine identity signals and cloud/network telemetry, and operationalize response through SOAR playbooks (Dotson, 2024; Kraus, 2022).</w:t>
      </w:r>
    </w:p>
    <w:p w14:paraId="40817DC7" w14:textId="77777777" w:rsidR="00BC0A97" w:rsidRPr="00BE6709" w:rsidRDefault="00000000">
      <w:r w:rsidRPr="00BE6709">
        <w:t>Fifth, operationalize governance and day‑2 readiness by establishing baseline standards, change control, periodic access reviews, and control validation routines. Clarify shared responsibility across teams so control ownership and evidence collection are consistent across clouds and on‑prem (Kraus, 2022; Buckwell et al., 2024).</w:t>
      </w:r>
    </w:p>
    <w:p w14:paraId="42C31FB2" w14:textId="77777777" w:rsidR="00BC0A97" w:rsidRPr="00BE6709" w:rsidRDefault="00000000">
      <w:pPr>
        <w:pStyle w:val="Heading3"/>
        <w:rPr>
          <w:color w:val="auto"/>
        </w:rPr>
      </w:pPr>
      <w:r w:rsidRPr="00BE6709">
        <w:rPr>
          <w:color w:val="auto"/>
        </w:rPr>
        <w:t>Success Criteria (How Stakeholders Know It Worked)</w:t>
      </w:r>
    </w:p>
    <w:p w14:paraId="52A3D8CA" w14:textId="77777777" w:rsidR="00BC0A97" w:rsidRPr="00BE6709" w:rsidRDefault="00000000">
      <w:r w:rsidRPr="00BE6709">
        <w:t>The design will be considered effective when (1) unauthorized east‑west traffic across hybrid boundaries is reduced and validated through segmentation tests and flow monitoring, (2) centralized detection coverage exists for hybrid attack paths as measured by SIEM use‑case coverage and incident response exercises, and (3) identity‑based access enforcement (least privilege) is consistent as validated through access reviews and privileged activity monitoring (Dotson, 2024; Kraus, 2022; Buckwell et al., 2024).</w:t>
      </w:r>
    </w:p>
    <w:p w14:paraId="72C09126" w14:textId="77777777" w:rsidR="00BC0A97" w:rsidRPr="00BE6709" w:rsidRDefault="00000000">
      <w:pPr>
        <w:pStyle w:val="Heading2"/>
        <w:rPr>
          <w:color w:val="auto"/>
        </w:rPr>
      </w:pPr>
      <w:r w:rsidRPr="00BE6709">
        <w:rPr>
          <w:color w:val="auto"/>
        </w:rPr>
        <w:lastRenderedPageBreak/>
        <w:t>C2. Security Architecture Diagram (Provided Separately) — Narrative Explanation</w:t>
      </w:r>
    </w:p>
    <w:p w14:paraId="608D61DA" w14:textId="77777777" w:rsidR="00BC0A97" w:rsidRPr="00BE6709" w:rsidRDefault="00000000">
      <w:r w:rsidRPr="00BE6709">
        <w:rPr>
          <w:noProof/>
        </w:rPr>
        <w:drawing>
          <wp:inline distT="0" distB="0" distL="0" distR="0" wp14:anchorId="480CCB8B" wp14:editId="2DE981A5">
            <wp:extent cx="5943600" cy="33840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ad5d33-ac63-4d11-9693-8c5e797bf945.png"/>
                    <pic:cNvPicPr/>
                  </pic:nvPicPr>
                  <pic:blipFill>
                    <a:blip r:embed="rId6"/>
                    <a:stretch>
                      <a:fillRect/>
                    </a:stretch>
                  </pic:blipFill>
                  <pic:spPr>
                    <a:xfrm>
                      <a:off x="0" y="0"/>
                      <a:ext cx="5943600" cy="3384004"/>
                    </a:xfrm>
                    <a:prstGeom prst="rect">
                      <a:avLst/>
                    </a:prstGeom>
                  </pic:spPr>
                </pic:pic>
              </a:graphicData>
            </a:graphic>
          </wp:inline>
        </w:drawing>
      </w:r>
    </w:p>
    <w:p w14:paraId="2AEFDC90" w14:textId="77777777" w:rsidR="00BC0A97" w:rsidRPr="00BE6709" w:rsidRDefault="00000000">
      <w:pPr>
        <w:jc w:val="center"/>
      </w:pPr>
      <w:r w:rsidRPr="00BE6709">
        <w:rPr>
          <w:i/>
        </w:rPr>
        <w:t>Figure C2. Alliah–KretsMart hybrid security architecture (SASE/Zero Trust).</w:t>
      </w:r>
    </w:p>
    <w:p w14:paraId="4EED3729" w14:textId="77777777" w:rsidR="00BC0A97" w:rsidRPr="00BE6709" w:rsidRDefault="00000000">
      <w:r w:rsidRPr="00BE6709">
        <w:t>The security architecture diagram (Figure C2) shows how users, enforcement points, and telemetry flows interact in the proposed SASE/Zero Trust hybrid design. Remote users authenticate using MFA and establish encrypted connectivity to a SASE point of presence. The policy enforcement layer (ZTNA and firewall capabilities delivered as a service) evaluates identity and context before granting least‑privilege, application‑level access. Depending on the requested resource, approved sessions are routed either to the on‑prem data center through the perimeter firewall/VPN to reach legacy applications or to multicloud workloads where Cloud IAM enforces role‑based permissions (Buckwell et al., 2024; Dotson, 2024; Kraus, 2022).</w:t>
      </w:r>
    </w:p>
    <w:p w14:paraId="7D69F83B" w14:textId="77777777" w:rsidR="00BC0A97" w:rsidRPr="00BE6709" w:rsidRDefault="00000000">
      <w:r w:rsidRPr="00BE6709">
        <w:t>The diagram also emphasizes centralized visibility and response: logs and telemetry from policy enforcement, cloud workloads, and identity sources are forwarded to a central SIEM for correlation. The SIEM integrates with SOAR/incident response workflows so detection can trigger consistent containment actions (for example, session termination, access revocation, or escalation to an incident queue). This structure supports coordinated response across on‑prem and multicloud rather than isolated investigations in each environment (Dotson, 2024; Kraus, 2022).</w:t>
      </w:r>
    </w:p>
    <w:p w14:paraId="6564F58E" w14:textId="77777777" w:rsidR="00BC0A97" w:rsidRPr="00BE6709" w:rsidRDefault="00000000">
      <w:pPr>
        <w:pStyle w:val="Heading1"/>
        <w:rPr>
          <w:color w:val="auto"/>
        </w:rPr>
      </w:pPr>
      <w:r w:rsidRPr="00BE6709">
        <w:rPr>
          <w:color w:val="auto"/>
        </w:rPr>
        <w:lastRenderedPageBreak/>
        <w:t>Part IV: Security Design Evaluation</w:t>
      </w:r>
    </w:p>
    <w:p w14:paraId="6D2D27D1" w14:textId="77777777" w:rsidR="00BC0A97" w:rsidRPr="00BE6709" w:rsidRDefault="00000000">
      <w:pPr>
        <w:pStyle w:val="Heading2"/>
        <w:rPr>
          <w:color w:val="auto"/>
        </w:rPr>
      </w:pPr>
      <w:r w:rsidRPr="00BE6709">
        <w:rPr>
          <w:color w:val="auto"/>
        </w:rPr>
        <w:t>D1. Advantages of the Recommended Approach for Stakeholders</w:t>
      </w:r>
    </w:p>
    <w:p w14:paraId="785D77F4" w14:textId="77777777" w:rsidR="00BC0A97" w:rsidRPr="00BE6709" w:rsidRDefault="00000000">
      <w:r w:rsidRPr="00BE6709">
        <w:t>Advantage 1 (Governance and audit readiness): A unified SASE + ZTNA control plane improves policy consistency across on‑prem and multicloud and strengthens audit narratives by documenting who accessed what resources, under what policy, and with what identity/device context. This reduces policy drift and improves compliance evidence quality (Buckwell et al., 2024; Kraus, 2022).</w:t>
      </w:r>
    </w:p>
    <w:p w14:paraId="34CFD5BC" w14:textId="77777777" w:rsidR="00BC0A97" w:rsidRPr="00BE6709" w:rsidRDefault="00000000">
      <w:r w:rsidRPr="00BE6709">
        <w:t>Advantage 2 (SOC efficiency and coordinated incident response): Centralized telemetry and standardized enforcement points improve detection and investigation quality. Security operations teams can correlate identity events, network signals, and cloud audit activity to reduce time‑to‑triage and execute repeatable response actions through SOAR playbooks (Dotson, 2024; Kraus, 2022).</w:t>
      </w:r>
    </w:p>
    <w:p w14:paraId="24475E26" w14:textId="77777777" w:rsidR="00BC0A97" w:rsidRPr="00BE6709" w:rsidRDefault="00000000">
      <w:pPr>
        <w:pStyle w:val="Heading2"/>
        <w:rPr>
          <w:color w:val="auto"/>
        </w:rPr>
      </w:pPr>
      <w:r w:rsidRPr="00BE6709">
        <w:rPr>
          <w:color w:val="auto"/>
        </w:rPr>
        <w:t>D2. Risks of the Recommended Approach and Mitigation Strategies</w:t>
      </w:r>
    </w:p>
    <w:p w14:paraId="60F38AE7" w14:textId="77777777" w:rsidR="00BC0A97" w:rsidRPr="00BE6709" w:rsidRDefault="00000000">
      <w:r w:rsidRPr="00BE6709">
        <w:t>Risk 1 (Provider dependency and resilience): Reliance on SASE provider availability and point‑of‑presence performance can degrade access to critical applications if outages or routing instability occurs, and long‑term vendor lock‑in can reduce architectural flexibility. Mitigation includes designing redundancy using multiple points of presence/regions and tested failover paths, and maintaining selective on‑prem boundary controls to preserve segmentation and logging during degraded connectivity scenarios (Dotson, 2024; Kraus, 2022; Buckwell et al., 2024).</w:t>
      </w:r>
    </w:p>
    <w:p w14:paraId="7A24BB79" w14:textId="77777777" w:rsidR="00BC0A97" w:rsidRDefault="00000000">
      <w:pPr>
        <w:pBdr>
          <w:bottom w:val="single" w:sz="6" w:space="1" w:color="auto"/>
        </w:pBdr>
      </w:pPr>
      <w:r w:rsidRPr="00BE6709">
        <w:t>Risk 2 (Misconfiguration and policy drift): Identity‑centric access models can fail if conditional access rules, roles, or segmentation policies are misconfigured, resulting in overly permissive access or business disruption. Mitigation includes strict change management with peer review and staged deployment, routine access reviews for privileged roles, and continuous monitoring/guardrails to detect anomalous access paths and enforce least privilege (Kraus, 2022; Buckwell et al., 2024; Dotson, 2024).</w:t>
      </w:r>
    </w:p>
    <w:p w14:paraId="6E38FEF3" w14:textId="52D9C454" w:rsidR="00BC0A97" w:rsidRPr="00BE6709" w:rsidRDefault="00000000" w:rsidP="00660F2D">
      <w:pPr>
        <w:pStyle w:val="Heading1"/>
        <w:jc w:val="center"/>
        <w:rPr>
          <w:color w:val="auto"/>
        </w:rPr>
      </w:pPr>
      <w:r w:rsidRPr="00BE6709">
        <w:rPr>
          <w:color w:val="auto"/>
        </w:rPr>
        <w:t>References</w:t>
      </w:r>
    </w:p>
    <w:p w14:paraId="26997578" w14:textId="77777777" w:rsidR="00660F2D" w:rsidRPr="00660F2D" w:rsidRDefault="00660F2D" w:rsidP="00660F2D">
      <w:r w:rsidRPr="00660F2D">
        <w:t>Buckwell, Van Daele &amp; Horst, Security Architecture for Hybrid Cloud (O’Reilly, 2024) </w:t>
      </w:r>
    </w:p>
    <w:p w14:paraId="683C3BE8" w14:textId="77777777" w:rsidR="00660F2D" w:rsidRPr="00660F2D" w:rsidRDefault="00660F2D" w:rsidP="00660F2D">
      <w:r w:rsidRPr="00660F2D">
        <w:t>Dotson, Practical Cloud Security (O’Reilly, 2024) </w:t>
      </w:r>
    </w:p>
    <w:p w14:paraId="69D31FC6" w14:textId="77777777" w:rsidR="00660F2D" w:rsidRPr="00660F2D" w:rsidRDefault="00660F2D" w:rsidP="00660F2D">
      <w:r w:rsidRPr="00660F2D">
        <w:t>Kraus, The Official (ISC)2 CCSP CBK Reference (Wiley, 2022)</w:t>
      </w:r>
    </w:p>
    <w:p w14:paraId="02105801" w14:textId="4448595F" w:rsidR="00BC0A97" w:rsidRPr="00BE6709" w:rsidRDefault="00BC0A97" w:rsidP="00660F2D"/>
    <w:sectPr w:rsidR="00BC0A97" w:rsidRPr="00BE67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0750009">
    <w:abstractNumId w:val="8"/>
  </w:num>
  <w:num w:numId="2" w16cid:durableId="512846376">
    <w:abstractNumId w:val="6"/>
  </w:num>
  <w:num w:numId="3" w16cid:durableId="846866337">
    <w:abstractNumId w:val="5"/>
  </w:num>
  <w:num w:numId="4" w16cid:durableId="496310655">
    <w:abstractNumId w:val="4"/>
  </w:num>
  <w:num w:numId="5" w16cid:durableId="1907571472">
    <w:abstractNumId w:val="7"/>
  </w:num>
  <w:num w:numId="6" w16cid:durableId="856848579">
    <w:abstractNumId w:val="3"/>
  </w:num>
  <w:num w:numId="7" w16cid:durableId="999306982">
    <w:abstractNumId w:val="2"/>
  </w:num>
  <w:num w:numId="8" w16cid:durableId="357776871">
    <w:abstractNumId w:val="1"/>
  </w:num>
  <w:num w:numId="9" w16cid:durableId="356662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02E"/>
    <w:rsid w:val="0006063C"/>
    <w:rsid w:val="000A5679"/>
    <w:rsid w:val="000C5C5D"/>
    <w:rsid w:val="00127631"/>
    <w:rsid w:val="0015074B"/>
    <w:rsid w:val="00170B8D"/>
    <w:rsid w:val="0029639D"/>
    <w:rsid w:val="00326F90"/>
    <w:rsid w:val="00660F2D"/>
    <w:rsid w:val="007A4473"/>
    <w:rsid w:val="007E0406"/>
    <w:rsid w:val="008762E5"/>
    <w:rsid w:val="00AA1D8D"/>
    <w:rsid w:val="00B47730"/>
    <w:rsid w:val="00B63652"/>
    <w:rsid w:val="00B65EDC"/>
    <w:rsid w:val="00BC0A97"/>
    <w:rsid w:val="00BE6709"/>
    <w:rsid w:val="00CB0664"/>
    <w:rsid w:val="00D33EB4"/>
    <w:rsid w:val="00F9296E"/>
    <w:rsid w:val="00FC693F"/>
    <w:rsid w:val="00FE18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6F3706"/>
  <w14:defaultImageDpi w14:val="300"/>
  <w15:docId w15:val="{A119CF73-41DD-4566-A224-5AB58928C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2327</Words>
  <Characters>13265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Duc Tran (cw)</cp:lastModifiedBy>
  <cp:revision>17</cp:revision>
  <dcterms:created xsi:type="dcterms:W3CDTF">2013-12-23T23:15:00Z</dcterms:created>
  <dcterms:modified xsi:type="dcterms:W3CDTF">2026-06-12T17:40:00Z</dcterms:modified>
  <cp:category/>
</cp:coreProperties>
</file>