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Gold vs Stocks Report</w:t>
      </w:r>
    </w:p>
    <w:p>
      <w:pPr>
        <w:pStyle w:val="FirstParagraph"/>
      </w:pPr>
      <w:r>
        <w:rPr>
          <w:b/>
          <w:bCs/>
        </w:rPr>
        <w:t xml:space="preserve">Gold as a Capital Investment</w:t>
      </w:r>
    </w:p>
    <w:p>
      <w:pPr>
        <w:pStyle w:val="BodyText"/>
      </w:pPr>
      <w:r>
        <w:rPr>
          <w:i/>
          <w:iCs/>
        </w:rPr>
        <w:t xml:space="preserve">Performance, Tax Advantages, Demographic Outlook</w:t>
      </w:r>
      <w:r>
        <w:br/>
      </w:r>
      <w:r>
        <w:rPr>
          <w:i/>
          <w:iCs/>
        </w:rPr>
        <w:t xml:space="preserve">and the Role of Banks</w:t>
      </w:r>
    </w:p>
    <w:p>
      <w:pPr>
        <w:pStyle w:val="BodyText"/>
      </w:pPr>
      <w:r>
        <w:t xml:space="preserve">As of March 2026 · Data sources: Yahoo Finance, ECB, London Bullion</w:t>
      </w:r>
      <w:r>
        <w:t xml:space="preserve"> </w:t>
      </w:r>
      <w:r>
        <w:t xml:space="preserve">Market</w:t>
      </w:r>
    </w:p>
    <w:p>
      <w:pPr>
        <w:pStyle w:val="BodyText"/>
      </w:pPr>
      <w:r>
        <w:rPr>
          <w:b/>
          <w:bCs/>
        </w:rPr>
        <w:t xml:space="preserve">1 Methodology and Data Sources</w:t>
      </w:r>
    </w:p>
    <w:p>
      <w:pPr>
        <w:pStyle w:val="BodyText"/>
      </w:pPr>
      <w:r>
        <w:t xml:space="preserve">This analysis compares physical gold (XAU, London PM fix) with</w:t>
      </w:r>
      <w:r>
        <w:t xml:space="preserve"> </w:t>
      </w:r>
      <w:r>
        <w:t xml:space="preserve">the S&amp;P 500 Total Return Index (USD, including reinvested</w:t>
      </w:r>
      <w:r>
        <w:t xml:space="preserve"> </w:t>
      </w:r>
      <w:r>
        <w:t xml:space="preserve">dividends) and the DAX Performance Index (EUR, including dividends)</w:t>
      </w:r>
      <w:r>
        <w:t xml:space="preserve"> </w:t>
      </w:r>
      <w:r>
        <w:t xml:space="preserve">from the perspective of a German investor. All values have been converted to euros.</w:t>
      </w:r>
      <w:r>
        <w:t xml:space="preserve"> </w:t>
      </w:r>
      <w:r>
        <w:t xml:space="preserve">The starting capital is €1,000 each, invested at the beginning of the month in</w:t>
      </w:r>
      <w:r>
        <w:t xml:space="preserve"> </w:t>
      </w:r>
      <w:r>
        <w:t xml:space="preserve">the years 2000, 2005, 2010, 2015, and 2020. For the tax analysis, the current</w:t>
      </w:r>
      <w:r>
        <w:t xml:space="preserve"> </w:t>
      </w:r>
      <w:r>
        <w:t xml:space="preserve">German flat-rate withholding tax (26.375% including solidarity surcharge) and the</w:t>
      </w:r>
      <w:r>
        <w:t xml:space="preserve"> </w:t>
      </w:r>
      <w:r>
        <w:t xml:space="preserve">partial exemption of 30% for equity ETFs (effective tax rate: 18.46%) are applied.</w:t>
      </w:r>
    </w:p>
    <w:p>
      <w:pPr>
        <w:pStyle w:val="BodyText"/>
      </w:pPr>
      <w:r>
        <w:rPr>
          <w:b/>
          <w:bCs/>
        </w:rPr>
        <w:t xml:space="preserve">2 Performance Since January 2000</w:t>
      </w:r>
    </w:p>
    <w:p>
      <w:pPr>
        <w:pStyle w:val="BodyText"/>
      </w:pPr>
      <w:r>
        <w:t xml:space="preserve">An investor who placed €1,000 each in gold, the S&amp;P 500 TR, and the DAX</w:t>
      </w:r>
      <w:r>
        <w:t xml:space="preserve"> </w:t>
      </w:r>
      <w:r>
        <w:t xml:space="preserve">in January 2000 would see fundamentally different results today:</w:t>
      </w:r>
      <w:r>
        <w:t xml:space="preserve"> </w:t>
      </w:r>
      <w:r>
        <w:t xml:space="preserve">Gold grew to</w:t>
      </w:r>
      <w:r>
        <w:t xml:space="preserve"> </w:t>
      </w:r>
      <w:r>
        <w:rPr>
          <w:b/>
          <w:bCs/>
        </w:rPr>
        <w:t xml:space="preserve">€14,115</w:t>
      </w:r>
      <w:r>
        <w:t xml:space="preserve"> </w:t>
      </w:r>
      <w:r>
        <w:t xml:space="preserve">(10.9% p.a.), the S&amp;P 500</w:t>
      </w:r>
      <w:r>
        <w:t xml:space="preserve"> </w:t>
      </w:r>
      <w:r>
        <w:t xml:space="preserve">TR to</w:t>
      </w:r>
      <w:r>
        <w:t xml:space="preserve"> </w:t>
      </w:r>
      <w:r>
        <w:rPr>
          <w:b/>
          <w:bCs/>
        </w:rPr>
        <w:t xml:space="preserve">€5,452</w:t>
      </w:r>
      <w:r>
        <w:t xml:space="preserve"> </w:t>
      </w:r>
      <w:r>
        <w:t xml:space="preserve">(6.9% p.a.), and the DAX to</w:t>
      </w:r>
      <w:r>
        <w:t xml:space="preserve"> </w:t>
      </w:r>
      <w:r>
        <w:rPr>
          <w:b/>
          <w:bCs/>
        </w:rPr>
        <w:t xml:space="preserve">€3,249</w:t>
      </w:r>
      <w:r>
        <w:t xml:space="preserve"> </w:t>
      </w:r>
      <w:r>
        <w:t xml:space="preserve">(4.7% p.a.). Gold significantly outperforms both equity indices over</w:t>
      </w:r>
      <w:r>
        <w:t xml:space="preserve"> </w:t>
      </w:r>
      <w:r>
        <w:t xml:space="preserve">this period.</w:t>
      </w:r>
    </w:p>
    <w:p>
      <w:pPr>
        <w:pStyle w:val="BodyText"/>
      </w:pPr>
      <w:r>
        <w:t xml:space="preserve">The key to gold's outperformance lies in two severe stock market crises: First, the</w:t>
      </w:r>
      <w:r>
        <w:t xml:space="preserve"> </w:t>
      </w:r>
      <w:r>
        <w:t xml:space="preserve">dotcom bubble (2000–2002), during which the DAX and S&amp;P 500 lost more than 50%</w:t>
      </w:r>
      <w:r>
        <w:t xml:space="preserve"> </w:t>
      </w:r>
      <w:r>
        <w:t xml:space="preserve">while gold remained nearly stable. Second, the financial crisis of 2008/09, when</w:t>
      </w:r>
      <w:r>
        <w:t xml:space="preserve"> </w:t>
      </w:r>
      <w:r>
        <w:t xml:space="preserve">equities again plunged roughly 50% and gold was in demand as a safe haven. In both</w:t>
      </w:r>
      <w:r>
        <w:t xml:space="preserve"> </w:t>
      </w:r>
      <w:r>
        <w:t xml:space="preserve">cases, equity investors first had to recover years of losses before any growth could</w:t>
      </w:r>
      <w:r>
        <w:t xml:space="preserve"> </w:t>
      </w:r>
      <w:r>
        <w:t xml:space="preserve">be achieved – a so-called "lost decade."</w:t>
      </w:r>
    </w:p>
    <w:p>
      <w:pPr>
        <w:pStyle w:val="BodyText"/>
      </w:pPr>
      <w:r>
        <w:drawing>
          <wp:inline>
            <wp:extent cx="5334000" cy="262514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edia/imag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5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1: Gross and net performance since 2000 in EUR (including</w:t>
      </w:r>
      <w:r>
        <w:rPr>
          <w:i/>
          <w:iCs/>
        </w:rPr>
        <w:t xml:space="preserve"> </w:t>
      </w:r>
      <w:r>
        <w:rPr>
          <w:i/>
          <w:iCs/>
        </w:rPr>
        <w:t xml:space="preserve">withholding tax)</w:t>
      </w:r>
    </w:p>
    <w:p>
      <w:pPr>
        <w:pStyle w:val="BodyText"/>
      </w:pPr>
      <w:r>
        <w:rPr>
          <w:b/>
          <w:bCs/>
        </w:rPr>
        <w:t xml:space="preserve">3 Comparison by Entry Year</w:t>
      </w:r>
    </w:p>
    <w:p>
      <w:pPr>
        <w:pStyle w:val="BodyText"/>
      </w:pPr>
      <w:r>
        <w:t xml:space="preserve">Depending on the entry point, the picture changes significantly. Gold</w:t>
      </w:r>
      <w:r>
        <w:t xml:space="preserve"> </w:t>
      </w:r>
      <w:r>
        <w:t xml:space="preserve">dominates during crisis periods and with a long time horizon; the S&amp;P 500</w:t>
      </w:r>
      <w:r>
        <w:t xml:space="preserve"> </w:t>
      </w:r>
      <w:r>
        <w:t xml:space="preserve">TR overtakes gold in the 2010–2019 period, when zero-interest-rate policy and</w:t>
      </w:r>
      <w:r>
        <w:t xml:space="preserve"> </w:t>
      </w:r>
      <w:r>
        <w:t xml:space="preserve">the tech boom massively boosted equities. From 2020 onward, gold leads again,</w:t>
      </w:r>
      <w:r>
        <w:t xml:space="preserve"> </w:t>
      </w:r>
      <w:r>
        <w:t xml:space="preserve">driven by inflation and currency risks. The following table shows gross and</w:t>
      </w:r>
      <w:r>
        <w:t xml:space="preserve"> </w:t>
      </w:r>
      <w:r>
        <w:t xml:space="preserve">net results.</w:t>
      </w:r>
    </w:p>
    <w:tbl>
      <w:tblPr>
        <w:tblStyle w:val="Table"/>
        <w:tblW w:type="pct" w:w="4950"/>
        <w:tblLayout w:type="fixed"/>
        <w:tblLook w:firstRow="1" w:lastRow="0" w:firstColumn="0" w:lastColumn="0" w:noHBand="0" w:noVBand="0" w:val="0020"/>
      </w:tblPr>
      <w:tblGrid>
        <w:gridCol w:w="871"/>
        <w:gridCol w:w="871"/>
        <w:gridCol w:w="871"/>
        <w:gridCol w:w="871"/>
        <w:gridCol w:w="871"/>
        <w:gridCol w:w="871"/>
        <w:gridCol w:w="871"/>
        <w:gridCol w:w="871"/>
        <w:gridCol w:w="87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Start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Years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Gold net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Gold CAGR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S&amp;P 500 net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S&amp;P CAGR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DAX net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DAX CAGR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Gold advantage*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€14,115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10.9%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€4,630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€2,834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+€9,485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€13,630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€7,984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€4,678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+€5,646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€5,688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€8,467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€3,593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-€2,779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€3,900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€3,433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11.7%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€1,972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+€467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€3,080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€1,957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€1,657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+€1,123</w:t>
            </w:r>
          </w:p>
        </w:tc>
      </w:tr>
    </w:tbl>
    <w:p>
      <w:pPr>
        <w:pStyle w:val="BodyText"/>
      </w:pPr>
      <w:r>
        <w:rPr>
          <w:i/>
          <w:iCs/>
        </w:rPr>
        <w:t xml:space="preserve">* Gold advantage net: Difference to the best equity index after</w:t>
      </w:r>
      <w:r>
        <w:rPr>
          <w:i/>
          <w:iCs/>
        </w:rPr>
        <w:t xml:space="preserve"> </w:t>
      </w:r>
      <w:r>
        <w:rPr>
          <w:i/>
          <w:iCs/>
        </w:rPr>
        <w:t xml:space="preserve">tax. Net = after withholding tax (gold tax-free; equity ETF 18.46%</w:t>
      </w:r>
      <w:r>
        <w:rPr>
          <w:i/>
          <w:iCs/>
        </w:rPr>
        <w:t xml:space="preserve"> </w:t>
      </w:r>
      <w:r>
        <w:rPr>
          <w:i/>
          <w:iCs/>
        </w:rPr>
        <w:t xml:space="preserve">eff.).</w:t>
      </w:r>
    </w:p>
    <w:p>
      <w:pPr>
        <w:pStyle w:val="BodyText"/>
      </w:pPr>
      <w:r>
        <w:drawing>
          <wp:inline>
            <wp:extent cx="5334000" cy="224778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edia/image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2: Final value and net CAGR by entry year (after</w:t>
      </w:r>
      <w:r>
        <w:rPr>
          <w:i/>
          <w:iCs/>
        </w:rPr>
        <w:t xml:space="preserve"> </w:t>
      </w:r>
      <w:r>
        <w:rPr>
          <w:i/>
          <w:iCs/>
        </w:rPr>
        <w:t xml:space="preserve">withholding tax)</w:t>
      </w:r>
    </w:p>
    <w:p>
      <w:pPr>
        <w:pStyle w:val="BodyText"/>
      </w:pPr>
      <w:r>
        <w:rPr>
          <w:b/>
          <w:bCs/>
        </w:rPr>
        <w:t xml:space="preserve">4 Tax Advantages of Gold in Germany</w:t>
      </w:r>
    </w:p>
    <w:p>
      <w:pPr>
        <w:pStyle w:val="BodyText"/>
      </w:pPr>
      <w:r>
        <w:t xml:space="preserve">Tax legislation in Germany uniquely favors physical gold over securities.</w:t>
      </w:r>
      <w:r>
        <w:t xml:space="preserve"> </w:t>
      </w:r>
      <w:r>
        <w:t xml:space="preserve">The difference is substantial and systematically underestimated by many investors.</w:t>
      </w:r>
    </w:p>
    <w:p>
      <w:pPr>
        <w:pStyle w:val="BodyText"/>
      </w:pPr>
      <w:r>
        <w:rPr>
          <w:b/>
          <w:bCs/>
        </w:rPr>
        <w:t xml:space="preserve">4.1 Speculation Period Under §23 Income Tax Act (EStG)</w:t>
      </w:r>
    </w:p>
    <w:p>
      <w:pPr>
        <w:pStyle w:val="BodyText"/>
      </w:pPr>
      <w:r>
        <w:t xml:space="preserve">Physical gold (bars, coins) qualifies as a private disposal transaction.</w:t>
      </w:r>
      <w:r>
        <w:t xml:space="preserve"> </w:t>
      </w:r>
      <w:r>
        <w:t xml:space="preserve">Gains from the sale are completely tax-free after a holding period of more than</w:t>
      </w:r>
      <w:r>
        <w:t xml:space="preserve"> </w:t>
      </w:r>
      <w:r>
        <w:t xml:space="preserve">one year – with no limit on the amount. An investor who bought gold for €1,000</w:t>
      </w:r>
      <w:r>
        <w:t xml:space="preserve"> </w:t>
      </w:r>
      <w:r>
        <w:t xml:space="preserve">in 2000 and sells today realizes a tax-free gain of approximately €13,115.</w:t>
      </w:r>
      <w:r>
        <w:t xml:space="preserve"> </w:t>
      </w:r>
      <w:r>
        <w:t xml:space="preserve">No other investment vehicle offers this combination of return potential and</w:t>
      </w:r>
      <w:r>
        <w:t xml:space="preserve"> </w:t>
      </w:r>
      <w:r>
        <w:t xml:space="preserve">complete tax exemption.</w:t>
      </w:r>
    </w:p>
    <w:p>
      <w:pPr>
        <w:pStyle w:val="BodyText"/>
      </w:pPr>
      <w:r>
        <w:rPr>
          <w:b/>
          <w:bCs/>
        </w:rPr>
        <w:t xml:space="preserve">4.2 Stocks and ETFs: Withholding Tax and Advance Lump Sum</w:t>
      </w:r>
    </w:p>
    <w:p>
      <w:pPr>
        <w:pStyle w:val="BodyText"/>
      </w:pPr>
      <w:r>
        <w:t xml:space="preserve">Capital gains and dividends from stocks and equity funds are subject to the</w:t>
      </w:r>
      <w:r>
        <w:t xml:space="preserve"> </w:t>
      </w:r>
      <w:r>
        <w:t xml:space="preserve">flat-rate withholding tax of 25% plus 5.5% solidarity surcharge, totaling</w:t>
      </w:r>
      <w:r>
        <w:t xml:space="preserve"> </w:t>
      </w:r>
      <w:r>
        <w:t xml:space="preserve">26.375% (excluding church tax). While equity ETFs benefit from a partial</w:t>
      </w:r>
      <w:r>
        <w:t xml:space="preserve"> </w:t>
      </w:r>
      <w:r>
        <w:t xml:space="preserve">exemption of 30%, reducing the effective tax rate to approximately 18.46%,</w:t>
      </w:r>
      <w:r>
        <w:t xml:space="preserve"> </w:t>
      </w:r>
      <w:r>
        <w:t xml:space="preserve">every accumulating fund is additionally subject to the advance lump sum</w:t>
      </w:r>
      <w:r>
        <w:t xml:space="preserve"> </w:t>
      </w:r>
      <w:r>
        <w:t xml:space="preserve">(Vorabpauschale) – a minimum annual taxation even without a sale.</w:t>
      </w:r>
      <w:r>
        <w:t xml:space="preserve"> </w:t>
      </w:r>
      <w:r>
        <w:t xml:space="preserve">This ongoing tax burden significantly erodes the compound interest effect.</w:t>
      </w:r>
    </w:p>
    <w:p>
      <w:pPr>
        <w:pStyle w:val="BodyText"/>
      </w:pPr>
      <w:r>
        <w:rPr>
          <w:b/>
          <w:bCs/>
        </w:rPr>
        <w:t xml:space="preserve">4.3 Quantitative Tax Impact</w:t>
      </w:r>
    </w:p>
    <w:p>
      <w:pPr>
        <w:pStyle w:val="BodyText"/>
      </w:pPr>
      <w:r>
        <w:t xml:space="preserve">The tax impact is substantial: €1,000 in an equity ETF since 2000 grows to</w:t>
      </w:r>
      <w:r>
        <w:t xml:space="preserve"> </w:t>
      </w:r>
      <w:r>
        <w:rPr>
          <w:b/>
          <w:bCs/>
        </w:rPr>
        <w:t xml:space="preserve">€5,452</w:t>
      </w:r>
      <w:r>
        <w:t xml:space="preserve"> </w:t>
      </w:r>
      <w:r>
        <w:t xml:space="preserve">gross, but only</w:t>
      </w:r>
      <w:r>
        <w:t xml:space="preserve"> </w:t>
      </w:r>
      <w:r>
        <w:rPr>
          <w:b/>
          <w:bCs/>
        </w:rPr>
        <w:t xml:space="preserve">€4,630</w:t>
      </w:r>
      <w:r>
        <w:t xml:space="preserve"> </w:t>
      </w:r>
      <w:r>
        <w:t xml:space="preserve">after tax.</w:t>
      </w:r>
      <w:r>
        <w:t xml:space="preserve"> </w:t>
      </w:r>
      <w:r>
        <w:t xml:space="preserve">Gold, by contrast: gross and net</w:t>
      </w:r>
      <w:r>
        <w:t xml:space="preserve"> </w:t>
      </w:r>
      <w:r>
        <w:rPr>
          <w:b/>
          <w:bCs/>
        </w:rPr>
        <w:t xml:space="preserve">€14,115</w:t>
      </w:r>
      <w:r>
        <w:t xml:space="preserve">. The tax deduction</w:t>
      </w:r>
      <w:r>
        <w:t xml:space="preserve"> </w:t>
      </w:r>
      <w:r>
        <w:t xml:space="preserve">on the S&amp;P 500 ETF alone amounts to</w:t>
      </w:r>
      <w:r>
        <w:t xml:space="preserve"> </w:t>
      </w:r>
      <w:r>
        <w:rPr>
          <w:b/>
          <w:bCs/>
        </w:rPr>
        <w:t xml:space="preserve">€822</w:t>
      </w:r>
      <w:r>
        <w:t xml:space="preserve"> </w:t>
      </w:r>
      <w:r>
        <w:t xml:space="preserve">– nearly</w:t>
      </w:r>
      <w:r>
        <w:t xml:space="preserve"> </w:t>
      </w:r>
      <w:r>
        <w:t xml:space="preserve">as much as the entire final wealth of the DAX investor after tax.</w:t>
      </w:r>
    </w:p>
    <w:p>
      <w:pPr>
        <w:numPr>
          <w:ilvl w:val="0"/>
          <w:numId w:val="1001"/>
        </w:numPr>
      </w:pPr>
      <w:r>
        <w:t xml:space="preserve">Gold (physical, &gt;1 year): 0% tax on capital gains</w:t>
      </w:r>
    </w:p>
    <w:p>
      <w:pPr>
        <w:numPr>
          <w:ilvl w:val="0"/>
          <w:numId w:val="1001"/>
        </w:numPr>
      </w:pPr>
      <w:r>
        <w:t xml:space="preserve">Equity ETF (accumulating): 18.46% eff. tax on capital gains +</w:t>
      </w:r>
      <w:r>
        <w:t xml:space="preserve"> </w:t>
      </w:r>
      <w:r>
        <w:t xml:space="preserve">annual advance lump sum</w:t>
      </w:r>
    </w:p>
    <w:p>
      <w:pPr>
        <w:numPr>
          <w:ilvl w:val="0"/>
          <w:numId w:val="1001"/>
        </w:numPr>
      </w:pPr>
      <w:r>
        <w:t xml:space="preserve">Direct stocks / actively managed funds: 26.375% on capital gains</w:t>
      </w:r>
      <w:r>
        <w:t xml:space="preserve"> </w:t>
      </w:r>
      <w:r>
        <w:t xml:space="preserve">and dividends</w:t>
      </w:r>
    </w:p>
    <w:p>
      <w:pPr>
        <w:numPr>
          <w:ilvl w:val="0"/>
          <w:numId w:val="1001"/>
        </w:numPr>
      </w:pPr>
      <w:r>
        <w:t xml:space="preserve">Gold ETF/ETC: These are taxed like securities –</w:t>
      </w:r>
      <w:r>
        <w:t xml:space="preserve"> </w:t>
      </w:r>
      <w:r>
        <w:t xml:space="preserve">no tax advantage!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Only physical gold (bars, coins such as</w:t>
      </w:r>
      <w:r>
        <w:t xml:space="preserve"> </w:t>
      </w:r>
      <w:r>
        <w:t xml:space="preserve">Krugerrand, Maple Leaf, Vienna Philharmonic) benefits from tax exemption</w:t>
      </w:r>
      <w:r>
        <w:t xml:space="preserve"> </w:t>
      </w:r>
      <w:r>
        <w:t xml:space="preserve">under §23 EStG. Gold ETFs, gold ETCs (e.g., Xetra-Gold with physical</w:t>
      </w:r>
      <w:r>
        <w:t xml:space="preserve"> </w:t>
      </w:r>
      <w:r>
        <w:t xml:space="preserve">delivery option: tax-free; others without delivery right: taxable!) and</w:t>
      </w:r>
      <w:r>
        <w:t xml:space="preserve"> </w:t>
      </w:r>
      <w:r>
        <w:t xml:space="preserve">gold mining stocks are taxed like securities.</w:t>
      </w:r>
    </w:p>
    <w:p>
      <w:pPr>
        <w:pStyle w:val="FirstParagraph"/>
      </w:pPr>
      <w:r>
        <w:rPr>
          <w:b/>
          <w:bCs/>
        </w:rPr>
        <w:t xml:space="preserve">5 Demographic Headwind for Stocks: The Boomer Liquidation</w:t>
      </w:r>
    </w:p>
    <w:p>
      <w:pPr>
        <w:pStyle w:val="BodyText"/>
      </w:pPr>
      <w:r>
        <w:t xml:space="preserve">The baby boomer generation (born approx. 1946–1964) is the wealthiest</w:t>
      </w:r>
      <w:r>
        <w:t xml:space="preserve"> </w:t>
      </w:r>
      <w:r>
        <w:t xml:space="preserve">investor generation in history. Over decades, they have systematically</w:t>
      </w:r>
      <w:r>
        <w:t xml:space="preserve"> </w:t>
      </w:r>
      <w:r>
        <w:t xml:space="preserve">invested capital in stocks, equity funds, and occupational pension plans –</w:t>
      </w:r>
      <w:r>
        <w:t xml:space="preserve"> </w:t>
      </w:r>
      <w:r>
        <w:t xml:space="preserve">and are now on the verge of withdrawing this capital.</w:t>
      </w:r>
    </w:p>
    <w:p>
      <w:pPr>
        <w:pStyle w:val="BodyText"/>
      </w:pPr>
      <w:r>
        <w:rPr>
          <w:b/>
          <w:bCs/>
        </w:rPr>
        <w:t xml:space="preserve">5.1 The Scale of Capital Reallocation</w:t>
      </w:r>
    </w:p>
    <w:p>
      <w:pPr>
        <w:pStyle w:val="BodyText"/>
      </w:pPr>
      <w:r>
        <w:t xml:space="preserve">In Germany, private households hold stocks and investment funds worth over</w:t>
      </w:r>
      <w:r>
        <w:t xml:space="preserve"> </w:t>
      </w:r>
      <w:r>
        <w:t xml:space="preserve">€1.5 trillion according to the Bundesbank. The majority of this is held by the</w:t>
      </w:r>
      <w:r>
        <w:t xml:space="preserve"> </w:t>
      </w:r>
      <w:r>
        <w:t xml:space="preserve">60+ generation. In the United States, boomers (born 1946–1964) manage</w:t>
      </w:r>
      <w:r>
        <w:t xml:space="preserve"> </w:t>
      </w:r>
      <w:r>
        <w:t xml:space="preserve">approximately 52% of total equity wealth as of 2023 – a share that has never</w:t>
      </w:r>
      <w:r>
        <w:t xml:space="preserve"> </w:t>
      </w:r>
      <w:r>
        <w:t xml:space="preserve">been so concentrated in history. Between 2025 and 2035, the strongest cohorts</w:t>
      </w:r>
      <w:r>
        <w:t xml:space="preserve"> </w:t>
      </w:r>
      <w:r>
        <w:t xml:space="preserve">will reach ages 70–80 and begin liquidating savings for living expenses,</w:t>
      </w:r>
      <w:r>
        <w:t xml:space="preserve"> </w:t>
      </w:r>
      <w:r>
        <w:t xml:space="preserve">care costs, and inheritances.</w:t>
      </w:r>
    </w:p>
    <w:p>
      <w:pPr>
        <w:pStyle w:val="BodyText"/>
      </w:pPr>
      <w:r>
        <w:rPr>
          <w:b/>
          <w:bCs/>
        </w:rPr>
        <w:t xml:space="preserve">5.2 Structural Consequences for Equity Markets</w:t>
      </w:r>
    </w:p>
    <w:p>
      <w:pPr>
        <w:pStyle w:val="BodyText"/>
      </w:pPr>
      <w:r>
        <w:t xml:space="preserve">The classic financial market model states: stock prices rise when more</w:t>
      </w:r>
      <w:r>
        <w:t xml:space="preserve"> </w:t>
      </w:r>
      <w:r>
        <w:t xml:space="preserve">capital flows into equities than flows out. For decades, boomers were the</w:t>
      </w:r>
      <w:r>
        <w:t xml:space="preserve"> </w:t>
      </w:r>
      <w:r>
        <w:t xml:space="preserve">dominant net buying force. This lever is now reversing. At the same time,</w:t>
      </w:r>
      <w:r>
        <w:t xml:space="preserve"> </w:t>
      </w:r>
      <w:r>
        <w:t xml:space="preserve">the succeeding generations (Gen X, Millennials), while larger in absolute</w:t>
      </w:r>
      <w:r>
        <w:t xml:space="preserve"> </w:t>
      </w:r>
      <w:r>
        <w:t xml:space="preserve">numbers, are significantly poorer – due to higher property prices, student</w:t>
      </w:r>
      <w:r>
        <w:t xml:space="preserve"> </w:t>
      </w:r>
      <w:r>
        <w:t xml:space="preserve">debt, and lower real wages. They cannot fully absorb the boomers' structural</w:t>
      </w:r>
      <w:r>
        <w:t xml:space="preserve"> </w:t>
      </w:r>
      <w:r>
        <w:t xml:space="preserve">net selling.</w:t>
      </w:r>
    </w:p>
    <w:p>
      <w:pPr>
        <w:numPr>
          <w:ilvl w:val="0"/>
          <w:numId w:val="1002"/>
        </w:numPr>
      </w:pPr>
      <w:r>
        <w:t xml:space="preserve">Net outflows from equity funds: In the US, analysts (BofA, JPMorgan)</w:t>
      </w:r>
      <w:r>
        <w:t xml:space="preserve"> </w:t>
      </w:r>
      <w:r>
        <w:t xml:space="preserve">have observed rising net withdrawals from 401(k) plans by those over 65</w:t>
      </w:r>
      <w:r>
        <w:t xml:space="preserve"> </w:t>
      </w:r>
      <w:r>
        <w:t xml:space="preserve">since 2022.</w:t>
      </w:r>
    </w:p>
    <w:p>
      <w:pPr>
        <w:numPr>
          <w:ilvl w:val="0"/>
          <w:numId w:val="1002"/>
        </w:numPr>
      </w:pPr>
      <w:r>
        <w:t xml:space="preserve">Required Minimum Distributions (US): From age 73, boomers must</w:t>
      </w:r>
      <w:r>
        <w:t xml:space="preserve"> </w:t>
      </w:r>
      <w:r>
        <w:t xml:space="preserve">annually withdraw percentages from retirement plans and pay taxes –</w:t>
      </w:r>
      <w:r>
        <w:t xml:space="preserve"> </w:t>
      </w:r>
      <w:r>
        <w:t xml:space="preserve">forced sales.</w:t>
      </w:r>
    </w:p>
    <w:p>
      <w:pPr>
        <w:numPr>
          <w:ilvl w:val="0"/>
          <w:numId w:val="1002"/>
        </w:numPr>
      </w:pPr>
      <w:r>
        <w:t xml:space="preserve">Europe/Germany: Riester, Rürup, and occupational pensions will pay</w:t>
      </w:r>
      <w:r>
        <w:t xml:space="preserve"> </w:t>
      </w:r>
      <w:r>
        <w:t xml:space="preserve">out billions in the coming years, requiring funds to liquidate.</w:t>
      </w:r>
    </w:p>
    <w:p>
      <w:pPr>
        <w:numPr>
          <w:ilvl w:val="0"/>
          <w:numId w:val="1002"/>
        </w:numPr>
      </w:pPr>
      <w:r>
        <w:t xml:space="preserve">Inheritance wave: When older boomers pass wealth to children/grandchildren,</w:t>
      </w:r>
      <w:r>
        <w:t xml:space="preserve"> </w:t>
      </w:r>
      <w:r>
        <w:t xml:space="preserve">portfolios are often restructured or sold.</w:t>
      </w:r>
    </w:p>
    <w:p>
      <w:pPr>
        <w:pStyle w:val="FirstParagraph"/>
      </w:pPr>
      <w:r>
        <w:rPr>
          <w:b/>
          <w:bCs/>
        </w:rPr>
        <w:t xml:space="preserve">5.3 Gold Benefits Structurally</w:t>
      </w:r>
    </w:p>
    <w:p>
      <w:pPr>
        <w:pStyle w:val="BodyText"/>
      </w:pPr>
      <w:r>
        <w:t xml:space="preserve">Gold has no "owner" who must sell. The most important structural gold</w:t>
      </w:r>
      <w:r>
        <w:t xml:space="preserve"> </w:t>
      </w:r>
      <w:r>
        <w:t xml:space="preserve">buyers are central banks (record purchases 2022–2024 according to the</w:t>
      </w:r>
      <w:r>
        <w:t xml:space="preserve"> </w:t>
      </w:r>
      <w:r>
        <w:t xml:space="preserve">World Gold Council: over 1,000 tonnes p.a.), emerging middle classes in</w:t>
      </w:r>
      <w:r>
        <w:t xml:space="preserve"> </w:t>
      </w:r>
      <w:r>
        <w:t xml:space="preserve">Asia (China, India), and sovereign wealth funds. This demand is</w:t>
      </w:r>
      <w:r>
        <w:t xml:space="preserve"> </w:t>
      </w:r>
      <w:r>
        <w:t xml:space="preserve">demographically independent and growing. At the same time, gold supply is</w:t>
      </w:r>
      <w:r>
        <w:t xml:space="preserve"> </w:t>
      </w:r>
      <w:r>
        <w:t xml:space="preserve">declining: new mines are developed less frequently, and production costs</w:t>
      </w:r>
      <w:r>
        <w:t xml:space="preserve"> </w:t>
      </w:r>
      <w:r>
        <w:t xml:space="preserve">(All-in Sustaining Costs) rise annually.</w:t>
      </w:r>
    </w:p>
    <w:p>
      <w:pPr>
        <w:pStyle w:val="BodyText"/>
      </w:pPr>
      <w:r>
        <w:drawing>
          <wp:inline>
            <wp:extent cx="5334000" cy="202989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edia/imag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9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3: Demographic headwind – stylized outlook for net fund</w:t>
      </w:r>
      <w:r>
        <w:rPr>
          <w:i/>
          <w:iCs/>
        </w:rPr>
        <w:t xml:space="preserve"> </w:t>
      </w:r>
      <w:r>
        <w:rPr>
          <w:i/>
          <w:iCs/>
        </w:rPr>
        <w:t xml:space="preserve">flows (projection from 2025)</w:t>
      </w:r>
    </w:p>
    <w:p>
      <w:pPr>
        <w:pStyle w:val="BodyText"/>
      </w:pPr>
      <w:r>
        <w:rPr>
          <w:b/>
          <w:bCs/>
        </w:rPr>
        <w:t xml:space="preserve">6 Mis-selling by Banks and Financial Distributors</w:t>
      </w:r>
    </w:p>
    <w:p>
      <w:pPr>
        <w:pStyle w:val="BodyText"/>
      </w:pPr>
      <w:r>
        <w:t xml:space="preserve">The analysis of historical returns shows that gold has been one of the</w:t>
      </w:r>
      <w:r>
        <w:t xml:space="preserve"> </w:t>
      </w:r>
      <w:r>
        <w:t xml:space="preserve">highest-yielding and most tax-efficient investment forms of the past</w:t>
      </w:r>
      <w:r>
        <w:t xml:space="preserve"> </w:t>
      </w:r>
      <w:r>
        <w:t xml:space="preserve">25 years. Yet banks and financial distributors systematically recommend</w:t>
      </w:r>
      <w:r>
        <w:t xml:space="preserve"> </w:t>
      </w:r>
      <w:r>
        <w:t xml:space="preserve">gold little or not at all. Behind this lie structural conflicts of interest</w:t>
      </w:r>
      <w:r>
        <w:t xml:space="preserve"> </w:t>
      </w:r>
      <w:r>
        <w:t xml:space="preserve">that carry significant costs for investors.</w:t>
      </w:r>
    </w:p>
    <w:p>
      <w:pPr>
        <w:pStyle w:val="BodyText"/>
      </w:pPr>
      <w:r>
        <w:rPr>
          <w:b/>
          <w:bCs/>
        </w:rPr>
        <w:t xml:space="preserve">6.1 The Commission Model and Its Consequences</w:t>
      </w:r>
    </w:p>
    <w:p>
      <w:pPr>
        <w:pStyle w:val="BodyText"/>
      </w:pPr>
      <w:r>
        <w:t xml:space="preserve">Bank advisors and financial distributors are predominantly compensated through</w:t>
      </w:r>
      <w:r>
        <w:t xml:space="preserve"> </w:t>
      </w:r>
      <w:r>
        <w:t xml:space="preserve">commissions paid by product providers. Actively managed funds pay front-end</w:t>
      </w:r>
      <w:r>
        <w:t xml:space="preserve"> </w:t>
      </w:r>
      <w:r>
        <w:t xml:space="preserve">loads (typically 3–5%), ongoing trail commissions (approx. 0.5–1.0% p.a.),</w:t>
      </w:r>
      <w:r>
        <w:t xml:space="preserve"> </w:t>
      </w:r>
      <w:r>
        <w:t xml:space="preserve">and in some cases performance fees. Gold has no such commission structures –</w:t>
      </w:r>
      <w:r>
        <w:t xml:space="preserve"> </w:t>
      </w:r>
      <w:r>
        <w:t xml:space="preserve">the advisor earns virtually nothing from recommending gold.</w:t>
      </w:r>
    </w:p>
    <w:p>
      <w:pPr>
        <w:pStyle w:val="BodyText"/>
      </w:pPr>
      <w:r>
        <w:rPr>
          <w:b/>
          <w:bCs/>
        </w:rPr>
        <w:t xml:space="preserve">6.2 Cost Impact Over Time</w:t>
      </w:r>
    </w:p>
    <w:p>
      <w:pPr>
        <w:pStyle w:val="BodyText"/>
      </w:pPr>
      <w:r>
        <w:t xml:space="preserve">The combined costs of an actively managed bank fund are devastating for</w:t>
      </w:r>
      <w:r>
        <w:t xml:space="preserve"> </w:t>
      </w:r>
      <w:r>
        <w:t xml:space="preserve">investors. A typical front-end load of 5% means that €50 of every €1,000</w:t>
      </w:r>
      <w:r>
        <w:t xml:space="preserve"> </w:t>
      </w:r>
      <w:r>
        <w:t xml:space="preserve">is lost immediately. In addition, ongoing costs (TER) of 1.5–2.5% per year</w:t>
      </w:r>
      <w:r>
        <w:t xml:space="preserve"> </w:t>
      </w:r>
      <w:r>
        <w:t xml:space="preserve">compare unfavorably with 0.1–0.2% for low-cost ETFs or 0% for physical gold</w:t>
      </w:r>
      <w:r>
        <w:t xml:space="preserve"> </w:t>
      </w:r>
      <w:r>
        <w:t xml:space="preserve">(one-time purchase spread approx. 1–2%).</w:t>
      </w:r>
    </w:p>
    <w:p>
      <w:pPr>
        <w:pStyle w:val="BodyText"/>
      </w:pPr>
      <w:r>
        <w:drawing>
          <wp:inline>
            <wp:extent cx="5334000" cy="237320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edia/image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3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Fig. 4: Cost impact: Bank fund vs. ETF vs. physical gold (7%</w:t>
      </w:r>
      <w:r>
        <w:rPr>
          <w:i/>
          <w:iCs/>
        </w:rPr>
        <w:t xml:space="preserve"> </w:t>
      </w:r>
      <w:r>
        <w:rPr>
          <w:i/>
          <w:iCs/>
        </w:rPr>
        <w:t xml:space="preserve">gross return, 25 years)</w:t>
      </w:r>
    </w:p>
    <w:p>
      <w:pPr>
        <w:pStyle w:val="BodyText"/>
      </w:pPr>
      <w:r>
        <w:t xml:space="preserve">The chart illustrates the dramatic impact of ongoing costs over 25 years:</w:t>
      </w:r>
      <w:r>
        <w:t xml:space="preserve"> </w:t>
      </w:r>
      <w:r>
        <w:t xml:space="preserve">The bank fund investor achieves significantly less than the ETF investor at the</w:t>
      </w:r>
      <w:r>
        <w:t xml:space="preserve"> </w:t>
      </w:r>
      <w:r>
        <w:t xml:space="preserve">same gross return of 7% p.a. – solely due to higher costs.</w:t>
      </w:r>
    </w:p>
    <w:p>
      <w:pPr>
        <w:pStyle w:val="BodyText"/>
      </w:pPr>
      <w:r>
        <w:rPr>
          <w:b/>
          <w:bCs/>
        </w:rPr>
        <w:t xml:space="preserve">6.3 Notable Cases of Mis-selling</w:t>
      </w:r>
    </w:p>
    <w:p>
      <w:pPr>
        <w:pStyle w:val="BodyText"/>
      </w:pPr>
      <w:r>
        <w:t xml:space="preserve">The list of structural mis-selling in Germany is long and well-documented.</w:t>
      </w:r>
      <w:r>
        <w:t xml:space="preserve"> </w:t>
      </w:r>
      <w:r>
        <w:t xml:space="preserve">During the 2008 financial crisis, hundreds of thousands of investors lost</w:t>
      </w:r>
      <w:r>
        <w:t xml:space="preserve"> </w:t>
      </w:r>
      <w:r>
        <w:t xml:space="preserve">substantial sums through Lehman certificates that had been sold as "safe" by</w:t>
      </w:r>
      <w:r>
        <w:t xml:space="preserve"> </w:t>
      </w:r>
      <w:r>
        <w:t xml:space="preserve">savings banks and cooperative banks – with full commissions for the advisors.</w:t>
      </w:r>
      <w:r>
        <w:t xml:space="preserve"> </w:t>
      </w:r>
      <w:r>
        <w:t xml:space="preserve">Closed-end funds (ship funds, real estate funds) were recommended as "solid</w:t>
      </w:r>
      <w:r>
        <w:t xml:space="preserve"> </w:t>
      </w:r>
      <w:r>
        <w:t xml:space="preserve">real asset investments" before going insolvent en masse. The Federal Association</w:t>
      </w:r>
      <w:r>
        <w:t xml:space="preserve"> </w:t>
      </w:r>
      <w:r>
        <w:t xml:space="preserve">of Consumer Advice Centers documents thousands of cases of financial</w:t>
      </w:r>
      <w:r>
        <w:t xml:space="preserve"> </w:t>
      </w:r>
      <w:r>
        <w:t xml:space="preserve">mis-advice every year.</w:t>
      </w:r>
    </w:p>
    <w:p>
      <w:pPr>
        <w:numPr>
          <w:ilvl w:val="0"/>
          <w:numId w:val="1003"/>
        </w:numPr>
      </w:pPr>
      <w:r>
        <w:t xml:space="preserve">Conflict of interest: Advisors earn from funds, not from gold</w:t>
      </w:r>
      <w:r>
        <w:t xml:space="preserve"> </w:t>
      </w:r>
      <w:r>
        <w:t xml:space="preserve">or ETFs.</w:t>
      </w:r>
    </w:p>
    <w:p>
      <w:pPr>
        <w:numPr>
          <w:ilvl w:val="0"/>
          <w:numId w:val="1003"/>
        </w:numPr>
      </w:pPr>
      <w:r>
        <w:t xml:space="preserve">Information asymmetry: Costs and commissions are often not</w:t>
      </w:r>
      <w:r>
        <w:t xml:space="preserve"> </w:t>
      </w:r>
      <w:r>
        <w:t xml:space="preserve">transparently disclosed (MiFID II improves this, but implementation</w:t>
      </w:r>
      <w:r>
        <w:t xml:space="preserve"> </w:t>
      </w:r>
      <w:r>
        <w:t xml:space="preserve">remains deficient).</w:t>
      </w:r>
    </w:p>
    <w:p>
      <w:pPr>
        <w:numPr>
          <w:ilvl w:val="0"/>
          <w:numId w:val="1003"/>
        </w:numPr>
      </w:pPr>
      <w:r>
        <w:t xml:space="preserve">Complexity as a tool: The more complex the product, the harder</w:t>
      </w:r>
      <w:r>
        <w:t xml:space="preserve"> </w:t>
      </w:r>
      <w:r>
        <w:t xml:space="preserve">the comparison – and the higher the margin.</w:t>
      </w:r>
    </w:p>
    <w:p>
      <w:pPr>
        <w:numPr>
          <w:ilvl w:val="0"/>
          <w:numId w:val="1003"/>
        </w:numPr>
      </w:pPr>
      <w:r>
        <w:t xml:space="preserve">Proprietary products: Banks favor their own funds, whose costs are</w:t>
      </w:r>
      <w:r>
        <w:t xml:space="preserve"> </w:t>
      </w:r>
      <w:r>
        <w:t xml:space="preserve">particularly high (house funds).</w:t>
      </w:r>
    </w:p>
    <w:p>
      <w:pPr>
        <w:numPr>
          <w:ilvl w:val="0"/>
          <w:numId w:val="1003"/>
        </w:numPr>
      </w:pPr>
      <w:r>
        <w:t xml:space="preserve">Market timing: Bank funds are often heavily marketed and sold at</w:t>
      </w:r>
      <w:r>
        <w:t xml:space="preserve"> </w:t>
      </w:r>
      <w:r>
        <w:t xml:space="preserve">market peaks (e.g., technology funds in 1999/2000).</w:t>
      </w:r>
    </w:p>
    <w:p>
      <w:pPr>
        <w:pStyle w:val="FirstParagraph"/>
      </w:pPr>
      <w:r>
        <w:rPr>
          <w:b/>
          <w:bCs/>
        </w:rPr>
        <w:t xml:space="preserve">6.4 Regulatory Situation</w:t>
      </w:r>
    </w:p>
    <w:p>
      <w:pPr>
        <w:pStyle w:val="BodyText"/>
      </w:pPr>
      <w:r>
        <w:t xml:space="preserve">The EU financial markets directive MiFID II (since 2018) mandates greater</w:t>
      </w:r>
      <w:r>
        <w:t xml:space="preserve"> </w:t>
      </w:r>
      <w:r>
        <w:t xml:space="preserve">transparency on costs and conflicts of interest. In practice, however, the</w:t>
      </w:r>
      <w:r>
        <w:t xml:space="preserve"> </w:t>
      </w:r>
      <w:r>
        <w:t xml:space="preserve">rules are often formally complied with without providing genuine education.</w:t>
      </w:r>
      <w:r>
        <w:t xml:space="preserve"> </w:t>
      </w:r>
      <w:r>
        <w:t xml:space="preserve">The United Kingdom banned commissions for financial advice in 2012 (RDR),</w:t>
      </w:r>
      <w:r>
        <w:t xml:space="preserve"> </w:t>
      </w:r>
      <w:r>
        <w:t xml:space="preserve">which led to significantly more cost-effective investment recommendations</w:t>
      </w:r>
      <w:r>
        <w:t xml:space="preserve"> </w:t>
      </w:r>
      <w:r>
        <w:t xml:space="preserve">there. In Germany, a comparable ban has not been implemented despite EU-level</w:t>
      </w:r>
      <w:r>
        <w:t xml:space="preserve"> </w:t>
      </w:r>
      <w:r>
        <w:t xml:space="preserve">discussions.</w:t>
      </w:r>
    </w:p>
    <w:p>
      <w:pPr>
        <w:pStyle w:val="BodyText"/>
      </w:pPr>
      <w:r>
        <w:rPr>
          <w:b/>
          <w:bCs/>
        </w:rPr>
        <w:t xml:space="preserve">7 Conclusion and Outlook</w:t>
      </w:r>
    </w:p>
    <w:p>
      <w:pPr>
        <w:pStyle w:val="BodyText"/>
      </w:pPr>
      <w:r>
        <w:t xml:space="preserve">The data is clear: Physical gold has served European investors better</w:t>
      </w:r>
      <w:r>
        <w:t xml:space="preserve"> </w:t>
      </w:r>
      <w:r>
        <w:t xml:space="preserve">than equities over the past 25 years – and this is even more true after</w:t>
      </w:r>
      <w:r>
        <w:t xml:space="preserve"> </w:t>
      </w:r>
      <w:r>
        <w:t xml:space="preserve">taxes. The three main reasons are:</w:t>
      </w:r>
    </w:p>
    <w:p>
      <w:pPr>
        <w:numPr>
          <w:ilvl w:val="0"/>
          <w:numId w:val="1004"/>
        </w:numPr>
      </w:pPr>
      <w:r>
        <w:t xml:space="preserve">Crisis resilience: Gold barely loses value in market crashes, while</w:t>
      </w:r>
      <w:r>
        <w:t xml:space="preserve"> </w:t>
      </w:r>
      <w:r>
        <w:t xml:space="preserve">equities dropped 50%+. The resulting recovery periods cost returns.</w:t>
      </w:r>
    </w:p>
    <w:p>
      <w:pPr>
        <w:numPr>
          <w:ilvl w:val="0"/>
          <w:numId w:val="1004"/>
        </w:numPr>
      </w:pPr>
      <w:r>
        <w:t xml:space="preserve">Tax advantage: Physical gold is completely tax-free after one year.</w:t>
      </w:r>
      <w:r>
        <w:t xml:space="preserve"> </w:t>
      </w:r>
      <w:r>
        <w:t xml:space="preserve">The tax advantage over equity ETFs amounts to several thousand euros</w:t>
      </w:r>
      <w:r>
        <w:t xml:space="preserve"> </w:t>
      </w:r>
      <w:r>
        <w:t xml:space="preserve">over 25 years.</w:t>
      </w:r>
    </w:p>
    <w:p>
      <w:pPr>
        <w:numPr>
          <w:ilvl w:val="0"/>
          <w:numId w:val="1004"/>
        </w:numPr>
      </w:pPr>
      <w:r>
        <w:t xml:space="preserve">Currency effect: The weaker US dollar additionally strengthened the</w:t>
      </w:r>
      <w:r>
        <w:t xml:space="preserve"> </w:t>
      </w:r>
      <w:r>
        <w:t xml:space="preserve">gold price from a EUR perspective.</w:t>
      </w:r>
    </w:p>
    <w:p>
      <w:pPr>
        <w:pStyle w:val="FirstParagraph"/>
      </w:pPr>
      <w:r>
        <w:t xml:space="preserve">For the coming years, structural tailwinds are building: Boomer generation</w:t>
      </w:r>
      <w:r>
        <w:t xml:space="preserve"> </w:t>
      </w:r>
      <w:r>
        <w:t xml:space="preserve">liquidations are likely to weigh on equity indices, while central bank demand</w:t>
      </w:r>
      <w:r>
        <w:t xml:space="preserve"> </w:t>
      </w:r>
      <w:r>
        <w:t xml:space="preserve">and geopolitical uncertainty continue to support gold. Added to this is the</w:t>
      </w:r>
      <w:r>
        <w:t xml:space="preserve"> </w:t>
      </w:r>
      <w:r>
        <w:t xml:space="preserve">increasingly multipolar world order, in which many states are replacing dollar</w:t>
      </w:r>
      <w:r>
        <w:t xml:space="preserve"> </w:t>
      </w:r>
      <w:r>
        <w:t xml:space="preserve">reserves with gold (de-dollarization).</w:t>
      </w:r>
    </w:p>
    <w:p>
      <w:pPr>
        <w:pStyle w:val="BodyText"/>
      </w:pPr>
      <w:r>
        <w:t xml:space="preserve">Nevertheless, gold is not a cure-all: From 2010 onward, the S&amp;P 500</w:t>
      </w:r>
      <w:r>
        <w:t xml:space="preserve"> </w:t>
      </w:r>
      <w:r>
        <w:t xml:space="preserve">TR showed clear outperformance. A balanced strategy is recommended – with a</w:t>
      </w:r>
      <w:r>
        <w:t xml:space="preserve"> </w:t>
      </w:r>
      <w:r>
        <w:t xml:space="preserve">gold allocation as a crisis buffer and tax-efficient store of value,</w:t>
      </w:r>
      <w:r>
        <w:t xml:space="preserve"> </w:t>
      </w:r>
      <w:r>
        <w:t xml:space="preserve">complemented by low-cost equity ETFs for long-term growth. Most importantly:</w:t>
      </w:r>
      <w:r>
        <w:t xml:space="preserve"> </w:t>
      </w:r>
      <w:r>
        <w:t xml:space="preserve">avoid actively managed bank funds with high costs – over decades, they cost</w:t>
      </w:r>
      <w:r>
        <w:t xml:space="preserve"> </w:t>
      </w:r>
      <w:r>
        <w:t xml:space="preserve">more than the difference between asset classes.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Gold vs Stocks Report</dc:title>
  <dc:creator/>
  <dc:language>en</dc:language>
  <cp:keywords/>
  <dcterms:created xsi:type="dcterms:W3CDTF">2026-03-16T20:44:30Z</dcterms:created>
  <dcterms:modified xsi:type="dcterms:W3CDTF">2026-03-16T20:44:30Z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initial-scale=1.0, user-scalable=yes</vt:lpwstr>
  </property>
</Properties>
</file>