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44"/>
        </w:rPr>
        <w:t>Gold as a Capital Investment</w:t>
      </w:r>
    </w:p>
    <w:p>
      <w:pPr>
        <w:jc w:val="center"/>
      </w:pPr>
      <w:r>
        <w:rPr>
          <w:color w:val="555555"/>
          <w:sz w:val="26"/>
        </w:rPr>
        <w:t>Performance, Tax Advantages, Demographic Outlook</w:t>
        <w:br/>
        <w:t>and the Role of Banks</w:t>
      </w:r>
    </w:p>
    <w:p>
      <w:pPr>
        <w:jc w:val="center"/>
      </w:pPr>
      <w:r>
        <w:rPr>
          <w:color w:val="888888"/>
          <w:sz w:val="20"/>
        </w:rPr>
        <w:t>As of March 2026  ·  Data: Yahoo Finance, ECB, London Bullion Market</w:t>
      </w:r>
    </w:p>
    <w:p>
      <w:pPr>
        <w:pStyle w:val="Heading1"/>
      </w:pPr>
      <w:r>
        <w:t>1  Methodology and Data</w:t>
      </w:r>
    </w:p>
    <w:p>
      <w:r>
        <w:t>This analysis compares physical gold (XAU, London PM fix) with the S&amp;P 500 Total Return Index (USD, including reinvested dividends) and the DAX Performance Index (EUR, including dividends) from a German investor’s perspective. All values are converted to euros. The starting capital is €1,000 invested at the beginning of each year from 2000 to 2025. For the tax analysis, current German withholding tax (26.375% incl. solidarity surcharge) and the 30% partial exemption for equity ETFs (effective tax rate: 18.46%) are applied.</w:t>
      </w:r>
    </w:p>
    <w:p>
      <w:pPr>
        <w:pStyle w:val="Heading1"/>
      </w:pPr>
      <w:r>
        <w:t>2  Performance since 2000</w:t>
      </w:r>
    </w:p>
    <w:p>
      <w:r>
        <w:t>An investor who put €1,000 each into gold, the S&amp;P 500 TR and the DAX in 2000 would see fundamentally different results today: Gold grew to €23,436 (13.2% p.a.), the S&amp;P 500 TR to €7,566 net (8.2% p.a. net) and the DAX to €4,583 net (6.1% p.a. net). Gold significantly outperforms both stock indices over this period.</w:t>
      </w:r>
    </w:p>
    <w:p>
      <w:r>
        <w:t>The key to gold’s outperformance lies in two severe stock market crises: First, the dotcom bubble (2000–2002), when the DAX and S&amp;P 500 lost more than 50% while gold remained nearly stable. Second, the 2008/09 financial crisis, when stocks again fell roughly 50% and gold was in demand as a safe haven.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performanc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Fig. 1: Gross &amp; Net Performance since 2000 in EUR (incl. withholding tax)</w:t>
      </w:r>
    </w:p>
    <w:p>
      <w:pPr>
        <w:pStyle w:val="Heading1"/>
      </w:pPr>
      <w:r>
        <w:t>3  Comparison by Entry Year (2000–2025)</w:t>
      </w:r>
    </w:p>
    <w:p>
      <w:r>
        <w:t>The picture changes significantly depending on the entry point. Gold dominates during crises and over long time horizons; the S&amp;P 500 TR overtakes gold in the 2008–2013 period. From 2014 onward, gold leads again in most years. The following table shows net results for each individual entry year.</w:t>
      </w:r>
    </w:p>
    <w:tbl>
      <w:tblPr>
        <w:tblStyle w:val="LightShading-Accent1"/>
        <w:jc w:val="center"/>
        <w:tblLook w:firstColumn="1" w:firstRow="1" w:lastColumn="0" w:lastRow="0" w:noHBand="0" w:noVBand="1" w:val="04A0"/>
        <w:tblLayout w:type="autofi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noWrap/>
          </w:tcPr>
          <w:p>
            <w:pPr/>
            <w:r>
              <w:rPr>
                <w:b/>
                <w:sz w:val="18"/>
              </w:rPr>
              <w:t>Start</w:t>
            </w:r>
          </w:p>
        </w:tc>
        <w:tc>
          <w:tcPr>
            <w:tcW w:type="dxa" w:w="960"/>
            <w:noWrap/>
          </w:tcPr>
          <w:p>
            <w:pPr/>
            <w:r>
              <w:rPr>
                <w:b/>
                <w:sz w:val="18"/>
              </w:rPr>
              <w:t>Years</w:t>
            </w:r>
          </w:p>
        </w:tc>
        <w:tc>
          <w:tcPr>
            <w:tcW w:type="dxa" w:w="960"/>
            <w:noWrap/>
          </w:tcPr>
          <w:p>
            <w:pPr/>
            <w:r>
              <w:rPr>
                <w:b/>
                <w:sz w:val="18"/>
              </w:rPr>
              <w:t>Gold net</w:t>
            </w:r>
          </w:p>
        </w:tc>
        <w:tc>
          <w:tcPr>
            <w:tcW w:type="dxa" w:w="960"/>
            <w:noWrap/>
          </w:tcPr>
          <w:p>
            <w:pPr/>
            <w:r>
              <w:rPr>
                <w:b/>
                <w:sz w:val="18"/>
              </w:rPr>
              <w:t>Gold CAGR</w:t>
            </w:r>
          </w:p>
        </w:tc>
        <w:tc>
          <w:tcPr>
            <w:tcW w:type="dxa" w:w="960"/>
            <w:noWrap/>
          </w:tcPr>
          <w:p>
            <w:pPr/>
            <w:r>
              <w:rPr>
                <w:b/>
                <w:sz w:val="18"/>
              </w:rPr>
              <w:t>S&amp;P 500 net</w:t>
            </w:r>
          </w:p>
        </w:tc>
        <w:tc>
          <w:tcPr>
            <w:tcW w:type="dxa" w:w="960"/>
            <w:noWrap/>
          </w:tcPr>
          <w:p>
            <w:pPr/>
            <w:r>
              <w:rPr>
                <w:b/>
                <w:sz w:val="18"/>
              </w:rPr>
              <w:t>S&amp;P CAGR</w:t>
            </w:r>
          </w:p>
        </w:tc>
        <w:tc>
          <w:tcPr>
            <w:tcW w:type="dxa" w:w="960"/>
            <w:noWrap/>
          </w:tcPr>
          <w:p>
            <w:pPr/>
            <w:r>
              <w:rPr>
                <w:b/>
                <w:sz w:val="18"/>
              </w:rPr>
              <w:t>DAX net</w:t>
            </w:r>
          </w:p>
        </w:tc>
        <w:tc>
          <w:tcPr>
            <w:tcW w:type="dxa" w:w="960"/>
            <w:noWrap/>
          </w:tcPr>
          <w:p>
            <w:pPr/>
            <w:r>
              <w:rPr>
                <w:b/>
                <w:sz w:val="18"/>
              </w:rPr>
              <w:t>DAX CAGR</w:t>
            </w:r>
          </w:p>
        </w:tc>
        <w:tc>
          <w:tcPr>
            <w:tcW w:type="dxa" w:w="960"/>
            <w:noWrap/>
          </w:tcPr>
          <w:p>
            <w:pPr/>
            <w:r>
              <w:rPr>
                <w:b/>
                <w:sz w:val="18"/>
              </w:rPr>
              <w:t>Gold adv.*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2000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26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€23,436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13.2%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€7,566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8.2%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€4,583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6.1%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+€15,869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2001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€23,535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13.4%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€8,010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8.6%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€4,476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6.1%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+€15,525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2002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24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€23,841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14.1%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€10,225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10.1%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€6,793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8.3%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+€13,615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2003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€14,582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12.3%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€10,600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10.8%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€8,018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9.4%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+€3,982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2004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€11,662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11.7%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€6,944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9.2%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€4,230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6.7%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+€4,718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2005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€10,565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11.8%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€6,230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9.1%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€3,668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6.3%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+€4,335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2006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€8,398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11.2%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€6,076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9.4%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€3,207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6.0%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+€2,322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2007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€6,878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10.6%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€4,997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8.8%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€2,395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4.7%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+€1,880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2008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18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€4,234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8.3%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€4,476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8.6%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€1,847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3.4%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€-243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2009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17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€4,888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9.7%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€8,298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13.2%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€3,718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8.0%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€-3,410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2010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16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€3,840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8.7%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€5,777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11.5%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€2,486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5.8%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€-1,936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2011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15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€3,181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8.0%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€4,853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11.0%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€2,082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5.0%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€-1,672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2012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14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€2,537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6.8%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€4,840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11.8%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€2,430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6.5%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€-2,303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2013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13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€2,582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7.5%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€4,061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11.3%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€1,948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5.2%</w:t>
            </w:r>
          </w:p>
        </w:tc>
        <w:tc>
          <w:tcPr>
            <w:tcW w:type="dxa" w:w="960"/>
            <w:noWrap/>
          </w:tcPr>
          <w:p>
            <w:pPr/>
            <w:r>
              <w:rPr>
                <w:color w:val="CC0000"/>
                <w:sz w:val="18"/>
              </w:rPr>
              <w:t>€-1,479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2014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€3,466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10.8%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€3,382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10.6%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€1,666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4.3%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+€83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2015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€4,019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13.3%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€3,532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12.0%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€2,027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6.6%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+€487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2016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€4,765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16.7%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€3,673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13.7%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€2,340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8.8%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+€1,092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2017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€4,469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17.9%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€3,135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13.4%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€2,072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8.3%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+€1,334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2018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€3,483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16.6%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€2,200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10.2%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€1,415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4.4%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+€1,283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€3,831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20.8%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€2,422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13.2%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€1,892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9.4%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+€1,410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2020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€3,320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21.7%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€2,095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12.9%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€1,772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9.8%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+€1,225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2021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€2,591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20.4%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€1,669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10.5%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€1,457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7.6%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+€922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2022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€2,901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29.6%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€1,494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10.3%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€1,492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10.2%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+€1,407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2023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€2,779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38.9%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€1,654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17.5%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€1,603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16.4%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+€1,125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2024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€2,617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57.6%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€1,400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17.3%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€1,453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19.3%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+€1,164</w:t>
            </w:r>
          </w:p>
        </w:tc>
      </w:tr>
      <w:tr>
        <w:tc>
          <w:tcPr>
            <w:tcW w:type="dxa" w:w="960"/>
            <w:noWrap/>
          </w:tcPr>
          <w:p>
            <w:pPr/>
            <w:r>
              <w:rPr>
                <w:sz w:val="18"/>
              </w:rPr>
              <w:t>2025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€1,987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85.5%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€1,188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16.7%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€1,257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22.9%</w:t>
            </w:r>
          </w:p>
        </w:tc>
        <w:tc>
          <w:tcPr>
            <w:tcW w:type="dxa" w:w="960"/>
            <w:noWrap/>
          </w:tcPr>
          <w:p>
            <w:pPr/>
            <w:r>
              <w:rPr>
                <w:sz w:val="18"/>
              </w:rPr>
              <w:t>+€730</w:t>
            </w:r>
          </w:p>
        </w:tc>
      </w:tr>
    </w:tbl>
    <w:p>
      <w:r>
        <w:rPr>
          <w:i/>
          <w:sz w:val="16"/>
        </w:rPr>
        <w:t>* Gold advantage net: Difference to the best stock index after tax. Net = after withholding tax (gold tax-free; equity ETF 18.46% eff.).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entry_year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Fig. 2: Final Value &amp; Net CAGR by Entry Year (after withholding tax)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gold_advantage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Fig. 3: Gold Advantage over Best Stock Index (after tax) by Entry Year</w:t>
      </w:r>
    </w:p>
    <w:p>
      <w:pPr>
        <w:pStyle w:val="Heading1"/>
      </w:pPr>
      <w:r>
        <w:t>4  Tax Advantages of Gold in Germany</w:t>
      </w:r>
    </w:p>
    <w:p>
      <w:r>
        <w:t>German tax law uniquely favors physical gold over securities. The difference is substantial and systematically underestimated by many investors.</w:t>
      </w:r>
    </w:p>
    <w:p>
      <w:pPr>
        <w:pStyle w:val="Heading2"/>
      </w:pPr>
      <w:r>
        <w:t>4.1  Speculation Period under §23 EStG</w:t>
      </w:r>
    </w:p>
    <w:p>
      <w:r>
        <w:t>Physical gold (bars, coins) is classified as a private disposal transaction. Gains from sale are completely tax-free after a holding period of more than one year – with no amount limit. An investor who bought €1,000 of gold in 2000 and sells today realizes a tax-free gain of approximately €22,436. No other investment instrument offers this combination of return potential and complete tax exemption.</w:t>
      </w:r>
    </w:p>
    <w:p>
      <w:pPr>
        <w:pStyle w:val="Heading2"/>
      </w:pPr>
      <w:r>
        <w:t>4.2  Stocks and ETFs: Withholding Tax and Advance Lump Sum</w:t>
      </w:r>
    </w:p>
    <w:p>
      <w:r>
        <w:t>Capital gains and dividends from stocks and equity funds are subject to withholding tax of 25% plus 5.5% solidarity surcharge, totaling 26.375% (excluding church tax). Equity ETFs benefit from a 30% partial exemption, reducing the effective tax rate to approximately 18.46% – yet every accumulating fund is additionally subject to the advance lump sum (Vorabpauschale), an annual minimum taxation even without selling.</w:t>
      </w:r>
    </w:p>
    <w:p>
      <w:pPr>
        <w:pStyle w:val="Heading2"/>
      </w:pPr>
      <w:r>
        <w:t>4.3  Quantitative Tax Impact</w:t>
      </w:r>
    </w:p>
    <w:p>
      <w:r>
        <w:t>The tax impact is substantial: €1,000 in an S&amp;P 500 equity ETF since 2000 grows to €9,053 gross, but only €7,566 after tax. Gold, by contrast: €23,436 gross and net alike.</w:t>
      </w:r>
    </w:p>
    <w:p>
      <w:pPr>
        <w:pStyle w:val="ListBullet"/>
      </w:pPr>
      <w:r>
        <w:t>Physical gold (held &gt;1 year): 0% tax on capital gains</w:t>
      </w:r>
    </w:p>
    <w:p>
      <w:pPr>
        <w:pStyle w:val="ListBullet"/>
      </w:pPr>
      <w:r>
        <w:t>Equity ETF (accumulating): 18.46% eff. tax on capital gains + annual advance lump sum</w:t>
      </w:r>
    </w:p>
    <w:p>
      <w:pPr>
        <w:pStyle w:val="ListBullet"/>
      </w:pPr>
      <w:r>
        <w:t>Direct stocks / actively managed funds: 26.375% on capital gains and dividends</w:t>
      </w:r>
    </w:p>
    <w:p>
      <w:pPr>
        <w:pStyle w:val="ListBullet"/>
      </w:pPr>
      <w:r>
        <w:t>Gold ETF/ETC: Taxed like securities – no tax advantage!</w:t>
      </w:r>
    </w:p>
    <w:p>
      <w:r>
        <w:t>Important: Only physical gold (bars, coins such as Krugerrand, Maple Leaf, Vienna Philharmonic) benefits from tax exemption under §23 EStG. Gold ETFs, gold ETCs (e.g. Xetra-Gold with physical delivery option: tax-free; others without delivery rights: taxable!) and gold mining stocks are taxed like securities.</w:t>
      </w:r>
    </w:p>
    <w:p>
      <w:pPr>
        <w:pStyle w:val="Heading1"/>
      </w:pPr>
      <w:r>
        <w:t>5  Demographic Headwinds for Stocks: The Boomer Liquidation</w:t>
      </w:r>
    </w:p>
    <w:p>
      <w:r>
        <w:t>The baby boomer generation (born approx. 1946–1964) is the wealthiest investor generation in history. Over decades they have systematically invested in stocks, equity funds and corporate pension plans – and are now on the verge of withdrawing this capital.</w:t>
      </w:r>
    </w:p>
    <w:p>
      <w:pPr>
        <w:pStyle w:val="Heading2"/>
      </w:pPr>
      <w:r>
        <w:t>5.1  The Scale of Capital Reallocation</w:t>
      </w:r>
    </w:p>
    <w:p>
      <w:r>
        <w:t>In Germany, private households hold stocks and investment funds worth over €1.5 trillion according to the Bundesbank. The majority belongs to the 60+ generation. In the US, boomers held approximately 52% of total equity wealth as of 2023. Between 2025 and 2035, the largest cohorts reach ages 70–80.</w:t>
      </w:r>
    </w:p>
    <w:p>
      <w:pPr>
        <w:pStyle w:val="Heading2"/>
      </w:pPr>
      <w:r>
        <w:t>5.2  Structural Consequences for Stock Markets</w:t>
      </w:r>
    </w:p>
    <w:p>
      <w:pPr>
        <w:pStyle w:val="ListBullet"/>
      </w:pPr>
      <w:r>
        <w:t>Net outflows from equity funds: Rising net withdrawals from 401(k) plans since 2022.</w:t>
      </w:r>
    </w:p>
    <w:p>
      <w:pPr>
        <w:pStyle w:val="ListBullet"/>
      </w:pPr>
      <w:r>
        <w:t>Required Minimum Distributions (US): Mandatory sales from retirement accounts starting at age 73.</w:t>
      </w:r>
    </w:p>
    <w:p>
      <w:pPr>
        <w:pStyle w:val="ListBullet"/>
      </w:pPr>
      <w:r>
        <w:t>Europe/Germany: Riester, Rürup and corporate pensions are paying out billions.</w:t>
      </w:r>
    </w:p>
    <w:p>
      <w:pPr>
        <w:pStyle w:val="ListBullet"/>
      </w:pPr>
      <w:r>
        <w:t>Inheritance wave: Portfolios are frequently reallocated or sold.</w:t>
      </w:r>
    </w:p>
    <w:p>
      <w:pPr>
        <w:pStyle w:val="Heading2"/>
      </w:pPr>
      <w:r>
        <w:t>5.3  Gold Benefits Structurally</w:t>
      </w:r>
    </w:p>
    <w:p>
      <w:r>
        <w:t>Gold has no owner who must sell. The most important structural gold buyers are central banks (record purchases 2022–2024: over 1,000 tonnes p.a.), emerging middle classes in Asia, and sovereign wealth funds.</w:t>
      </w:r>
    </w:p>
    <w:p>
      <w:pPr>
        <w:pStyle w:val="Heading1"/>
      </w:pPr>
      <w:r>
        <w:t>6  Misadvice by Banks and Financial Distributors</w:t>
      </w:r>
    </w:p>
    <w:p>
      <w:r>
        <w:t>Gold has been one of the highest-performing and most tax-efficient asset classes of the past 25 years. Yet banks systematically recommend little or no gold – due to structural conflicts of interest.</w:t>
      </w:r>
    </w:p>
    <w:p>
      <w:pPr>
        <w:pStyle w:val="Heading2"/>
      </w:pPr>
      <w:r>
        <w:t>6.1  The Commission Model</w:t>
      </w:r>
    </w:p>
    <w:p>
      <w:r>
        <w:t>Bank advisors are compensated through commissions: front-end loads (3–5%), trailing commissions (0.5–1.0% p.a.) and performance fees. Gold has no such commission structures.</w:t>
      </w:r>
    </w:p>
    <w:p>
      <w:pPr>
        <w:pStyle w:val="Heading2"/>
      </w:pPr>
      <w:r>
        <w:t>6.2  Cost Impact over Time</w:t>
      </w:r>
    </w:p>
    <w:p>
      <w:r>
        <w:t>A typical front-end load of 5% means €50 of every €1,000 is lost immediately. Ongoing costs (TER) of 1.5–2.5% per year vs. 0.1–0.2% for ETFs or 0% for physical gold.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1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Fig. 4: Cost Impact: Bank Fund vs. ETF vs. Physical Gold (7% gross return, 25 years)</w:t>
      </w:r>
    </w:p>
    <w:p>
      <w:pPr>
        <w:pStyle w:val="Heading2"/>
      </w:pPr>
      <w:r>
        <w:t>6.3  Notable Cases of Misadvice</w:t>
      </w:r>
    </w:p>
    <w:p>
      <w:pPr>
        <w:pStyle w:val="ListBullet"/>
      </w:pPr>
      <w:r>
        <w:t>Lehman certificates sold as "safe" – with full commission</w:t>
      </w:r>
    </w:p>
    <w:p>
      <w:pPr>
        <w:pStyle w:val="ListBullet"/>
      </w:pPr>
      <w:r>
        <w:t>Closed-end funds (shipping, real estate) recommended before mass insolvencies</w:t>
      </w:r>
    </w:p>
    <w:p>
      <w:pPr>
        <w:pStyle w:val="ListBullet"/>
      </w:pPr>
      <w:r>
        <w:t>Conflict of interest: Advisors earn from funds, not from gold or ETFs</w:t>
      </w:r>
    </w:p>
    <w:p>
      <w:pPr>
        <w:pStyle w:val="ListBullet"/>
      </w:pPr>
      <w:r>
        <w:t>Complexity as an instrument: The more complex, the higher the margin</w:t>
      </w:r>
    </w:p>
    <w:p>
      <w:pPr>
        <w:pStyle w:val="ListBullet"/>
      </w:pPr>
      <w:r>
        <w:t>Proprietary products: Banks favor their own in-house funds with high costs</w:t>
      </w:r>
    </w:p>
    <w:p>
      <w:pPr>
        <w:pStyle w:val="Heading2"/>
      </w:pPr>
      <w:r>
        <w:t>6.4  Regulatory Situation</w:t>
      </w:r>
    </w:p>
    <w:p>
      <w:r>
        <w:t>MiFID II (since 2018) mandates greater transparency but is often only formally complied with. The UK banned commissions in 2012 (RDR). In Germany, a corresponding ban is still pending.</w:t>
      </w:r>
    </w:p>
    <w:p>
      <w:pPr>
        <w:pStyle w:val="Heading1"/>
      </w:pPr>
      <w:r>
        <w:t>7  Conclusion and Outlook</w:t>
      </w:r>
    </w:p>
    <w:p>
      <w:r>
        <w:t>The data is clear: Physical gold has served European investors better than stocks over the past 25 years – and this is even more true after taxes.</w:t>
      </w:r>
    </w:p>
    <w:p>
      <w:pPr>
        <w:pStyle w:val="ListBullet"/>
      </w:pPr>
      <w:r>
        <w:t>Crisis resilience: Gold barely loses value in market crashes, while stocks dropped 50%+.</w:t>
      </w:r>
    </w:p>
    <w:p>
      <w:pPr>
        <w:pStyle w:val="ListBullet"/>
      </w:pPr>
      <w:r>
        <w:t>Tax advantage: Physical gold is completely tax-free after one year.</w:t>
      </w:r>
    </w:p>
    <w:p>
      <w:pPr>
        <w:pStyle w:val="ListBullet"/>
      </w:pPr>
      <w:r>
        <w:t>Currency effect: The weaker US dollar further strengthened the gold price in EUR terms.</w:t>
      </w:r>
    </w:p>
    <w:p>
      <w:r>
        <w:t>For the years ahead, structural tailwinds are building: Boomer generation liquidations are likely to weigh on stock indices, while central bank demand and geopolitical uncertainty continue to support gold.</w:t>
      </w:r>
    </w:p>
    <w:p>
      <w:r>
        <w:t>Nevertheless, gold is no cure-all: In the 2008–2013 period, the S&amp;P 500 TR showed clear outperformance. A balanced strategy is recommended – with a gold allocation as a crisis buffer and tax-efficient store of value, complemented by low-cost equity ETFs. The most important point: avoid actively managed bank funds with high costs.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