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Gold als Kapitalanlage</w:t>
      </w:r>
    </w:p>
    <w:p>
      <w:pPr>
        <w:jc w:val="center"/>
      </w:pPr>
      <w:r>
        <w:rPr>
          <w:i/>
          <w:sz w:val="24"/>
        </w:rPr>
        <w:t>Wertentwicklung, Steuervorteile, demografischer Ausblick</w:t>
        <w:br/>
        <w:t>und die Rolle der Banken</w:t>
      </w:r>
    </w:p>
    <w:p>
      <w:pPr>
        <w:jc w:val="center"/>
      </w:pPr>
      <w:r>
        <w:rPr>
          <w:color w:val="666666"/>
          <w:sz w:val="18"/>
        </w:rPr>
        <w:t>Stand März 2026  ·  Datenbasis: Yahoo Finance, ECB, London Bullion Market</w:t>
      </w:r>
    </w:p>
    <w:p>
      <w:pPr>
        <w:pStyle w:val="Heading1"/>
      </w:pPr>
      <w:r>
        <w:t>1  Methodik und Datenbasis</w:t>
      </w:r>
    </w:p>
    <w:p>
      <w:r>
        <w:t>Diese Analyse vergleicht physisches Gold (XAU, Londoner Abendfix) mit dem S&amp;P 500 Total Return Index (USD, inklusive reinvestierter Dividenden) und dem DAX Performance-Index (EUR, inklusive Dividenden) aus Sicht eines deutschen Anlegers. Alle Werte wurden in Euro umgerechnet. Als Startkapital dienen jeweils 1.000 € zu Monatsbeginn jedes Jahres von 2000 bis 2025. Für die Steuerbetrachtung wird die aktuelle deutsche Abgeltungsteuer (26,375 % inkl. Solidaritätszuschlag) sowie die Teilfreistellung von 30 % für Aktien-ETFs (effektiver Steuersatz: 18,46 %) angewendet.</w:t>
      </w:r>
    </w:p>
    <w:p>
      <w:pPr>
        <w:pStyle w:val="Heading1"/>
      </w:pPr>
      <w:r>
        <w:t>2  Wertentwicklung seit 2000</w:t>
      </w:r>
    </w:p>
    <w:p>
      <w:r>
        <w:rPr>
          <w:b/>
        </w:rPr>
        <w:t>Wer im Jahr 2000 je 1.000 € in Gold, den S&amp;P 500 TR und den DAX investiert hätte, erzielt heute fundamental unterschiedliche Ergebnisse: Gold wuchs auf € 23.436 (13,2 % p.a.), der S&amp;P 500 TR auf € 7.566 netto (8,2 % p.a. netto) und der DAX auf € 4.583 netto (6,1 % p.a. netto). Gold übertrifft beide Aktienindizes über diesen Zeitraum erheblich.</w:t>
      </w:r>
    </w:p>
    <w:p>
      <w:r>
        <w:t>Der Schlüssel zu Golds Outperformance liegt in zwei schweren Aktienmarktkrisen: Erstens der Dotcom-Blase (2000–2002), in der DAX und S&amp;P 500 mehr als 50 % verloren, während Gold nahezu stabil blieb. Zweitens der Finanzkrise 2008/09, in der Aktien erneut rund 50 % einbrachen und Gold als sicherer Hafen gefragt war.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1: Brutto- und Netto-Wertentwicklung seit 2000 in EUR (inkl. Abgeltungsteuer)</w:t>
      </w:r>
    </w:p>
    <w:p>
      <w:pPr>
        <w:pStyle w:val="Heading1"/>
      </w:pPr>
      <w:r>
        <w:t>3  Vergleich nach Startjahr (2000–2025)</w:t>
      </w:r>
    </w:p>
    <w:p>
      <w:r>
        <w:t>Je nach Einstiegszeitpunkt verändert sich das Bild deutlich. Gold dominiert in Krisenzeiten und bei langem Zeithorizont; der S&amp;P 500 TR überholt Gold im Zeitraum 2008–2013. Ab 2014 führt Gold wieder in den meisten Jahren. Die folgende Tabelle zeigt die Netto-Ergebnisse für jedes einzelne Startjahr.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Start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Jahre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Gold netto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Gold CAGR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S&amp;P 500 netto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S&amp;P CAGR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DAX netto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DAX CAGR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Goldvorteil*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€23,436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€7,566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€4,583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+€15,869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€23,535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€8,010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€4,476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+€15,525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€23,841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14.1%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€10,225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€6,793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+€13,615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€14,582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€10,600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€8,018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+€3,982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€11,662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€6,944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€4,230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+€4,718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€10,565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€6,230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€3,668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+€4,335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€8,398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€6,076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€3,207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+€2,322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€6,878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€4,997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+€1,880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€4,234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€4,476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€1,847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€-243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€4,888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€8,298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€3,718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€-3,410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€3,840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€5,777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€2,486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€-1,936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€3,181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€4,853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€-1,672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€2,537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€4,840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€2,430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€-2,303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€2,582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€4,061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€1,948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€-1,479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€3,466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€3,382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€4,019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€3,532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+€487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€4,765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€3,673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€2,340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+€1,092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€4,469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€3,135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+€1,334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€2,200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+€1,283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€3,831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€2,422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€1,892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+€1,410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€3,320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21.7%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€1,772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+€1,225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€2,591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+€922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€2,901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29.6%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+€1,407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€2,779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38.9%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+€1,125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€2,617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57.6%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19.3%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+€1,164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€1,987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85.5%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€1,188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€1,257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22.9%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+€730</w:t>
            </w:r>
          </w:p>
        </w:tc>
      </w:tr>
    </w:tbl>
    <w:p>
      <w:r>
        <w:rPr>
          <w:i/>
          <w:sz w:val="16"/>
        </w:rPr>
        <w:t>* Goldvorteil netto: Differenz zum besten Aktienindex nach Steuer. Netto = nach Abgeltungsteuer (Gold steuerfrei; Aktien-ETF 18,46 % eff.).</w:t>
      </w:r>
    </w:p>
    <w:p>
      <w:r>
        <w:drawing>
          <wp:inline xmlns:a="http://schemas.openxmlformats.org/drawingml/2006/main" xmlns:pic="http://schemas.openxmlformats.org/drawingml/2006/picture">
            <wp:extent cx="5760720" cy="2618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2: Endwert und CAGR netto nach Startjahr (nach Abgeltungsteuer)</w:t>
      </w:r>
    </w:p>
    <w:p>
      <w:r>
        <w:drawing>
          <wp:inline xmlns:a="http://schemas.openxmlformats.org/drawingml/2006/main" xmlns:pic="http://schemas.openxmlformats.org/drawingml/2006/picture">
            <wp:extent cx="5760720" cy="25923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3: Goldvorteil gegenüber bestem Aktienindex nach Steuer, pro Einstiegsjahr</w:t>
      </w:r>
    </w:p>
    <w:p>
      <w:pPr>
        <w:pStyle w:val="Heading1"/>
      </w:pPr>
      <w:r>
        <w:t>4  Steuerliche Vorteile von Gold in Deutschland</w:t>
      </w:r>
    </w:p>
    <w:p>
      <w:r>
        <w:t>Die Steuergesetzgebung begünstigt physisches Gold in Deutschland in einzigartiger Weise gegenüber Wertpapieren. Der Unterschied ist erheblich und wird von vielen Anlegern systematisch unterschätzt.</w:t>
      </w:r>
    </w:p>
    <w:p>
      <w:pPr>
        <w:pStyle w:val="Heading2"/>
      </w:pPr>
      <w:r>
        <w:t>4.1  Spekulationsfrist nach § 23 EStG</w:t>
      </w:r>
    </w:p>
    <w:p>
      <w:r>
        <w:t>Physisches Gold (Barren, Münzen) gilt als privates Veräußerungsgeschäft. Gewinne aus dem Verkauf sind nach einer Haltedauer von mehr als einem Jahr vollständig steuerfrei – ohne Betragsbegrenzung. Wer im Jahr 2000 für 1.000 € Gold kaufte und heute verkauft, erzielt einen steuerfreien Gewinn von rund € 22.436. Kein anderes Anlageinstrument bietet diese Kombination aus Renditepotenzial und vollständiger Steuerfreiheit.</w:t>
      </w:r>
    </w:p>
    <w:p>
      <w:pPr>
        <w:pStyle w:val="Heading2"/>
      </w:pPr>
      <w:r>
        <w:t>4.2  Aktien und ETFs: Abgeltungsteuer und Vorabpauschale</w:t>
      </w:r>
    </w:p>
    <w:p>
      <w:r>
        <w:t>Kursgewinne und Dividenden aus Aktien und Aktienfonds unterliegen der Abgeltungsteuer von 25 % zuzüglich 5,5 % Solidaritätszuschlag, insgesamt 26,375 % (ohne Kirchensteuer). Für Aktien-ETFs gilt zwar eine Teilfreistellung von 30 %, die den effektiven Steuersatz auf ca. 18,46 % senkt – dennoch ist jeder thesaurierende Fonds zusätzlich der Vorabpauschale unterworfen, einer jährlichen Mindestbesteuerung auch ohne Verkauf.</w:t>
      </w:r>
    </w:p>
    <w:p>
      <w:pPr>
        <w:pStyle w:val="Heading2"/>
      </w:pPr>
      <w:r>
        <w:t>4.3  Quantitativer Steuereffekt</w:t>
      </w:r>
    </w:p>
    <w:p>
      <w:r>
        <w:t>Der Steuereffekt ist erheblich: Aus 1.000 € in einem S&amp;P 500 Aktien-ETF seit 2000 werden brutto € 9.268, nach Steuer jedoch nur € 7.566. Gold hingegen: brutto wie netto € 23.436.</w:t>
      </w:r>
    </w:p>
    <w:p>
      <w:pPr>
        <w:pStyle w:val="ListBullet"/>
      </w:pPr>
      <w:r>
        <w:t>Gold (physisch, &gt;1 Jahr): 0 % Steuer auf Kursgewinne</w:t>
      </w:r>
    </w:p>
    <w:p>
      <w:pPr>
        <w:pStyle w:val="ListBullet"/>
      </w:pPr>
      <w:r>
        <w:t>Aktien-ETF (thesaurierend): 18,46 % eff. Steuer auf Kursgewinne + Vorabpauschale jährlich</w:t>
      </w:r>
    </w:p>
    <w:p>
      <w:pPr>
        <w:pStyle w:val="ListBullet"/>
      </w:pPr>
      <w:r>
        <w:t>Aktien direkt / aktiv verwaltete Fonds: 26,375 % auf Kursgewinne und Dividenden</w:t>
      </w:r>
    </w:p>
    <w:p>
      <w:pPr>
        <w:pStyle w:val="ListBullet"/>
      </w:pPr>
      <w:r>
        <w:t>Gold-ETF/ETC: Steuerlich wie Wertpapiere behandelt – kein Steuervorteil!</w:t>
      </w:r>
    </w:p>
    <w:p>
      <w:r>
        <w:rPr>
          <w:b/>
        </w:rPr>
        <w:t xml:space="preserve">Wichtig: </w:t>
      </w:r>
      <w:r>
        <w:t>Nur physisches Gold (Barren, Münzen wie Krügerrand, Maple Leaf, Wiener Philharmoniker) profitiert von der Steuerfreiheit nach §23 EStG. Gold-ETFs, Gold-ETCs (z.B. Xetra-Gold mit physischer Lieferungsoption: steuerfrei; andere ohne Lieferrecht: steuerpflichtig!) und Goldaktien werden steuerlich wie Wertpapiere behandelt.</w:t>
      </w:r>
    </w:p>
    <w:p>
      <w:pPr>
        <w:pStyle w:val="Heading1"/>
      </w:pPr>
      <w:r>
        <w:t>5  Demografischer Gegenwind für Aktien: Die Boomer-Liquidierung</w:t>
      </w:r>
    </w:p>
    <w:p>
      <w:r>
        <w:t>Die geburtenstarken Jahrgänge (Babyboomer, ca. 1946–1964) sind die reichste Anlegergeneration der Geschichte. Sie haben über Jahrzehnte systematisch Kapital in Aktien, Aktienfonds und betriebliche Altersvorsorgepläne eingezahlt – und stehen nun kurz davor, dieses Kapital zu entnehmen.</w:t>
      </w:r>
    </w:p>
    <w:p>
      <w:pPr>
        <w:pStyle w:val="Heading2"/>
      </w:pPr>
      <w:r>
        <w:t>5.1  Das Ausmaß der Kapitalumschichtung</w:t>
      </w:r>
    </w:p>
    <w:p>
      <w:r>
        <w:t>In Deutschland halten Privathaushalte laut Bundesbank Aktien und Investmentfonds im Wert von über 1,5 Billionen Euro. Der Großteil davon entfällt auf die Generation 60+. In den USA verwalten Boomer mit Stand 2023 rund 52 % des gesamten Aktienvermogens. Zwischen 2025 und 2035 erreichen die stärksten Jahrgänge das Alter von 70–80 Jahren.</w:t>
      </w:r>
    </w:p>
    <w:p>
      <w:pPr>
        <w:pStyle w:val="Heading2"/>
      </w:pPr>
      <w:r>
        <w:t>5.2  Strukturelle Konsequenzen für Aktienmärkte</w:t>
      </w:r>
    </w:p>
    <w:p>
      <w:pPr>
        <w:pStyle w:val="ListBullet"/>
      </w:pPr>
      <w:r>
        <w:t>Netto-Abflüsse aus Aktienfonds: Steigende Netto-Entnahmen aus 401(k)-Plänen seit 2022.</w:t>
      </w:r>
    </w:p>
    <w:p>
      <w:pPr>
        <w:pStyle w:val="ListBullet"/>
      </w:pPr>
      <w:r>
        <w:t>Required Minimum Distributions (USA): Ab 73 Jahren Zwangsverkaufe aus Altersvorsorge.</w:t>
      </w:r>
    </w:p>
    <w:p>
      <w:pPr>
        <w:pStyle w:val="ListBullet"/>
      </w:pPr>
      <w:r>
        <w:t>Europa/Deutschland: Riester-, Rürup- und Betriebsrenten zahlen Milliardenbeträge aus.</w:t>
      </w:r>
    </w:p>
    <w:p>
      <w:pPr>
        <w:pStyle w:val="ListBullet"/>
      </w:pPr>
      <w:r>
        <w:t>Erbschaftswelle: Portfolios werden oft umgeschichtet oder verkauft.</w:t>
      </w:r>
    </w:p>
    <w:p>
      <w:pPr>
        <w:pStyle w:val="Heading2"/>
      </w:pPr>
      <w:r>
        <w:t>5.3  Gold profitiert strukturell</w:t>
      </w:r>
    </w:p>
    <w:p>
      <w:r>
        <w:t>Gold hat keinen Eigentümer der verkaufen muss. Die wichtigsten strukturellen Goldkäufer sind Zentralbanken (Rekordkäufe 2022–2024: über 1.000 Tonnen p.a.), aufstrebende Mittelschichten in Asien und staatliche Reservefonds.</w:t>
      </w:r>
    </w:p>
    <w:p>
      <w:pPr>
        <w:pStyle w:val="Heading1"/>
      </w:pPr>
      <w:r>
        <w:t>6  Fehlberatung durch Banken und Finanzvertriebe</w:t>
      </w:r>
    </w:p>
    <w:p>
      <w:r>
        <w:t>Gold war eine der renditestarks­ten und steuerlich effizientesten Anlageformen der letzten 25 Jahre. Dennoch empfehlen Banken Gold systematisch wenig oder gar nicht – wegen struktureller Interessenkonflikte.</w:t>
      </w:r>
    </w:p>
    <w:p>
      <w:pPr>
        <w:pStyle w:val="Heading2"/>
      </w:pPr>
      <w:r>
        <w:t>6.1  Das Provisionsmodell</w:t>
      </w:r>
    </w:p>
    <w:p>
      <w:r>
        <w:t>Bankberater werden durch Provisionen vergütet: Ausgabeaufschläge (3–5 %), Bestandsprovisionen (0,5–1,0 % p.a.) und Performance-Fees. Gold hat keine solchen Provisionsstrukturen.</w:t>
      </w:r>
    </w:p>
    <w:p>
      <w:pPr>
        <w:pStyle w:val="Heading2"/>
      </w:pPr>
      <w:r>
        <w:t>6.2  Kostenwirkung über die Zeit</w:t>
      </w:r>
    </w:p>
    <w:p>
      <w:r>
        <w:t>Ein typischer Ausgabeaufschlag von 5 % bedeutet, dass von 1.000 € direkt 50 € verloren gehen. Laufende Kosten (TER) von 1,5–2,5 % pro Jahr vs. 0,1–0,2 % bei ETFs oder 0 % bei physischem Gold.</w:t>
      </w:r>
    </w:p>
    <w:p>
      <w:r>
        <w:drawing>
          <wp:inline xmlns:a="http://schemas.openxmlformats.org/drawingml/2006/main" xmlns:pic="http://schemas.openxmlformats.org/drawingml/2006/picture">
            <wp:extent cx="5760720" cy="2563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4: Kosteneffekt: Bankfonds vs. ETF vs. physisches Gold (7 % Bruttorendite, 25 Jahre)</w:t>
      </w:r>
    </w:p>
    <w:p>
      <w:pPr>
        <w:pStyle w:val="Heading2"/>
      </w:pPr>
      <w:r>
        <w:t>6.3  Bekannte Fälle von Fehlberatung</w:t>
      </w:r>
    </w:p>
    <w:p>
      <w:pPr>
        <w:pStyle w:val="ListBullet"/>
      </w:pPr>
      <w:r>
        <w:t>Lehman-Zertifikate als „sicher“ verkauft – mit voller Provision</w:t>
      </w:r>
    </w:p>
    <w:p>
      <w:pPr>
        <w:pStyle w:val="ListBullet"/>
      </w:pPr>
      <w:r>
        <w:t>Geschlossene Fonds (Schiffsfonds, Immobilienfonds) vor Masseninsolvenzen empfohlen</w:t>
      </w:r>
    </w:p>
    <w:p>
      <w:pPr>
        <w:pStyle w:val="ListBullet"/>
      </w:pPr>
      <w:r>
        <w:t>Interessenkonflikt: Berater verdienen an Fonds, nicht an Gold oder ETFs</w:t>
      </w:r>
    </w:p>
    <w:p>
      <w:pPr>
        <w:pStyle w:val="ListBullet"/>
      </w:pPr>
      <w:r>
        <w:t>Komplexität als Instrument: Je komplexer, desto höher die Marge</w:t>
      </w:r>
    </w:p>
    <w:p>
      <w:pPr>
        <w:pStyle w:val="ListBullet"/>
      </w:pPr>
      <w:r>
        <w:t>Eigenprodukte: Banken bevorzugen eigene Hausfonds mit hohen Kosten</w:t>
      </w:r>
    </w:p>
    <w:p>
      <w:pPr>
        <w:pStyle w:val="Heading2"/>
      </w:pPr>
      <w:r>
        <w:t>6.4  Regulatorische Situation</w:t>
      </w:r>
    </w:p>
    <w:p>
      <w:r>
        <w:t>MiFID II (seit 2018) schreibt mehr Transparenz vor, wird aber oft nur formal eingehalten. Großbritannien hat Provisionen 2012 verboten (RDR). In Deutschland steht ein entsprechendes Verbot noch aus.</w:t>
      </w:r>
    </w:p>
    <w:p>
      <w:pPr>
        <w:pStyle w:val="Heading1"/>
      </w:pPr>
      <w:r>
        <w:t>7  Fazit und Ausblick</w:t>
      </w:r>
    </w:p>
    <w:p>
      <w:r>
        <w:t>Die Datenlage ist eindeutig: Physisches Gold hat europäische Anleger in den letzten 25 Jahren besser gestellt als Aktien – und dies gilt umso mehr nach Steuern.</w:t>
      </w:r>
    </w:p>
    <w:p>
      <w:pPr>
        <w:pStyle w:val="ListBullet"/>
      </w:pPr>
      <w:r>
        <w:t>Krisenresistenz: Gold verliert in Marktcrashs kaum an Wert, während Aktien 50 %+ einbrachen.</w:t>
      </w:r>
    </w:p>
    <w:p>
      <w:pPr>
        <w:pStyle w:val="ListBullet"/>
      </w:pPr>
      <w:r>
        <w:t>Steuervorteil: Physisches Gold ist nach einem Jahr vollständig steuerfrei.</w:t>
      </w:r>
    </w:p>
    <w:p>
      <w:pPr>
        <w:pStyle w:val="ListBullet"/>
      </w:pPr>
      <w:r>
        <w:t>Währungseffekt: Der schwächere US-Dollar stärkte den Goldpreis in EUR-Sicht zusätzlich.</w:t>
      </w:r>
    </w:p>
    <w:p>
      <w:r>
        <w:t>Für die kommenden Jahre kommen strukturelle Rückenwíinde hinzu: Die Liquidierungen der Boomer-Generation dürften Aktienindizes belasten, während Zentralbanknachfrage und geopolitische Unsicherheit Gold weiter stützen.</w:t>
      </w:r>
    </w:p>
    <w:p>
      <w:r>
        <w:t>Dennoch ist Gold kein Allheilmittel: Im Zeitraum 2008–2013 zeigte der S&amp;P 500 TR eine deutliche Outperformance. Eine ausgewogene Strategie empfiehlt sich – mit einem Goldanteil als Krisenpuffer und steuereffizientem Wertspeicher, ergänzt durch kostengünstige Aktien-ETFs. Das Wichtigste: aktiv verwaltete Bankfonds mit hohen Kosten meiden.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