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7B065" w14:textId="4E178A9C" w:rsidR="00E84A3B" w:rsidRDefault="00E84A3B" w:rsidP="00803998">
      <w:pPr>
        <w:ind w:left="426" w:hanging="426"/>
        <w:rPr>
          <w:rFonts w:ascii="Arial" w:hAnsi="Arial" w:cs="Arial"/>
          <w:b/>
          <w:sz w:val="28"/>
          <w:szCs w:val="28"/>
        </w:rPr>
      </w:pPr>
      <w:bookmarkStart w:id="0" w:name="_GoBack"/>
      <w:bookmarkEnd w:id="0"/>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7733D399" w14:textId="1F34D82D" w:rsidR="00803998" w:rsidRPr="00CC4340" w:rsidRDefault="00F60017" w:rsidP="00803998">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4A7999" w:rsidRPr="00CC4340">
        <w:rPr>
          <w:rFonts w:ascii="Arial" w:hAnsi="Arial" w:cs="Arial"/>
          <w:b/>
          <w:sz w:val="28"/>
          <w:szCs w:val="28"/>
        </w:rPr>
        <w:t xml:space="preserve">Economics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44402B">
        <w:rPr>
          <w:rFonts w:ascii="Arial" w:hAnsi="Arial" w:cs="Arial"/>
          <w:b/>
          <w:sz w:val="28"/>
          <w:szCs w:val="28"/>
        </w:rPr>
        <w:t>2</w:t>
      </w:r>
      <w:r w:rsidR="00A45E7D" w:rsidRPr="00CC4340">
        <w:rPr>
          <w:rFonts w:ascii="Arial" w:hAnsi="Arial" w:cs="Arial"/>
          <w:b/>
          <w:sz w:val="28"/>
          <w:szCs w:val="28"/>
        </w:rPr>
        <w:t xml:space="preserve"> 20</w:t>
      </w:r>
      <w:r w:rsidR="009753B1">
        <w:rPr>
          <w:rFonts w:ascii="Arial" w:hAnsi="Arial" w:cs="Arial"/>
          <w:b/>
          <w:sz w:val="28"/>
          <w:szCs w:val="28"/>
        </w:rPr>
        <w:t>20</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 xml:space="preserve">Section </w:t>
      </w:r>
      <w:proofErr w:type="gramStart"/>
      <w:r w:rsidRPr="001135D6">
        <w:rPr>
          <w:rFonts w:ascii="Arial" w:hAnsi="Arial" w:cs="Arial"/>
          <w:b/>
        </w:rPr>
        <w:t>1</w:t>
      </w:r>
      <w:r w:rsidR="006E05AD">
        <w:rPr>
          <w:rFonts w:ascii="Arial" w:hAnsi="Arial" w:cs="Arial"/>
          <w:b/>
        </w:rPr>
        <w:t xml:space="preserve">  (</w:t>
      </w:r>
      <w:proofErr w:type="gramEnd"/>
      <w:r w:rsidR="006E05AD">
        <w:rPr>
          <w:rFonts w:ascii="Arial" w:hAnsi="Arial" w:cs="Arial"/>
          <w:b/>
        </w:rPr>
        <w:t>24 marks)</w:t>
      </w:r>
    </w:p>
    <w:p w14:paraId="5255A2F5" w14:textId="77777777" w:rsidR="001135D6" w:rsidRDefault="001135D6" w:rsidP="00803998">
      <w:pPr>
        <w:ind w:left="426" w:hanging="426"/>
        <w:rPr>
          <w:rFonts w:ascii="Arial" w:hAnsi="Arial" w:cs="Arial"/>
        </w:rPr>
      </w:pPr>
    </w:p>
    <w:p w14:paraId="2BA1013A" w14:textId="0E386C9E"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44402B">
        <w:rPr>
          <w:rFonts w:ascii="Arial" w:hAnsi="Arial" w:cs="Arial"/>
        </w:rPr>
        <w:t>C</w:t>
      </w:r>
    </w:p>
    <w:p w14:paraId="5AB8DB78" w14:textId="406FE6F5"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44402B">
        <w:rPr>
          <w:rFonts w:ascii="Arial" w:hAnsi="Arial" w:cs="Arial"/>
        </w:rPr>
        <w:t>D</w:t>
      </w:r>
    </w:p>
    <w:p w14:paraId="00C87CCA" w14:textId="637BA36F"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9B600C">
        <w:rPr>
          <w:rFonts w:ascii="Arial" w:hAnsi="Arial" w:cs="Arial"/>
        </w:rPr>
        <w:t>A</w:t>
      </w:r>
    </w:p>
    <w:p w14:paraId="2667FDF8" w14:textId="5852C4A2"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9B600C">
        <w:rPr>
          <w:rFonts w:ascii="Arial" w:hAnsi="Arial" w:cs="Arial"/>
        </w:rPr>
        <w:t>C</w:t>
      </w:r>
    </w:p>
    <w:p w14:paraId="7E86C97D" w14:textId="43FBAB8E"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44402B">
        <w:rPr>
          <w:rFonts w:ascii="Arial" w:hAnsi="Arial" w:cs="Arial"/>
        </w:rPr>
        <w:t>D</w:t>
      </w:r>
    </w:p>
    <w:p w14:paraId="13ECC72C" w14:textId="2B18E048"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9753B1">
        <w:rPr>
          <w:rFonts w:ascii="Arial" w:hAnsi="Arial" w:cs="Arial"/>
        </w:rPr>
        <w:t>B</w:t>
      </w:r>
    </w:p>
    <w:p w14:paraId="7DA19D80" w14:textId="4AC2C173"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44402B">
        <w:rPr>
          <w:rFonts w:ascii="Arial" w:hAnsi="Arial" w:cs="Arial"/>
        </w:rPr>
        <w:t>A</w:t>
      </w:r>
    </w:p>
    <w:p w14:paraId="3C243262" w14:textId="15E802D1"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4D7802">
        <w:rPr>
          <w:rFonts w:ascii="Arial" w:hAnsi="Arial" w:cs="Arial"/>
        </w:rPr>
        <w:t>B</w:t>
      </w:r>
    </w:p>
    <w:p w14:paraId="53ADAF3E" w14:textId="19E58793"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813EF7">
        <w:rPr>
          <w:rFonts w:ascii="Arial" w:hAnsi="Arial" w:cs="Arial"/>
        </w:rPr>
        <w:t>A</w:t>
      </w:r>
    </w:p>
    <w:p w14:paraId="4928CEF7" w14:textId="16C9C350"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44402B">
        <w:rPr>
          <w:rFonts w:ascii="Arial" w:hAnsi="Arial" w:cs="Arial"/>
        </w:rPr>
        <w:t>B</w:t>
      </w:r>
    </w:p>
    <w:p w14:paraId="3D98B3B8" w14:textId="5CDD259F"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8B18DF">
        <w:rPr>
          <w:rFonts w:ascii="Arial" w:hAnsi="Arial" w:cs="Arial"/>
        </w:rPr>
        <w:t>A</w:t>
      </w:r>
    </w:p>
    <w:p w14:paraId="26337974" w14:textId="36D7B4EA"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8B18DF">
        <w:rPr>
          <w:rFonts w:ascii="Arial" w:hAnsi="Arial" w:cs="Arial"/>
        </w:rPr>
        <w:t>C</w:t>
      </w:r>
    </w:p>
    <w:p w14:paraId="1FC7284A" w14:textId="2429B589"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813EF7">
        <w:rPr>
          <w:rFonts w:ascii="Arial" w:hAnsi="Arial" w:cs="Arial"/>
        </w:rPr>
        <w:t>C</w:t>
      </w:r>
    </w:p>
    <w:p w14:paraId="36616DDC" w14:textId="06F7CBA6"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2B391A">
        <w:rPr>
          <w:rFonts w:ascii="Arial" w:hAnsi="Arial" w:cs="Arial"/>
        </w:rPr>
        <w:t>D</w:t>
      </w:r>
    </w:p>
    <w:p w14:paraId="52C055A1" w14:textId="459C5128"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813EF7">
        <w:rPr>
          <w:rFonts w:ascii="Arial" w:hAnsi="Arial" w:cs="Arial"/>
        </w:rPr>
        <w:t>D</w:t>
      </w:r>
    </w:p>
    <w:p w14:paraId="37A1F0FB" w14:textId="31F81253"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813EF7">
        <w:rPr>
          <w:rFonts w:ascii="Arial" w:hAnsi="Arial" w:cs="Arial"/>
        </w:rPr>
        <w:t>B</w:t>
      </w:r>
    </w:p>
    <w:p w14:paraId="5AA6B1D0" w14:textId="6EEAF77C"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E87158">
        <w:rPr>
          <w:rFonts w:ascii="Arial" w:hAnsi="Arial" w:cs="Arial"/>
        </w:rPr>
        <w:t>C</w:t>
      </w:r>
    </w:p>
    <w:p w14:paraId="4800503A" w14:textId="569FF9B7"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2B391A">
        <w:rPr>
          <w:rFonts w:ascii="Arial" w:hAnsi="Arial" w:cs="Arial"/>
        </w:rPr>
        <w:t>A</w:t>
      </w:r>
    </w:p>
    <w:p w14:paraId="4F12AED7" w14:textId="53F9AF8E"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F822B8">
        <w:rPr>
          <w:rFonts w:ascii="Arial" w:hAnsi="Arial" w:cs="Arial"/>
        </w:rPr>
        <w:t>C</w:t>
      </w:r>
    </w:p>
    <w:p w14:paraId="1ACA4BEB" w14:textId="5A3F4BF8"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2B391A">
        <w:rPr>
          <w:rFonts w:ascii="Arial" w:hAnsi="Arial" w:cs="Arial"/>
        </w:rPr>
        <w:t>B</w:t>
      </w:r>
    </w:p>
    <w:p w14:paraId="5DCF39BB" w14:textId="44D3911C"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7C5B54">
        <w:rPr>
          <w:rFonts w:ascii="Arial" w:hAnsi="Arial" w:cs="Arial"/>
        </w:rPr>
        <w:t>D</w:t>
      </w:r>
    </w:p>
    <w:p w14:paraId="3715C3BF" w14:textId="75AA87CD"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2B391A">
        <w:rPr>
          <w:rFonts w:ascii="Arial" w:hAnsi="Arial" w:cs="Arial"/>
        </w:rPr>
        <w:t>A</w:t>
      </w:r>
    </w:p>
    <w:p w14:paraId="1070F5FE" w14:textId="77C262C8"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2B391A">
        <w:rPr>
          <w:rFonts w:ascii="Arial" w:hAnsi="Arial" w:cs="Arial"/>
        </w:rPr>
        <w:t>B</w:t>
      </w:r>
    </w:p>
    <w:p w14:paraId="342D4E7F" w14:textId="5770C312"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2B391A">
        <w:rPr>
          <w:rFonts w:ascii="Arial" w:hAnsi="Arial" w:cs="Arial"/>
        </w:rPr>
        <w:t>D</w:t>
      </w:r>
    </w:p>
    <w:p w14:paraId="20FACA72" w14:textId="77777777" w:rsidR="00365423" w:rsidRDefault="00365423" w:rsidP="00CC4340">
      <w:pPr>
        <w:spacing w:after="40"/>
        <w:ind w:left="567" w:hanging="567"/>
        <w:rPr>
          <w:rFonts w:ascii="Arial" w:hAnsi="Arial" w:cs="Arial"/>
        </w:rPr>
      </w:pPr>
    </w:p>
    <w:p w14:paraId="1881F7BB" w14:textId="77777777" w:rsidR="00F8478B" w:rsidRDefault="00F8478B" w:rsidP="00775C87">
      <w:pPr>
        <w:ind w:left="426" w:hanging="426"/>
        <w:rPr>
          <w:rFonts w:ascii="Arial" w:hAnsi="Arial" w:cs="Arial"/>
          <w:b/>
        </w:rPr>
      </w:pPr>
    </w:p>
    <w:p w14:paraId="00AF3BB5" w14:textId="77777777" w:rsidR="00F8478B" w:rsidRDefault="00F8478B" w:rsidP="00775C87">
      <w:pPr>
        <w:ind w:left="426" w:hanging="426"/>
        <w:rPr>
          <w:rFonts w:ascii="Arial" w:hAnsi="Arial" w:cs="Arial"/>
          <w:b/>
        </w:rPr>
      </w:pPr>
    </w:p>
    <w:p w14:paraId="4654E0F5" w14:textId="4D098139" w:rsidR="00775C87" w:rsidRPr="001135D6" w:rsidRDefault="00775C87" w:rsidP="00775C87">
      <w:pPr>
        <w:ind w:left="426" w:hanging="426"/>
        <w:rPr>
          <w:rFonts w:ascii="Arial" w:hAnsi="Arial" w:cs="Arial"/>
          <w:b/>
        </w:rPr>
      </w:pPr>
      <w:r w:rsidRPr="001135D6">
        <w:rPr>
          <w:rFonts w:ascii="Arial" w:hAnsi="Arial" w:cs="Arial"/>
          <w:b/>
        </w:rPr>
        <w:lastRenderedPageBreak/>
        <w:t xml:space="preserve">Section </w:t>
      </w:r>
      <w:proofErr w:type="gramStart"/>
      <w:r w:rsidRPr="001135D6">
        <w:rPr>
          <w:rFonts w:ascii="Arial" w:hAnsi="Arial" w:cs="Arial"/>
          <w:b/>
        </w:rPr>
        <w:t>2</w:t>
      </w:r>
      <w:r w:rsidR="006E05AD">
        <w:rPr>
          <w:rFonts w:ascii="Arial" w:hAnsi="Arial" w:cs="Arial"/>
          <w:b/>
        </w:rPr>
        <w:t xml:space="preserve">  (</w:t>
      </w:r>
      <w:proofErr w:type="gramEnd"/>
      <w:r w:rsidR="006E05AD">
        <w:rPr>
          <w:rFonts w:ascii="Arial" w:hAnsi="Arial" w:cs="Arial"/>
          <w:b/>
        </w:rPr>
        <w:t>36 marks)</w:t>
      </w:r>
    </w:p>
    <w:p w14:paraId="04342BD7" w14:textId="77777777" w:rsidR="00E94343" w:rsidRDefault="00E94343" w:rsidP="00775C87">
      <w:pPr>
        <w:ind w:left="426" w:hanging="426"/>
        <w:rPr>
          <w:rFonts w:ascii="Arial" w:hAnsi="Arial" w:cs="Arial"/>
          <w:b/>
        </w:rPr>
      </w:pPr>
    </w:p>
    <w:p w14:paraId="4291D409" w14:textId="3D491081"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r w:rsidR="004B1ACD">
        <w:rPr>
          <w:rFonts w:ascii="Arial" w:hAnsi="Arial" w:cs="Arial"/>
          <w:b/>
        </w:rPr>
        <w:tab/>
        <w:t xml:space="preserve">  (</w:t>
      </w:r>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938"/>
        <w:gridCol w:w="1418"/>
      </w:tblGrid>
      <w:tr w:rsidR="0054502C" w:rsidRPr="00722488" w14:paraId="5B90A813" w14:textId="77777777" w:rsidTr="00E87158">
        <w:trPr>
          <w:trHeight w:val="1396"/>
        </w:trPr>
        <w:tc>
          <w:tcPr>
            <w:tcW w:w="7938" w:type="dxa"/>
          </w:tcPr>
          <w:p w14:paraId="26FD0022" w14:textId="054A8BEB" w:rsidR="00E87158" w:rsidRDefault="00756016" w:rsidP="00E87158">
            <w:pPr>
              <w:spacing w:before="120"/>
              <w:rPr>
                <w:rFonts w:ascii="Arial" w:hAnsi="Arial" w:cs="Arial"/>
              </w:rPr>
            </w:pPr>
            <w:r w:rsidRPr="0054502C">
              <w:rPr>
                <w:rFonts w:ascii="Arial" w:hAnsi="Arial" w:cs="Arial"/>
              </w:rPr>
              <w:t>a</w:t>
            </w:r>
            <w:r w:rsidR="00AE3720">
              <w:rPr>
                <w:rFonts w:ascii="Arial" w:hAnsi="Arial" w:cs="Arial"/>
              </w:rPr>
              <w:t xml:space="preserve">. </w:t>
            </w:r>
            <w:proofErr w:type="spellStart"/>
            <w:r w:rsidR="00E87158">
              <w:rPr>
                <w:rFonts w:ascii="Arial" w:hAnsi="Arial" w:cs="Arial"/>
              </w:rPr>
              <w:t>i</w:t>
            </w:r>
            <w:proofErr w:type="spellEnd"/>
            <w:r w:rsidR="00E87158">
              <w:rPr>
                <w:rFonts w:ascii="Arial" w:hAnsi="Arial" w:cs="Arial"/>
              </w:rPr>
              <w:t xml:space="preserve">. </w:t>
            </w:r>
            <w:r w:rsidR="00633FC4">
              <w:rPr>
                <w:rFonts w:ascii="Arial" w:hAnsi="Arial" w:cs="Arial"/>
              </w:rPr>
              <w:t xml:space="preserve">Annual growth rate  =  </w:t>
            </w:r>
            <w:r w:rsidR="00E87158">
              <w:rPr>
                <w:rFonts w:ascii="Arial" w:hAnsi="Arial" w:cs="Arial"/>
              </w:rPr>
              <w:t>1.4%</w:t>
            </w:r>
          </w:p>
          <w:p w14:paraId="4357C7F6" w14:textId="54F71A5C" w:rsidR="00E87158" w:rsidRDefault="00E87158" w:rsidP="00E87158">
            <w:pPr>
              <w:spacing w:before="120"/>
              <w:rPr>
                <w:rFonts w:ascii="Arial" w:hAnsi="Arial" w:cs="Arial"/>
              </w:rPr>
            </w:pPr>
            <w:r>
              <w:rPr>
                <w:rFonts w:ascii="Arial" w:hAnsi="Arial" w:cs="Arial"/>
              </w:rPr>
              <w:t xml:space="preserve">    ii. Investment  </w:t>
            </w:r>
            <w:r w:rsidR="002C5A73">
              <w:rPr>
                <w:rFonts w:ascii="Arial" w:hAnsi="Arial" w:cs="Arial"/>
              </w:rPr>
              <w:t xml:space="preserve"> - </w:t>
            </w:r>
            <w:r>
              <w:rPr>
                <w:rFonts w:ascii="Arial" w:hAnsi="Arial" w:cs="Arial"/>
              </w:rPr>
              <w:t xml:space="preserve">0.9%;  </w:t>
            </w:r>
          </w:p>
          <w:p w14:paraId="67282922" w14:textId="5DB3A2D1" w:rsidR="00BF25D6" w:rsidRPr="00AE3720" w:rsidRDefault="00E87158" w:rsidP="00E87158">
            <w:pPr>
              <w:spacing w:before="120"/>
              <w:rPr>
                <w:rFonts w:ascii="Arial" w:hAnsi="Arial" w:cs="Arial"/>
              </w:rPr>
            </w:pPr>
            <w:r>
              <w:rPr>
                <w:rFonts w:ascii="Arial" w:hAnsi="Arial" w:cs="Arial"/>
              </w:rPr>
              <w:t xml:space="preserve">        Net exports 1.1%</w:t>
            </w:r>
          </w:p>
        </w:tc>
        <w:tc>
          <w:tcPr>
            <w:tcW w:w="1418" w:type="dxa"/>
          </w:tcPr>
          <w:p w14:paraId="481ED7EA" w14:textId="261EDF5B" w:rsidR="00722488" w:rsidRDefault="00722488" w:rsidP="00297B2A">
            <w:pPr>
              <w:spacing w:before="120"/>
              <w:rPr>
                <w:rFonts w:ascii="Arial" w:hAnsi="Arial" w:cs="Arial"/>
              </w:rPr>
            </w:pPr>
            <w:r w:rsidRPr="0054502C">
              <w:rPr>
                <w:rFonts w:ascii="Arial" w:hAnsi="Arial" w:cs="Arial"/>
              </w:rPr>
              <w:t>1 mark</w:t>
            </w:r>
          </w:p>
          <w:p w14:paraId="2B36A373" w14:textId="77777777" w:rsidR="00BF25D6" w:rsidRDefault="00F5367F" w:rsidP="00687FF4">
            <w:pPr>
              <w:spacing w:before="120"/>
              <w:rPr>
                <w:rFonts w:ascii="Arial" w:hAnsi="Arial" w:cs="Arial"/>
              </w:rPr>
            </w:pPr>
            <w:r>
              <w:rPr>
                <w:rFonts w:ascii="Arial" w:hAnsi="Arial" w:cs="Arial"/>
              </w:rPr>
              <w:t>1 mark</w:t>
            </w:r>
          </w:p>
          <w:p w14:paraId="0ABEFA30" w14:textId="6A2933D0" w:rsidR="00E87158" w:rsidRPr="0054502C" w:rsidRDefault="00E87158" w:rsidP="00687FF4">
            <w:pPr>
              <w:spacing w:before="120"/>
              <w:rPr>
                <w:rFonts w:ascii="Arial" w:hAnsi="Arial" w:cs="Arial"/>
              </w:rPr>
            </w:pPr>
            <w:r>
              <w:rPr>
                <w:rFonts w:ascii="Arial" w:hAnsi="Arial" w:cs="Arial"/>
              </w:rPr>
              <w:t>1 mark</w:t>
            </w:r>
          </w:p>
        </w:tc>
      </w:tr>
      <w:tr w:rsidR="0054502C" w:rsidRPr="00722488" w14:paraId="5CBF9605" w14:textId="77777777" w:rsidTr="00633FC4">
        <w:trPr>
          <w:trHeight w:val="2125"/>
        </w:trPr>
        <w:tc>
          <w:tcPr>
            <w:tcW w:w="7938" w:type="dxa"/>
          </w:tcPr>
          <w:p w14:paraId="7A666985" w14:textId="77777777" w:rsidR="00F5367F" w:rsidRDefault="00FC692E" w:rsidP="00E87158">
            <w:pPr>
              <w:spacing w:before="120"/>
              <w:rPr>
                <w:rFonts w:ascii="Arial" w:hAnsi="Arial" w:cs="Arial"/>
              </w:rPr>
            </w:pPr>
            <w:r w:rsidRPr="0054502C">
              <w:rPr>
                <w:rFonts w:ascii="Arial" w:hAnsi="Arial" w:cs="Arial"/>
              </w:rPr>
              <w:t>b</w:t>
            </w:r>
            <w:r w:rsidR="00722488" w:rsidRPr="0054502C">
              <w:rPr>
                <w:rFonts w:ascii="Arial" w:hAnsi="Arial" w:cs="Arial"/>
              </w:rPr>
              <w:t xml:space="preserve">. </w:t>
            </w:r>
            <w:r w:rsidR="00E87158">
              <w:rPr>
                <w:rFonts w:ascii="Arial" w:hAnsi="Arial" w:cs="Arial"/>
              </w:rPr>
              <w:t xml:space="preserve">Significant contribution from G due to increased spending related to the bushfires &amp; large stimulus package due to the </w:t>
            </w:r>
            <w:proofErr w:type="spellStart"/>
            <w:r w:rsidR="00E87158">
              <w:rPr>
                <w:rFonts w:ascii="Arial" w:hAnsi="Arial" w:cs="Arial"/>
              </w:rPr>
              <w:t>Covid</w:t>
            </w:r>
            <w:proofErr w:type="spellEnd"/>
            <w:r w:rsidR="00E87158">
              <w:rPr>
                <w:rFonts w:ascii="Arial" w:hAnsi="Arial" w:cs="Arial"/>
              </w:rPr>
              <w:t xml:space="preserve"> crisis </w:t>
            </w:r>
          </w:p>
          <w:p w14:paraId="578CDA49" w14:textId="75264AB3" w:rsidR="00E87158" w:rsidRPr="00AD5E21" w:rsidRDefault="00E87158" w:rsidP="00E87158">
            <w:pPr>
              <w:spacing w:before="120"/>
              <w:rPr>
                <w:rFonts w:ascii="Arial" w:hAnsi="Arial" w:cs="Arial"/>
              </w:rPr>
            </w:pPr>
            <w:r>
              <w:rPr>
                <w:rFonts w:ascii="Arial" w:hAnsi="Arial" w:cs="Arial"/>
              </w:rPr>
              <w:t xml:space="preserve">Significant contribution from NX due to very large </w:t>
            </w:r>
            <w:r w:rsidRPr="00E87158">
              <w:rPr>
                <w:rFonts w:ascii="Arial" w:hAnsi="Arial" w:cs="Arial"/>
                <w:b/>
                <w:bCs/>
                <w:u w:val="single"/>
              </w:rPr>
              <w:t>decrease</w:t>
            </w:r>
            <w:r>
              <w:rPr>
                <w:rFonts w:ascii="Arial" w:hAnsi="Arial" w:cs="Arial"/>
              </w:rPr>
              <w:t xml:space="preserve"> in spending on imports (because of decrease in C &amp; I)</w:t>
            </w:r>
            <w:r w:rsidR="00633FC4">
              <w:rPr>
                <w:rFonts w:ascii="Arial" w:hAnsi="Arial" w:cs="Arial"/>
              </w:rPr>
              <w:t>. Even though contribution from exports is negative, the larger collapse in imports means NX makes a positive contribution</w:t>
            </w:r>
          </w:p>
        </w:tc>
        <w:tc>
          <w:tcPr>
            <w:tcW w:w="1418" w:type="dxa"/>
          </w:tcPr>
          <w:p w14:paraId="280AE22D" w14:textId="1A7D8F9A" w:rsidR="00AE5A6D" w:rsidRDefault="008416BC" w:rsidP="004E76CE">
            <w:pPr>
              <w:spacing w:before="120"/>
              <w:rPr>
                <w:rFonts w:ascii="Arial" w:hAnsi="Arial" w:cs="Arial"/>
              </w:rPr>
            </w:pPr>
            <w:r>
              <w:rPr>
                <w:rFonts w:ascii="Arial" w:hAnsi="Arial" w:cs="Arial"/>
              </w:rPr>
              <w:t>1</w:t>
            </w:r>
            <w:r w:rsidR="00E87158">
              <w:rPr>
                <w:rFonts w:ascii="Arial" w:hAnsi="Arial" w:cs="Arial"/>
              </w:rPr>
              <w:t>-2</w:t>
            </w:r>
            <w:r>
              <w:rPr>
                <w:rFonts w:ascii="Arial" w:hAnsi="Arial" w:cs="Arial"/>
              </w:rPr>
              <w:t xml:space="preserve"> mark</w:t>
            </w:r>
            <w:r w:rsidR="00E87158">
              <w:rPr>
                <w:rFonts w:ascii="Arial" w:hAnsi="Arial" w:cs="Arial"/>
              </w:rPr>
              <w:t>s</w:t>
            </w:r>
          </w:p>
          <w:p w14:paraId="06A68D00" w14:textId="77777777" w:rsidR="00687FF4" w:rsidRDefault="00687FF4" w:rsidP="00AD5E21">
            <w:pPr>
              <w:spacing w:before="120"/>
              <w:rPr>
                <w:rFonts w:ascii="Arial" w:hAnsi="Arial" w:cs="Arial"/>
              </w:rPr>
            </w:pPr>
          </w:p>
          <w:p w14:paraId="519F0640" w14:textId="6F470847" w:rsidR="00AD5E21" w:rsidRPr="0054502C" w:rsidRDefault="004E76CE" w:rsidP="00687FF4">
            <w:pPr>
              <w:rPr>
                <w:rFonts w:ascii="Arial" w:hAnsi="Arial" w:cs="Arial"/>
              </w:rPr>
            </w:pPr>
            <w:r>
              <w:rPr>
                <w:rFonts w:ascii="Arial" w:hAnsi="Arial" w:cs="Arial"/>
              </w:rPr>
              <w:t>1</w:t>
            </w:r>
            <w:r w:rsidR="00633FC4">
              <w:rPr>
                <w:rFonts w:ascii="Arial" w:hAnsi="Arial" w:cs="Arial"/>
              </w:rPr>
              <w:t>-2</w:t>
            </w:r>
            <w:r>
              <w:rPr>
                <w:rFonts w:ascii="Arial" w:hAnsi="Arial" w:cs="Arial"/>
              </w:rPr>
              <w:t xml:space="preserve"> mark</w:t>
            </w:r>
            <w:r w:rsidR="00633FC4">
              <w:rPr>
                <w:rFonts w:ascii="Arial" w:hAnsi="Arial" w:cs="Arial"/>
              </w:rPr>
              <w:t>s</w:t>
            </w:r>
          </w:p>
        </w:tc>
      </w:tr>
      <w:tr w:rsidR="0054502C" w:rsidRPr="00722488" w14:paraId="7F186683" w14:textId="77777777" w:rsidTr="00633FC4">
        <w:trPr>
          <w:trHeight w:val="2678"/>
        </w:trPr>
        <w:tc>
          <w:tcPr>
            <w:tcW w:w="7938" w:type="dxa"/>
          </w:tcPr>
          <w:p w14:paraId="220706C7" w14:textId="15497675" w:rsidR="004E76CE" w:rsidRDefault="00FC692E" w:rsidP="00633FC4">
            <w:pPr>
              <w:spacing w:before="120"/>
              <w:rPr>
                <w:rFonts w:ascii="Arial" w:hAnsi="Arial" w:cs="Arial"/>
              </w:rPr>
            </w:pPr>
            <w:r w:rsidRPr="0054502C">
              <w:rPr>
                <w:rFonts w:ascii="Arial" w:hAnsi="Arial" w:cs="Arial"/>
              </w:rPr>
              <w:t>c</w:t>
            </w:r>
            <w:r w:rsidR="00722488" w:rsidRPr="0054502C">
              <w:rPr>
                <w:rFonts w:ascii="Arial" w:hAnsi="Arial" w:cs="Arial"/>
              </w:rPr>
              <w:t xml:space="preserve">.  </w:t>
            </w:r>
            <w:r w:rsidR="00633FC4">
              <w:rPr>
                <w:rFonts w:ascii="Arial" w:hAnsi="Arial" w:cs="Arial"/>
              </w:rPr>
              <w:t>2 marks for explanation; 3 marks for model</w:t>
            </w:r>
          </w:p>
          <w:p w14:paraId="276C25E5" w14:textId="1393B488" w:rsidR="00633FC4" w:rsidRDefault="00633FC4" w:rsidP="00633FC4">
            <w:pPr>
              <w:spacing w:before="120"/>
              <w:rPr>
                <w:rFonts w:ascii="Arial" w:hAnsi="Arial" w:cs="Arial"/>
              </w:rPr>
            </w:pPr>
            <w:r>
              <w:rPr>
                <w:rFonts w:ascii="Arial" w:hAnsi="Arial" w:cs="Arial"/>
              </w:rPr>
              <w:t>The bushfires will lead to a decrease in AS (shift left) while the health crisis will cause a large decrease in AD (shift right)</w:t>
            </w:r>
          </w:p>
          <w:p w14:paraId="24818326" w14:textId="3A2D3A4E" w:rsidR="00633FC4" w:rsidRDefault="00633FC4" w:rsidP="00633FC4">
            <w:pPr>
              <w:spacing w:before="120"/>
              <w:rPr>
                <w:rFonts w:ascii="Arial" w:hAnsi="Arial" w:cs="Arial"/>
              </w:rPr>
            </w:pPr>
            <w:r>
              <w:rPr>
                <w:rFonts w:ascii="Arial" w:hAnsi="Arial" w:cs="Arial"/>
              </w:rPr>
              <w:t>The combined effects will cause a large decrease in real GDP, a large rise in unemployment &amp; a fall in the price level (inflation rate)</w:t>
            </w:r>
          </w:p>
          <w:p w14:paraId="3CEB36AD" w14:textId="3E5228BE" w:rsidR="00BF25D6" w:rsidRPr="004E76CE" w:rsidRDefault="00633FC4" w:rsidP="009777C5">
            <w:pPr>
              <w:spacing w:before="120"/>
              <w:rPr>
                <w:rFonts w:ascii="Arial" w:hAnsi="Arial" w:cs="Arial"/>
              </w:rPr>
            </w:pPr>
            <w:r>
              <w:rPr>
                <w:rFonts w:ascii="Arial" w:hAnsi="Arial" w:cs="Arial"/>
              </w:rPr>
              <w:t>Draw a correctly labelled AD/AS model showing both shifts of the curves &amp; the resulting fall in real GDP &amp; the price level</w:t>
            </w:r>
          </w:p>
        </w:tc>
        <w:tc>
          <w:tcPr>
            <w:tcW w:w="1418" w:type="dxa"/>
          </w:tcPr>
          <w:p w14:paraId="2C324176" w14:textId="77777777" w:rsidR="004465D8" w:rsidRDefault="004465D8" w:rsidP="00295840">
            <w:pPr>
              <w:spacing w:before="120"/>
              <w:rPr>
                <w:rFonts w:ascii="Arial" w:hAnsi="Arial" w:cs="Arial"/>
              </w:rPr>
            </w:pPr>
          </w:p>
          <w:p w14:paraId="43C85C21" w14:textId="01059ADB" w:rsidR="00295840" w:rsidRDefault="00295840" w:rsidP="00295840">
            <w:pPr>
              <w:spacing w:before="120"/>
              <w:rPr>
                <w:rFonts w:ascii="Arial" w:hAnsi="Arial" w:cs="Arial"/>
              </w:rPr>
            </w:pPr>
            <w:r>
              <w:rPr>
                <w:rFonts w:ascii="Arial" w:hAnsi="Arial" w:cs="Arial"/>
              </w:rPr>
              <w:t>1</w:t>
            </w:r>
            <w:r w:rsidRPr="0054502C">
              <w:rPr>
                <w:rFonts w:ascii="Arial" w:hAnsi="Arial" w:cs="Arial"/>
              </w:rPr>
              <w:t xml:space="preserve"> mark</w:t>
            </w:r>
          </w:p>
          <w:p w14:paraId="72721DB1" w14:textId="1EEA1187" w:rsidR="004E76CE" w:rsidRDefault="004E76CE" w:rsidP="00295840">
            <w:pPr>
              <w:spacing w:before="120"/>
              <w:rPr>
                <w:rFonts w:ascii="Arial" w:hAnsi="Arial" w:cs="Arial"/>
              </w:rPr>
            </w:pPr>
          </w:p>
          <w:p w14:paraId="1EC754CE" w14:textId="2CE8859B" w:rsidR="004E76CE" w:rsidRDefault="00F5367F" w:rsidP="004E76CE">
            <w:pPr>
              <w:rPr>
                <w:rFonts w:ascii="Arial" w:hAnsi="Arial" w:cs="Arial"/>
              </w:rPr>
            </w:pPr>
            <w:r>
              <w:rPr>
                <w:rFonts w:ascii="Arial" w:hAnsi="Arial" w:cs="Arial"/>
              </w:rPr>
              <w:t>1</w:t>
            </w:r>
            <w:r w:rsidRPr="0054502C">
              <w:rPr>
                <w:rFonts w:ascii="Arial" w:hAnsi="Arial" w:cs="Arial"/>
              </w:rPr>
              <w:t xml:space="preserve"> mark</w:t>
            </w:r>
          </w:p>
          <w:p w14:paraId="4F41D9A8" w14:textId="2C47E05E" w:rsidR="00F5367F" w:rsidRDefault="00F5367F" w:rsidP="004E76CE">
            <w:pPr>
              <w:rPr>
                <w:rFonts w:ascii="Arial" w:hAnsi="Arial" w:cs="Arial"/>
              </w:rPr>
            </w:pPr>
          </w:p>
          <w:p w14:paraId="269D642A" w14:textId="70F1CA60" w:rsidR="00500264" w:rsidRPr="0054502C" w:rsidRDefault="004E76CE" w:rsidP="004E76CE">
            <w:pPr>
              <w:spacing w:before="120"/>
              <w:rPr>
                <w:rFonts w:ascii="Arial" w:hAnsi="Arial" w:cs="Arial"/>
              </w:rPr>
            </w:pPr>
            <w:r>
              <w:rPr>
                <w:rFonts w:ascii="Arial" w:hAnsi="Arial" w:cs="Arial"/>
              </w:rPr>
              <w:t>1-</w:t>
            </w:r>
            <w:r w:rsidR="00633FC4">
              <w:rPr>
                <w:rFonts w:ascii="Arial" w:hAnsi="Arial" w:cs="Arial"/>
              </w:rPr>
              <w:t>3</w:t>
            </w:r>
            <w:r w:rsidRPr="0054502C">
              <w:rPr>
                <w:rFonts w:ascii="Arial" w:hAnsi="Arial" w:cs="Arial"/>
              </w:rPr>
              <w:t xml:space="preserve"> mark</w:t>
            </w:r>
            <w:r>
              <w:rPr>
                <w:rFonts w:ascii="Arial" w:hAnsi="Arial" w:cs="Arial"/>
              </w:rPr>
              <w:t>s</w:t>
            </w: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03BD2322"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proofErr w:type="gramStart"/>
      <w:r w:rsidR="0051136F">
        <w:rPr>
          <w:rFonts w:ascii="Arial" w:hAnsi="Arial" w:cs="Arial"/>
          <w:b/>
        </w:rPr>
        <w:t>26</w:t>
      </w:r>
      <w:r w:rsidR="004B1ACD">
        <w:rPr>
          <w:rFonts w:ascii="Arial" w:hAnsi="Arial" w:cs="Arial"/>
          <w:b/>
        </w:rPr>
        <w:t xml:space="preserve">  (</w:t>
      </w:r>
      <w:proofErr w:type="gramEnd"/>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7569DB">
        <w:trPr>
          <w:trHeight w:val="1659"/>
        </w:trPr>
        <w:tc>
          <w:tcPr>
            <w:tcW w:w="7796" w:type="dxa"/>
          </w:tcPr>
          <w:p w14:paraId="4C7037CA" w14:textId="563B78FA" w:rsidR="00ED20CB" w:rsidRDefault="0051136F" w:rsidP="00A9111E">
            <w:pPr>
              <w:spacing w:before="120"/>
              <w:ind w:left="607" w:hanging="607"/>
              <w:rPr>
                <w:rFonts w:ascii="Arial" w:hAnsi="Arial" w:cs="Arial"/>
              </w:rPr>
            </w:pPr>
            <w:r>
              <w:rPr>
                <w:rFonts w:ascii="Arial" w:hAnsi="Arial" w:cs="Arial"/>
              </w:rPr>
              <w:t>a.</w:t>
            </w:r>
            <w:r w:rsidR="00F92AF7">
              <w:rPr>
                <w:rFonts w:ascii="Arial" w:hAnsi="Arial" w:cs="Arial"/>
              </w:rPr>
              <w:t xml:space="preserve"> </w:t>
            </w:r>
            <w:proofErr w:type="spellStart"/>
            <w:r w:rsidR="00E828E6">
              <w:rPr>
                <w:rFonts w:ascii="Arial" w:hAnsi="Arial" w:cs="Arial"/>
              </w:rPr>
              <w:t>i</w:t>
            </w:r>
            <w:proofErr w:type="spellEnd"/>
            <w:r w:rsidR="00E828E6">
              <w:rPr>
                <w:rFonts w:ascii="Arial" w:hAnsi="Arial" w:cs="Arial"/>
              </w:rPr>
              <w:t xml:space="preserve"> </w:t>
            </w:r>
            <w:r w:rsidR="00F66A79">
              <w:rPr>
                <w:rFonts w:ascii="Arial" w:hAnsi="Arial" w:cs="Arial"/>
              </w:rPr>
              <w:t xml:space="preserve"> </w:t>
            </w:r>
            <w:r w:rsidR="00E828E6">
              <w:rPr>
                <w:rFonts w:ascii="Arial" w:hAnsi="Arial" w:cs="Arial"/>
              </w:rPr>
              <w:t>Trade balance</w:t>
            </w:r>
            <w:r w:rsidR="00AF384F">
              <w:rPr>
                <w:rFonts w:ascii="Arial" w:hAnsi="Arial" w:cs="Arial"/>
              </w:rPr>
              <w:t xml:space="preserve">  =  $13,</w:t>
            </w:r>
            <w:r w:rsidR="00E828E6">
              <w:rPr>
                <w:rFonts w:ascii="Arial" w:hAnsi="Arial" w:cs="Arial"/>
              </w:rPr>
              <w:t>500</w:t>
            </w:r>
            <w:r w:rsidR="00AF384F">
              <w:rPr>
                <w:rFonts w:ascii="Arial" w:hAnsi="Arial" w:cs="Arial"/>
              </w:rPr>
              <w:t xml:space="preserve"> million</w:t>
            </w:r>
            <w:r w:rsidR="00E828E6">
              <w:rPr>
                <w:rFonts w:ascii="Arial" w:hAnsi="Arial" w:cs="Arial"/>
              </w:rPr>
              <w:t xml:space="preserve"> </w:t>
            </w:r>
            <w:r w:rsidR="00A9111E">
              <w:rPr>
                <w:rFonts w:ascii="Arial" w:hAnsi="Arial" w:cs="Arial"/>
              </w:rPr>
              <w:t xml:space="preserve">or </w:t>
            </w:r>
            <w:r w:rsidR="00E828E6">
              <w:rPr>
                <w:rFonts w:ascii="Arial" w:hAnsi="Arial" w:cs="Arial"/>
              </w:rPr>
              <w:t>$13.5 billion</w:t>
            </w:r>
            <w:r w:rsidR="00A9111E">
              <w:rPr>
                <w:rFonts w:ascii="Arial" w:hAnsi="Arial" w:cs="Arial"/>
              </w:rPr>
              <w:t xml:space="preserve">                                  (allow +/- $500 million 0r $0.5 billion)</w:t>
            </w:r>
          </w:p>
          <w:p w14:paraId="784FA8BA" w14:textId="09B8BF48" w:rsidR="00AF384F" w:rsidRDefault="00AF384F" w:rsidP="00D349BB">
            <w:pPr>
              <w:spacing w:before="120"/>
              <w:rPr>
                <w:rFonts w:ascii="Arial" w:hAnsi="Arial" w:cs="Arial"/>
              </w:rPr>
            </w:pPr>
            <w:r>
              <w:rPr>
                <w:rFonts w:ascii="Arial" w:hAnsi="Arial" w:cs="Arial"/>
              </w:rPr>
              <w:t xml:space="preserve">  </w:t>
            </w:r>
            <w:r w:rsidR="00E828E6">
              <w:rPr>
                <w:rFonts w:ascii="Arial" w:hAnsi="Arial" w:cs="Arial"/>
              </w:rPr>
              <w:t xml:space="preserve"> </w:t>
            </w:r>
            <w:r>
              <w:rPr>
                <w:rFonts w:ascii="Arial" w:hAnsi="Arial" w:cs="Arial"/>
              </w:rPr>
              <w:t xml:space="preserve"> </w:t>
            </w:r>
            <w:r w:rsidR="00E828E6">
              <w:rPr>
                <w:rFonts w:ascii="Arial" w:hAnsi="Arial" w:cs="Arial"/>
              </w:rPr>
              <w:t>ii</w:t>
            </w:r>
            <w:r>
              <w:rPr>
                <w:rFonts w:ascii="Arial" w:hAnsi="Arial" w:cs="Arial"/>
              </w:rPr>
              <w:t xml:space="preserve">   </w:t>
            </w:r>
            <w:r w:rsidR="00E828E6">
              <w:rPr>
                <w:rFonts w:ascii="Arial" w:hAnsi="Arial" w:cs="Arial"/>
              </w:rPr>
              <w:t>Commodity price index  =  98</w:t>
            </w:r>
          </w:p>
          <w:p w14:paraId="3C218520" w14:textId="0F8EF2EB" w:rsidR="00AF384F" w:rsidRDefault="00E828E6" w:rsidP="00D349BB">
            <w:pPr>
              <w:spacing w:before="120"/>
              <w:rPr>
                <w:rFonts w:ascii="Arial" w:hAnsi="Arial" w:cs="Arial"/>
              </w:rPr>
            </w:pPr>
            <w:r>
              <w:rPr>
                <w:rFonts w:ascii="Arial" w:hAnsi="Arial" w:cs="Arial"/>
              </w:rPr>
              <w:t xml:space="preserve">    iii  AUD  =  US$0.70   or  US70 cents</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F4C52F6" w14:textId="77777777" w:rsidR="00325270" w:rsidRDefault="00F92AF7" w:rsidP="009777C5">
            <w:pPr>
              <w:spacing w:before="120"/>
              <w:rPr>
                <w:rFonts w:ascii="Arial" w:hAnsi="Arial" w:cs="Arial"/>
              </w:rPr>
            </w:pPr>
            <w:r>
              <w:rPr>
                <w:rFonts w:ascii="Arial" w:hAnsi="Arial" w:cs="Arial"/>
              </w:rPr>
              <w:t>1 mark</w:t>
            </w:r>
          </w:p>
          <w:p w14:paraId="6CFD0081" w14:textId="75B900C5" w:rsidR="00AF384F" w:rsidRPr="006873BD" w:rsidRDefault="00AF384F" w:rsidP="009777C5">
            <w:pPr>
              <w:spacing w:before="120"/>
              <w:rPr>
                <w:rFonts w:ascii="Arial" w:hAnsi="Arial" w:cs="Arial"/>
              </w:rPr>
            </w:pPr>
            <w:r>
              <w:rPr>
                <w:rFonts w:ascii="Arial" w:hAnsi="Arial" w:cs="Arial"/>
              </w:rPr>
              <w:t>1 mark</w:t>
            </w:r>
          </w:p>
        </w:tc>
      </w:tr>
      <w:tr w:rsidR="0054502C" w14:paraId="0F1255DF" w14:textId="77777777" w:rsidTr="0023122D">
        <w:trPr>
          <w:trHeight w:val="2106"/>
        </w:trPr>
        <w:tc>
          <w:tcPr>
            <w:tcW w:w="7796" w:type="dxa"/>
          </w:tcPr>
          <w:p w14:paraId="78563D6B" w14:textId="00A57C7A" w:rsidR="00AF384F" w:rsidRDefault="007F4930" w:rsidP="00A9111E">
            <w:pPr>
              <w:spacing w:before="120"/>
              <w:rPr>
                <w:rFonts w:ascii="Arial" w:hAnsi="Arial" w:cs="Arial"/>
              </w:rPr>
            </w:pPr>
            <w:r>
              <w:rPr>
                <w:rFonts w:ascii="Arial" w:hAnsi="Arial" w:cs="Arial"/>
              </w:rPr>
              <w:t>b</w:t>
            </w:r>
            <w:r w:rsidR="00184392">
              <w:rPr>
                <w:rFonts w:ascii="Arial" w:hAnsi="Arial" w:cs="Arial"/>
              </w:rPr>
              <w:t>.</w:t>
            </w:r>
            <w:r w:rsidR="00184392" w:rsidRPr="006873BD">
              <w:rPr>
                <w:rFonts w:ascii="Arial" w:hAnsi="Arial" w:cs="Arial"/>
              </w:rPr>
              <w:t xml:space="preserve"> </w:t>
            </w:r>
            <w:proofErr w:type="spellStart"/>
            <w:r w:rsidR="00704F81">
              <w:rPr>
                <w:rFonts w:ascii="Arial" w:hAnsi="Arial" w:cs="Arial"/>
              </w:rPr>
              <w:t>i</w:t>
            </w:r>
            <w:proofErr w:type="spellEnd"/>
            <w:r w:rsidR="00704F81">
              <w:rPr>
                <w:rFonts w:ascii="Arial" w:hAnsi="Arial" w:cs="Arial"/>
              </w:rPr>
              <w:t xml:space="preserve"> </w:t>
            </w:r>
            <w:r w:rsidR="00A9111E">
              <w:rPr>
                <w:rFonts w:ascii="Arial" w:hAnsi="Arial" w:cs="Arial"/>
              </w:rPr>
              <w:t xml:space="preserve">There is a very strong positive relationship between the commodity price index and the trade balance: as commodity prices increase, the trade balance increases &amp; vice versa. </w:t>
            </w:r>
            <w:r w:rsidR="00704F81">
              <w:rPr>
                <w:rFonts w:ascii="Arial" w:hAnsi="Arial" w:cs="Arial"/>
              </w:rPr>
              <w:t>This is clearly seen in the graph.</w:t>
            </w:r>
            <w:r w:rsidR="009B7A67">
              <w:rPr>
                <w:rFonts w:ascii="Arial" w:hAnsi="Arial" w:cs="Arial"/>
              </w:rPr>
              <w:t xml:space="preserve"> (reference to statistics)</w:t>
            </w:r>
          </w:p>
          <w:p w14:paraId="22912E73" w14:textId="7AD145B3" w:rsidR="00A9111E" w:rsidRPr="006873BD" w:rsidRDefault="00A9111E" w:rsidP="00A9111E">
            <w:pPr>
              <w:spacing w:before="120"/>
              <w:rPr>
                <w:rFonts w:ascii="Arial" w:hAnsi="Arial" w:cs="Arial"/>
              </w:rPr>
            </w:pPr>
            <w:r>
              <w:rPr>
                <w:rFonts w:ascii="Arial" w:hAnsi="Arial" w:cs="Arial"/>
              </w:rPr>
              <w:t xml:space="preserve">Commodities such as iron ore, coal, LNG, make up most of </w:t>
            </w:r>
            <w:proofErr w:type="spellStart"/>
            <w:r>
              <w:rPr>
                <w:rFonts w:ascii="Arial" w:hAnsi="Arial" w:cs="Arial"/>
              </w:rPr>
              <w:t>Aust’s</w:t>
            </w:r>
            <w:proofErr w:type="spellEnd"/>
            <w:r>
              <w:rPr>
                <w:rFonts w:ascii="Arial" w:hAnsi="Arial" w:cs="Arial"/>
              </w:rPr>
              <w:t xml:space="preserve"> exports. An increase in their price directly increases the value of </w:t>
            </w:r>
            <w:proofErr w:type="spellStart"/>
            <w:r>
              <w:rPr>
                <w:rFonts w:ascii="Arial" w:hAnsi="Arial" w:cs="Arial"/>
              </w:rPr>
              <w:t>Aust’s</w:t>
            </w:r>
            <w:proofErr w:type="spellEnd"/>
            <w:r>
              <w:rPr>
                <w:rFonts w:ascii="Arial" w:hAnsi="Arial" w:cs="Arial"/>
              </w:rPr>
              <w:t xml:space="preserve"> exports which increases the trade balance.</w:t>
            </w:r>
          </w:p>
        </w:tc>
        <w:tc>
          <w:tcPr>
            <w:tcW w:w="1560" w:type="dxa"/>
          </w:tcPr>
          <w:p w14:paraId="0F9666F1" w14:textId="780D77B0" w:rsidR="002231AB" w:rsidRDefault="006873BD" w:rsidP="00D3590D">
            <w:pPr>
              <w:spacing w:before="120"/>
              <w:rPr>
                <w:rFonts w:ascii="Arial" w:hAnsi="Arial" w:cs="Arial"/>
              </w:rPr>
            </w:pPr>
            <w:r w:rsidRPr="006873BD">
              <w:rPr>
                <w:rFonts w:ascii="Arial" w:hAnsi="Arial" w:cs="Arial"/>
              </w:rPr>
              <w:t>1 mark</w:t>
            </w:r>
          </w:p>
          <w:p w14:paraId="2F270233" w14:textId="77777777" w:rsidR="0023122D" w:rsidRDefault="0023122D" w:rsidP="00184392">
            <w:pPr>
              <w:spacing w:before="120"/>
              <w:rPr>
                <w:rFonts w:ascii="Arial" w:hAnsi="Arial" w:cs="Arial"/>
              </w:rPr>
            </w:pPr>
          </w:p>
          <w:p w14:paraId="4844EEE5" w14:textId="77777777" w:rsidR="0023122D" w:rsidRDefault="0023122D" w:rsidP="0023122D">
            <w:pPr>
              <w:rPr>
                <w:rFonts w:ascii="Arial" w:hAnsi="Arial" w:cs="Arial"/>
              </w:rPr>
            </w:pPr>
          </w:p>
          <w:p w14:paraId="36AFBDD5" w14:textId="4D34B6AC" w:rsidR="00A74B1B" w:rsidRPr="006873BD" w:rsidRDefault="00184392" w:rsidP="0023122D">
            <w:pPr>
              <w:rPr>
                <w:rFonts w:ascii="Arial" w:hAnsi="Arial" w:cs="Arial"/>
              </w:rPr>
            </w:pPr>
            <w:r>
              <w:rPr>
                <w:rFonts w:ascii="Arial" w:hAnsi="Arial" w:cs="Arial"/>
              </w:rPr>
              <w:t>1</w:t>
            </w:r>
            <w:r w:rsidR="00A9111E">
              <w:rPr>
                <w:rFonts w:ascii="Arial" w:hAnsi="Arial" w:cs="Arial"/>
              </w:rPr>
              <w:t>-2</w:t>
            </w:r>
            <w:r>
              <w:rPr>
                <w:rFonts w:ascii="Arial" w:hAnsi="Arial" w:cs="Arial"/>
              </w:rPr>
              <w:t xml:space="preserve"> mark</w:t>
            </w:r>
            <w:r w:rsidR="00A9111E">
              <w:rPr>
                <w:rFonts w:ascii="Arial" w:hAnsi="Arial" w:cs="Arial"/>
              </w:rPr>
              <w:t>s</w:t>
            </w:r>
          </w:p>
        </w:tc>
      </w:tr>
      <w:tr w:rsidR="0054502C" w14:paraId="4FEB50CB" w14:textId="77777777" w:rsidTr="00704F81">
        <w:trPr>
          <w:trHeight w:val="2121"/>
        </w:trPr>
        <w:tc>
          <w:tcPr>
            <w:tcW w:w="7796" w:type="dxa"/>
          </w:tcPr>
          <w:p w14:paraId="5A005F9D" w14:textId="43FA40A0" w:rsidR="009B7A67" w:rsidRDefault="00704F81" w:rsidP="00184392">
            <w:pPr>
              <w:spacing w:before="120"/>
              <w:rPr>
                <w:rFonts w:ascii="Arial" w:hAnsi="Arial" w:cs="Arial"/>
              </w:rPr>
            </w:pPr>
            <w:proofErr w:type="gramStart"/>
            <w:r>
              <w:rPr>
                <w:rFonts w:ascii="Arial" w:hAnsi="Arial" w:cs="Arial"/>
              </w:rPr>
              <w:t>b</w:t>
            </w:r>
            <w:proofErr w:type="gramEnd"/>
            <w:r>
              <w:rPr>
                <w:rFonts w:ascii="Arial" w:hAnsi="Arial" w:cs="Arial"/>
              </w:rPr>
              <w:t xml:space="preserve">. ii  </w:t>
            </w:r>
            <w:r w:rsidR="009B7A67">
              <w:rPr>
                <w:rFonts w:ascii="Arial" w:hAnsi="Arial" w:cs="Arial"/>
              </w:rPr>
              <w:t>Between 2018-2020 when the AUD depreciates there is a corresponding increase in the trade balance. (reference to statistics)</w:t>
            </w:r>
          </w:p>
          <w:p w14:paraId="728E171C" w14:textId="77777777" w:rsidR="009B7A67" w:rsidRDefault="009B7A67" w:rsidP="00184392">
            <w:pPr>
              <w:spacing w:before="120"/>
              <w:rPr>
                <w:rFonts w:ascii="Arial" w:hAnsi="Arial" w:cs="Arial"/>
              </w:rPr>
            </w:pPr>
          </w:p>
          <w:p w14:paraId="4EB4C12F" w14:textId="5B610298" w:rsidR="007F4930" w:rsidRDefault="00704F81" w:rsidP="00184392">
            <w:pPr>
              <w:spacing w:before="120"/>
              <w:rPr>
                <w:rFonts w:ascii="Arial" w:hAnsi="Arial" w:cs="Arial"/>
              </w:rPr>
            </w:pPr>
            <w:r>
              <w:rPr>
                <w:rFonts w:ascii="Arial" w:hAnsi="Arial" w:cs="Arial"/>
              </w:rPr>
              <w:t xml:space="preserve">There is usually a negative relationship between the AUD and the trade balance. For example, as the AUD depreciates, the trade balance increases because exports become cheaper to foreign buyers while imports become more expensive. </w:t>
            </w:r>
          </w:p>
          <w:p w14:paraId="4D74F60C" w14:textId="04E60D49" w:rsidR="00704F81" w:rsidRPr="006873BD" w:rsidRDefault="00704F81" w:rsidP="00184392">
            <w:pPr>
              <w:spacing w:before="120"/>
              <w:rPr>
                <w:rFonts w:ascii="Arial" w:hAnsi="Arial" w:cs="Arial"/>
              </w:rPr>
            </w:pPr>
          </w:p>
        </w:tc>
        <w:tc>
          <w:tcPr>
            <w:tcW w:w="1560" w:type="dxa"/>
          </w:tcPr>
          <w:p w14:paraId="5F66D110" w14:textId="0C3FC1B4" w:rsidR="007F4930" w:rsidRDefault="009B7A67" w:rsidP="00A74B1B">
            <w:pPr>
              <w:spacing w:before="120"/>
              <w:rPr>
                <w:rFonts w:ascii="Arial" w:hAnsi="Arial" w:cs="Arial"/>
              </w:rPr>
            </w:pPr>
            <w:r>
              <w:rPr>
                <w:rFonts w:ascii="Arial" w:hAnsi="Arial" w:cs="Arial"/>
              </w:rPr>
              <w:t>1 mark</w:t>
            </w:r>
          </w:p>
          <w:p w14:paraId="22D59B8B" w14:textId="77777777" w:rsidR="009B7A67" w:rsidRDefault="009B7A67" w:rsidP="00A74B1B">
            <w:pPr>
              <w:spacing w:before="120"/>
              <w:rPr>
                <w:rFonts w:ascii="Arial" w:hAnsi="Arial" w:cs="Arial"/>
              </w:rPr>
            </w:pPr>
          </w:p>
          <w:p w14:paraId="501976F8" w14:textId="77777777" w:rsidR="009B7A67" w:rsidRDefault="009B7A67" w:rsidP="00A74B1B">
            <w:pPr>
              <w:spacing w:before="120"/>
              <w:rPr>
                <w:rFonts w:ascii="Arial" w:hAnsi="Arial" w:cs="Arial"/>
              </w:rPr>
            </w:pPr>
          </w:p>
          <w:p w14:paraId="700FF563" w14:textId="77777777" w:rsidR="009B7A67" w:rsidRDefault="009B7A67" w:rsidP="009B7A67">
            <w:pPr>
              <w:spacing w:before="120"/>
              <w:rPr>
                <w:rFonts w:ascii="Arial" w:hAnsi="Arial" w:cs="Arial"/>
              </w:rPr>
            </w:pPr>
            <w:r w:rsidRPr="006873BD">
              <w:rPr>
                <w:rFonts w:ascii="Arial" w:hAnsi="Arial" w:cs="Arial"/>
              </w:rPr>
              <w:t>1</w:t>
            </w:r>
            <w:r>
              <w:rPr>
                <w:rFonts w:ascii="Arial" w:hAnsi="Arial" w:cs="Arial"/>
              </w:rPr>
              <w:t>-2</w:t>
            </w:r>
            <w:r w:rsidRPr="006873BD">
              <w:rPr>
                <w:rFonts w:ascii="Arial" w:hAnsi="Arial" w:cs="Arial"/>
              </w:rPr>
              <w:t xml:space="preserve"> mark</w:t>
            </w:r>
            <w:r>
              <w:rPr>
                <w:rFonts w:ascii="Arial" w:hAnsi="Arial" w:cs="Arial"/>
              </w:rPr>
              <w:t>s</w:t>
            </w:r>
          </w:p>
          <w:p w14:paraId="1B100061" w14:textId="6597D127" w:rsidR="007F4930" w:rsidRPr="006873BD" w:rsidRDefault="007F4930" w:rsidP="00A74B1B">
            <w:pPr>
              <w:spacing w:before="120"/>
              <w:rPr>
                <w:rFonts w:ascii="Arial" w:hAnsi="Arial" w:cs="Arial"/>
              </w:rPr>
            </w:pPr>
          </w:p>
        </w:tc>
      </w:tr>
      <w:tr w:rsidR="0023122D" w14:paraId="0CB2EC83" w14:textId="77777777" w:rsidTr="0023122D">
        <w:trPr>
          <w:trHeight w:val="2822"/>
        </w:trPr>
        <w:tc>
          <w:tcPr>
            <w:tcW w:w="7796" w:type="dxa"/>
          </w:tcPr>
          <w:p w14:paraId="2551870A" w14:textId="77777777" w:rsidR="0023122D" w:rsidRDefault="00704F81" w:rsidP="00704F81">
            <w:pPr>
              <w:spacing w:before="120" w:after="120"/>
              <w:rPr>
                <w:rFonts w:ascii="Arial" w:hAnsi="Arial" w:cs="Arial"/>
              </w:rPr>
            </w:pPr>
            <w:r>
              <w:rPr>
                <w:rFonts w:ascii="Arial" w:hAnsi="Arial" w:cs="Arial"/>
              </w:rPr>
              <w:t>c</w:t>
            </w:r>
            <w:r w:rsidR="0023122D">
              <w:rPr>
                <w:rFonts w:ascii="Arial" w:hAnsi="Arial" w:cs="Arial"/>
              </w:rPr>
              <w:t xml:space="preserve">. </w:t>
            </w:r>
            <w:r>
              <w:rPr>
                <w:rFonts w:ascii="Arial" w:hAnsi="Arial" w:cs="Arial"/>
              </w:rPr>
              <w:t>No, the graph does not support a positive relationship between the commodity price index and the AUD – for example between 2018-2020</w:t>
            </w:r>
            <w:r w:rsidR="00AD5845">
              <w:rPr>
                <w:rFonts w:ascii="Arial" w:hAnsi="Arial" w:cs="Arial"/>
              </w:rPr>
              <w:t xml:space="preserve"> </w:t>
            </w:r>
            <w:r>
              <w:rPr>
                <w:rFonts w:ascii="Arial" w:hAnsi="Arial" w:cs="Arial"/>
              </w:rPr>
              <w:t>there is an increase in the commodity price index, but the A</w:t>
            </w:r>
            <w:r w:rsidR="00AD5845">
              <w:rPr>
                <w:rFonts w:ascii="Arial" w:hAnsi="Arial" w:cs="Arial"/>
              </w:rPr>
              <w:t>UD</w:t>
            </w:r>
            <w:r>
              <w:rPr>
                <w:rFonts w:ascii="Arial" w:hAnsi="Arial" w:cs="Arial"/>
              </w:rPr>
              <w:t xml:space="preserve"> depreciates. </w:t>
            </w:r>
          </w:p>
          <w:p w14:paraId="637140BE" w14:textId="0433DFBA" w:rsidR="00895090" w:rsidRDefault="00895090" w:rsidP="00704F81">
            <w:pPr>
              <w:spacing w:before="120" w:after="120"/>
              <w:rPr>
                <w:rFonts w:ascii="Arial" w:hAnsi="Arial" w:cs="Arial"/>
              </w:rPr>
            </w:pPr>
            <w:r>
              <w:rPr>
                <w:rFonts w:ascii="Arial" w:hAnsi="Arial" w:cs="Arial"/>
              </w:rPr>
              <w:t xml:space="preserve">The main reason is the AUD is dependent on the interest rate differential between Australia &amp; the US. During this period Australia’s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were falling relative to the US which reduced demand for AUD &amp; counteracted the effect of rising commodity prices.</w:t>
            </w:r>
          </w:p>
        </w:tc>
        <w:tc>
          <w:tcPr>
            <w:tcW w:w="1560" w:type="dxa"/>
          </w:tcPr>
          <w:p w14:paraId="375394C2" w14:textId="5FE2B6D9" w:rsidR="0023122D" w:rsidRDefault="0023122D" w:rsidP="00A74B1B">
            <w:pPr>
              <w:spacing w:before="120"/>
              <w:rPr>
                <w:rFonts w:ascii="Arial" w:hAnsi="Arial" w:cs="Arial"/>
              </w:rPr>
            </w:pPr>
            <w:r>
              <w:rPr>
                <w:rFonts w:ascii="Arial" w:hAnsi="Arial" w:cs="Arial"/>
              </w:rPr>
              <w:t>1 mark</w:t>
            </w:r>
          </w:p>
          <w:p w14:paraId="43DCFDFC" w14:textId="77777777" w:rsidR="0023122D" w:rsidRDefault="0023122D" w:rsidP="00A74B1B">
            <w:pPr>
              <w:spacing w:before="120"/>
              <w:rPr>
                <w:rFonts w:ascii="Arial" w:hAnsi="Arial" w:cs="Arial"/>
              </w:rPr>
            </w:pPr>
          </w:p>
          <w:p w14:paraId="6CFA9700" w14:textId="77777777" w:rsidR="0023122D" w:rsidRDefault="0023122D" w:rsidP="004E6BFF">
            <w:pPr>
              <w:rPr>
                <w:rFonts w:ascii="Arial" w:hAnsi="Arial" w:cs="Arial"/>
              </w:rPr>
            </w:pPr>
          </w:p>
          <w:p w14:paraId="4EB41A5C" w14:textId="77777777" w:rsidR="00895090" w:rsidRDefault="00895090" w:rsidP="0023122D">
            <w:pPr>
              <w:rPr>
                <w:rFonts w:ascii="Arial" w:hAnsi="Arial" w:cs="Arial"/>
              </w:rPr>
            </w:pPr>
          </w:p>
          <w:p w14:paraId="30A3C839" w14:textId="1308ABD1" w:rsidR="0023122D" w:rsidRDefault="0023122D" w:rsidP="0023122D">
            <w:pPr>
              <w:rPr>
                <w:rFonts w:ascii="Arial" w:hAnsi="Arial" w:cs="Arial"/>
              </w:rPr>
            </w:pPr>
            <w:r>
              <w:rPr>
                <w:rFonts w:ascii="Arial" w:hAnsi="Arial" w:cs="Arial"/>
              </w:rPr>
              <w:t>1</w:t>
            </w:r>
            <w:r w:rsidR="00895090">
              <w:rPr>
                <w:rFonts w:ascii="Arial" w:hAnsi="Arial" w:cs="Arial"/>
              </w:rPr>
              <w:t>-2</w:t>
            </w:r>
            <w:r>
              <w:rPr>
                <w:rFonts w:ascii="Arial" w:hAnsi="Arial" w:cs="Arial"/>
              </w:rPr>
              <w:t xml:space="preserve"> mark</w:t>
            </w:r>
            <w:r w:rsidR="00895090">
              <w:rPr>
                <w:rFonts w:ascii="Arial" w:hAnsi="Arial" w:cs="Arial"/>
              </w:rPr>
              <w:t>s</w:t>
            </w:r>
          </w:p>
          <w:p w14:paraId="0ACD9AA9" w14:textId="6CDA7007" w:rsidR="0023122D" w:rsidRPr="006873BD" w:rsidRDefault="0023122D" w:rsidP="004E6BFF">
            <w:pPr>
              <w:rPr>
                <w:rFonts w:ascii="Arial" w:hAnsi="Arial" w:cs="Arial"/>
              </w:rPr>
            </w:pP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proofErr w:type="gramStart"/>
      <w:r w:rsidR="007A4DCD">
        <w:rPr>
          <w:rFonts w:ascii="Arial" w:hAnsi="Arial" w:cs="Arial"/>
          <w:b/>
        </w:rPr>
        <w:t>27</w:t>
      </w:r>
      <w:r w:rsidR="004B1ACD">
        <w:rPr>
          <w:rFonts w:ascii="Arial" w:hAnsi="Arial" w:cs="Arial"/>
          <w:b/>
        </w:rPr>
        <w:t xml:space="preserve">  (</w:t>
      </w:r>
      <w:proofErr w:type="gramEnd"/>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895090">
        <w:trPr>
          <w:trHeight w:val="1375"/>
        </w:trPr>
        <w:tc>
          <w:tcPr>
            <w:tcW w:w="7654" w:type="dxa"/>
          </w:tcPr>
          <w:p w14:paraId="12A82069" w14:textId="4CF101CF" w:rsidR="00D10C13" w:rsidRDefault="00325270" w:rsidP="00D10C13">
            <w:pPr>
              <w:autoSpaceDE w:val="0"/>
              <w:autoSpaceDN w:val="0"/>
              <w:adjustRightInd w:val="0"/>
              <w:spacing w:before="120"/>
              <w:rPr>
                <w:rFonts w:ascii="Arial" w:hAnsi="Arial" w:cs="Arial"/>
              </w:rPr>
            </w:pPr>
            <w:r>
              <w:rPr>
                <w:rFonts w:ascii="Arial" w:hAnsi="Arial" w:cs="Arial"/>
              </w:rPr>
              <w:t xml:space="preserve">a. </w:t>
            </w:r>
            <w:proofErr w:type="spellStart"/>
            <w:r w:rsidR="00D10C13">
              <w:rPr>
                <w:rFonts w:ascii="Arial" w:hAnsi="Arial" w:cs="Arial"/>
              </w:rPr>
              <w:t>i</w:t>
            </w:r>
            <w:proofErr w:type="spellEnd"/>
            <w:r w:rsidR="00D10C13">
              <w:rPr>
                <w:rFonts w:ascii="Arial" w:hAnsi="Arial" w:cs="Arial"/>
              </w:rPr>
              <w:t xml:space="preserve">. </w:t>
            </w:r>
            <w:r w:rsidR="00895090">
              <w:rPr>
                <w:rFonts w:ascii="Arial" w:hAnsi="Arial" w:cs="Arial"/>
              </w:rPr>
              <w:t>0.25%</w:t>
            </w:r>
          </w:p>
          <w:p w14:paraId="45AEC2B9" w14:textId="6C92ABA4" w:rsidR="0039289E" w:rsidRDefault="0039289E" w:rsidP="00D10C13">
            <w:pPr>
              <w:autoSpaceDE w:val="0"/>
              <w:autoSpaceDN w:val="0"/>
              <w:adjustRightInd w:val="0"/>
              <w:spacing w:before="120"/>
              <w:rPr>
                <w:rFonts w:ascii="Arial" w:hAnsi="Arial" w:cs="Arial"/>
              </w:rPr>
            </w:pPr>
            <w:r>
              <w:rPr>
                <w:rFonts w:ascii="Arial" w:hAnsi="Arial" w:cs="Arial"/>
              </w:rPr>
              <w:t xml:space="preserve">ii. </w:t>
            </w:r>
            <w:r w:rsidR="00895090">
              <w:rPr>
                <w:rFonts w:ascii="Arial" w:hAnsi="Arial" w:cs="Arial"/>
              </w:rPr>
              <w:t>Full employment: 4.5%</w:t>
            </w:r>
          </w:p>
          <w:p w14:paraId="1AECE139" w14:textId="58956703" w:rsidR="00F60A1E" w:rsidRPr="00F60A1E" w:rsidRDefault="00895090" w:rsidP="00D90F39">
            <w:pPr>
              <w:autoSpaceDE w:val="0"/>
              <w:autoSpaceDN w:val="0"/>
              <w:adjustRightInd w:val="0"/>
              <w:spacing w:before="120"/>
              <w:rPr>
                <w:rFonts w:ascii="Arial" w:hAnsi="Arial" w:cs="Arial"/>
              </w:rPr>
            </w:pPr>
            <w:r>
              <w:rPr>
                <w:rFonts w:ascii="Arial" w:hAnsi="Arial" w:cs="Arial"/>
              </w:rPr>
              <w:t xml:space="preserve">    Inflation:  2 – 3%</w:t>
            </w: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35535E01" w14:textId="77777777" w:rsidR="00325270" w:rsidRDefault="00325270" w:rsidP="00895090">
            <w:pPr>
              <w:spacing w:before="120"/>
              <w:rPr>
                <w:rFonts w:ascii="Arial" w:hAnsi="Arial" w:cs="Arial"/>
              </w:rPr>
            </w:pPr>
            <w:r>
              <w:rPr>
                <w:rFonts w:ascii="Arial" w:hAnsi="Arial" w:cs="Arial"/>
              </w:rPr>
              <w:t>1 mark</w:t>
            </w:r>
          </w:p>
          <w:p w14:paraId="0C891137" w14:textId="153887A7" w:rsidR="005C195E" w:rsidRPr="00581A60" w:rsidRDefault="0039289E" w:rsidP="0039289E">
            <w:pPr>
              <w:spacing w:before="120"/>
              <w:rPr>
                <w:rFonts w:ascii="Arial" w:hAnsi="Arial" w:cs="Arial"/>
              </w:rPr>
            </w:pPr>
            <w:r>
              <w:rPr>
                <w:rFonts w:ascii="Arial" w:hAnsi="Arial" w:cs="Arial"/>
              </w:rPr>
              <w:t>1 mark</w:t>
            </w:r>
          </w:p>
        </w:tc>
      </w:tr>
      <w:tr w:rsidR="0038595C" w:rsidRPr="00581A60" w14:paraId="6D0E1C01" w14:textId="77777777" w:rsidTr="007B2952">
        <w:trPr>
          <w:trHeight w:val="2967"/>
        </w:trPr>
        <w:tc>
          <w:tcPr>
            <w:tcW w:w="7654" w:type="dxa"/>
          </w:tcPr>
          <w:p w14:paraId="0AB38A92" w14:textId="3132B525" w:rsidR="00D90F39" w:rsidRDefault="000B5880" w:rsidP="00895090">
            <w:pPr>
              <w:spacing w:before="120"/>
              <w:rPr>
                <w:rFonts w:ascii="Arial" w:hAnsi="Arial" w:cs="Arial"/>
              </w:rPr>
            </w:pPr>
            <w:r>
              <w:rPr>
                <w:rFonts w:ascii="Arial" w:hAnsi="Arial" w:cs="Arial"/>
              </w:rPr>
              <w:t xml:space="preserve">b. </w:t>
            </w:r>
            <w:r w:rsidR="00895090">
              <w:rPr>
                <w:rFonts w:ascii="Arial" w:hAnsi="Arial" w:cs="Arial"/>
              </w:rPr>
              <w:t xml:space="preserve">A </w:t>
            </w:r>
            <w:r w:rsidR="007B2952">
              <w:rPr>
                <w:rFonts w:ascii="Arial" w:hAnsi="Arial" w:cs="Arial"/>
              </w:rPr>
              <w:t>decrease in real GDP</w:t>
            </w:r>
            <w:r w:rsidR="00CC1BA7">
              <w:rPr>
                <w:rFonts w:ascii="Arial" w:hAnsi="Arial" w:cs="Arial"/>
              </w:rPr>
              <w:t xml:space="preserve"> </w:t>
            </w:r>
            <w:r w:rsidR="007B2952">
              <w:rPr>
                <w:rFonts w:ascii="Arial" w:hAnsi="Arial" w:cs="Arial"/>
              </w:rPr>
              <w:t xml:space="preserve">for two successive </w:t>
            </w:r>
            <w:proofErr w:type="spellStart"/>
            <w:r w:rsidR="007B2952">
              <w:rPr>
                <w:rFonts w:ascii="Arial" w:hAnsi="Arial" w:cs="Arial"/>
              </w:rPr>
              <w:t>qrts</w:t>
            </w:r>
            <w:proofErr w:type="spellEnd"/>
            <w:r w:rsidR="007B2952">
              <w:rPr>
                <w:rFonts w:ascii="Arial" w:hAnsi="Arial" w:cs="Arial"/>
              </w:rPr>
              <w:t xml:space="preserve"> (or two successive negative </w:t>
            </w:r>
            <w:proofErr w:type="spellStart"/>
            <w:r w:rsidR="007B2952">
              <w:rPr>
                <w:rFonts w:ascii="Arial" w:hAnsi="Arial" w:cs="Arial"/>
              </w:rPr>
              <w:t>qrts</w:t>
            </w:r>
            <w:proofErr w:type="spellEnd"/>
            <w:r w:rsidR="007B2952">
              <w:rPr>
                <w:rFonts w:ascii="Arial" w:hAnsi="Arial" w:cs="Arial"/>
              </w:rPr>
              <w:t xml:space="preserve"> of real GDP growth)</w:t>
            </w:r>
          </w:p>
          <w:p w14:paraId="65952BB0" w14:textId="30244332" w:rsidR="00895090" w:rsidRDefault="00895090" w:rsidP="00895090">
            <w:pPr>
              <w:spacing w:before="120"/>
              <w:rPr>
                <w:rFonts w:ascii="Arial" w:hAnsi="Arial" w:cs="Arial"/>
              </w:rPr>
            </w:pPr>
            <w:r>
              <w:rPr>
                <w:rFonts w:ascii="Arial" w:hAnsi="Arial" w:cs="Arial"/>
              </w:rPr>
              <w:t>A fall in the inflation rate</w:t>
            </w:r>
            <w:r w:rsidR="00CC1BA7">
              <w:rPr>
                <w:rFonts w:ascii="Arial" w:hAnsi="Arial" w:cs="Arial"/>
              </w:rPr>
              <w:t xml:space="preserve"> reflecting decrease in demand &amp; spending across the economy</w:t>
            </w:r>
            <w:r w:rsidR="007B2952">
              <w:rPr>
                <w:rFonts w:ascii="Arial" w:hAnsi="Arial" w:cs="Arial"/>
              </w:rPr>
              <w:t xml:space="preserve"> the March </w:t>
            </w:r>
            <w:proofErr w:type="spellStart"/>
            <w:r w:rsidR="007B2952">
              <w:rPr>
                <w:rFonts w:ascii="Arial" w:hAnsi="Arial" w:cs="Arial"/>
              </w:rPr>
              <w:t>qrt</w:t>
            </w:r>
            <w:proofErr w:type="spellEnd"/>
            <w:r w:rsidR="007B2952">
              <w:rPr>
                <w:rFonts w:ascii="Arial" w:hAnsi="Arial" w:cs="Arial"/>
              </w:rPr>
              <w:t xml:space="preserve"> inflation rate was actually negative</w:t>
            </w:r>
            <w:r w:rsidR="00CC1BA7">
              <w:rPr>
                <w:rFonts w:ascii="Arial" w:hAnsi="Arial" w:cs="Arial"/>
              </w:rPr>
              <w:t xml:space="preserve"> </w:t>
            </w:r>
          </w:p>
          <w:p w14:paraId="6F1D53EA" w14:textId="04DB3687" w:rsidR="00895090" w:rsidRDefault="00895090" w:rsidP="00895090">
            <w:pPr>
              <w:spacing w:before="120"/>
              <w:rPr>
                <w:rFonts w:ascii="Arial" w:hAnsi="Arial" w:cs="Arial"/>
              </w:rPr>
            </w:pPr>
            <w:r>
              <w:rPr>
                <w:rFonts w:ascii="Arial" w:hAnsi="Arial" w:cs="Arial"/>
              </w:rPr>
              <w:t>3</w:t>
            </w:r>
            <w:r w:rsidRPr="00895090">
              <w:rPr>
                <w:rFonts w:ascii="Arial" w:hAnsi="Arial" w:cs="Arial"/>
                <w:vertAlign w:val="superscript"/>
              </w:rPr>
              <w:t>rd</w:t>
            </w:r>
            <w:r>
              <w:rPr>
                <w:rFonts w:ascii="Arial" w:hAnsi="Arial" w:cs="Arial"/>
              </w:rPr>
              <w:t xml:space="preserve"> indicator:  </w:t>
            </w:r>
            <w:r w:rsidR="00CC1BA7">
              <w:rPr>
                <w:rFonts w:ascii="Arial" w:hAnsi="Arial" w:cs="Arial"/>
              </w:rPr>
              <w:t xml:space="preserve">a </w:t>
            </w:r>
            <w:r w:rsidR="007B2952">
              <w:rPr>
                <w:rFonts w:ascii="Arial" w:hAnsi="Arial" w:cs="Arial"/>
              </w:rPr>
              <w:t>decrease</w:t>
            </w:r>
            <w:r w:rsidR="00CC1BA7">
              <w:rPr>
                <w:rFonts w:ascii="Arial" w:hAnsi="Arial" w:cs="Arial"/>
              </w:rPr>
              <w:t xml:space="preserve"> in household consumption </w:t>
            </w:r>
            <w:r w:rsidR="007B2952">
              <w:rPr>
                <w:rFonts w:ascii="Arial" w:hAnsi="Arial" w:cs="Arial"/>
              </w:rPr>
              <w:t xml:space="preserve">(negative growth in C) </w:t>
            </w:r>
            <w:r w:rsidR="00CC1BA7">
              <w:rPr>
                <w:rFonts w:ascii="Arial" w:hAnsi="Arial" w:cs="Arial"/>
              </w:rPr>
              <w:t>would be a clear sign of a deep recession (reflected in falls in retail sales &amp; new car registrations)</w:t>
            </w:r>
            <w:r w:rsidR="007B2952">
              <w:rPr>
                <w:rFonts w:ascii="Arial" w:hAnsi="Arial" w:cs="Arial"/>
              </w:rPr>
              <w:t xml:space="preserve"> given that C rarely falls</w:t>
            </w:r>
            <w:r w:rsidR="00CC1BA7">
              <w:rPr>
                <w:rFonts w:ascii="Arial" w:hAnsi="Arial" w:cs="Arial"/>
              </w:rPr>
              <w:t xml:space="preserve">; a decline in investment on its own is </w:t>
            </w:r>
            <w:r w:rsidR="007B2952">
              <w:rPr>
                <w:rFonts w:ascii="Arial" w:hAnsi="Arial" w:cs="Arial"/>
              </w:rPr>
              <w:t xml:space="preserve">probably </w:t>
            </w:r>
            <w:r w:rsidR="00CC1BA7">
              <w:rPr>
                <w:rFonts w:ascii="Arial" w:hAnsi="Arial" w:cs="Arial"/>
              </w:rPr>
              <w:t xml:space="preserve">not </w:t>
            </w:r>
            <w:r w:rsidR="007B2952">
              <w:rPr>
                <w:rFonts w:ascii="Arial" w:hAnsi="Arial" w:cs="Arial"/>
              </w:rPr>
              <w:t>sufficient to be an</w:t>
            </w:r>
            <w:r w:rsidR="00CC1BA7">
              <w:rPr>
                <w:rFonts w:ascii="Arial" w:hAnsi="Arial" w:cs="Arial"/>
              </w:rPr>
              <w:t xml:space="preserve"> indicator of a recession</w:t>
            </w:r>
          </w:p>
        </w:tc>
        <w:tc>
          <w:tcPr>
            <w:tcW w:w="1560" w:type="dxa"/>
          </w:tcPr>
          <w:p w14:paraId="35BFDAD9" w14:textId="5E4B5799" w:rsidR="000B5880" w:rsidRDefault="000B5880" w:rsidP="00FE7C09">
            <w:pPr>
              <w:spacing w:before="120"/>
              <w:rPr>
                <w:rFonts w:ascii="Arial" w:hAnsi="Arial" w:cs="Arial"/>
              </w:rPr>
            </w:pPr>
            <w:r>
              <w:rPr>
                <w:rFonts w:ascii="Arial" w:hAnsi="Arial" w:cs="Arial"/>
              </w:rPr>
              <w:t>1 mark</w:t>
            </w:r>
          </w:p>
          <w:p w14:paraId="65159262" w14:textId="77777777" w:rsidR="00CC1BA7" w:rsidRDefault="00CC1BA7" w:rsidP="00FE7C09">
            <w:pPr>
              <w:spacing w:before="120"/>
              <w:rPr>
                <w:rFonts w:ascii="Arial" w:hAnsi="Arial" w:cs="Arial"/>
              </w:rPr>
            </w:pPr>
          </w:p>
          <w:p w14:paraId="31A3726B" w14:textId="275AE525" w:rsidR="004422E7" w:rsidRDefault="008423BA" w:rsidP="00CC1BA7">
            <w:pPr>
              <w:rPr>
                <w:rFonts w:ascii="Arial" w:hAnsi="Arial" w:cs="Arial"/>
              </w:rPr>
            </w:pPr>
            <w:r>
              <w:rPr>
                <w:rFonts w:ascii="Arial" w:hAnsi="Arial" w:cs="Arial"/>
              </w:rPr>
              <w:t>1</w:t>
            </w:r>
            <w:r w:rsidR="000B5880">
              <w:rPr>
                <w:rFonts w:ascii="Arial" w:hAnsi="Arial" w:cs="Arial"/>
              </w:rPr>
              <w:t xml:space="preserve"> mark</w:t>
            </w:r>
          </w:p>
          <w:p w14:paraId="45253117" w14:textId="77777777" w:rsidR="00CC1BA7" w:rsidRDefault="00CC1BA7" w:rsidP="00FE7C09">
            <w:pPr>
              <w:spacing w:before="120"/>
              <w:rPr>
                <w:rFonts w:ascii="Arial" w:hAnsi="Arial" w:cs="Arial"/>
              </w:rPr>
            </w:pPr>
          </w:p>
          <w:p w14:paraId="532928C6" w14:textId="079DA08F" w:rsidR="00D90F39" w:rsidRDefault="00D90F39" w:rsidP="00FE7C09">
            <w:pPr>
              <w:spacing w:before="120"/>
              <w:rPr>
                <w:rFonts w:ascii="Arial" w:hAnsi="Arial" w:cs="Arial"/>
              </w:rPr>
            </w:pPr>
            <w:r>
              <w:rPr>
                <w:rFonts w:ascii="Arial" w:hAnsi="Arial" w:cs="Arial"/>
              </w:rPr>
              <w:t>1 mark</w:t>
            </w:r>
          </w:p>
        </w:tc>
      </w:tr>
      <w:tr w:rsidR="0038595C" w:rsidRPr="00581A60" w14:paraId="0595840E" w14:textId="77777777" w:rsidTr="00D24104">
        <w:trPr>
          <w:trHeight w:val="4525"/>
        </w:trPr>
        <w:tc>
          <w:tcPr>
            <w:tcW w:w="7654" w:type="dxa"/>
          </w:tcPr>
          <w:p w14:paraId="5B8AC020" w14:textId="4AB32B97" w:rsidR="00CC1BA7" w:rsidRDefault="008423BA" w:rsidP="00CC1BA7">
            <w:pPr>
              <w:spacing w:before="120"/>
              <w:rPr>
                <w:rFonts w:ascii="Arial" w:hAnsi="Arial" w:cs="Arial"/>
              </w:rPr>
            </w:pPr>
            <w:r>
              <w:rPr>
                <w:rFonts w:ascii="Arial" w:hAnsi="Arial" w:cs="Arial"/>
              </w:rPr>
              <w:t>c</w:t>
            </w:r>
            <w:r w:rsidR="002434D1">
              <w:rPr>
                <w:rFonts w:ascii="Arial" w:hAnsi="Arial" w:cs="Arial"/>
              </w:rPr>
              <w:t xml:space="preserve">.  </w:t>
            </w:r>
            <w:r w:rsidR="00CC1BA7">
              <w:rPr>
                <w:rFonts w:ascii="Arial" w:hAnsi="Arial" w:cs="Arial"/>
              </w:rPr>
              <w:t>FOUR channels:</w:t>
            </w:r>
          </w:p>
          <w:p w14:paraId="569C0C48" w14:textId="0810DFF2" w:rsidR="00CC1BA7" w:rsidRDefault="00CC1BA7" w:rsidP="00CC1BA7">
            <w:pPr>
              <w:spacing w:before="120"/>
              <w:rPr>
                <w:rFonts w:ascii="Arial" w:hAnsi="Arial" w:cs="Arial"/>
              </w:rPr>
            </w:pPr>
            <w:r>
              <w:rPr>
                <w:rFonts w:ascii="Arial" w:hAnsi="Arial" w:cs="Arial"/>
              </w:rPr>
              <w:t xml:space="preserve">1) Cost of borrowing – </w:t>
            </w:r>
            <w:r w:rsidR="00D66E69">
              <w:rPr>
                <w:rFonts w:ascii="Arial" w:hAnsi="Arial" w:cs="Arial"/>
              </w:rPr>
              <w:t>a cut in</w:t>
            </w:r>
            <w:r>
              <w:rPr>
                <w:rFonts w:ascii="Arial" w:hAnsi="Arial" w:cs="Arial"/>
              </w:rPr>
              <w:t xml:space="preserve">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reduce the cost of finance encouraging more people to borrow and spend</w:t>
            </w:r>
          </w:p>
          <w:p w14:paraId="3757D245" w14:textId="51BB005C" w:rsidR="00CC1BA7" w:rsidRDefault="00CC1BA7" w:rsidP="00CC1BA7">
            <w:pPr>
              <w:spacing w:before="120"/>
              <w:rPr>
                <w:rFonts w:ascii="Arial" w:hAnsi="Arial" w:cs="Arial"/>
              </w:rPr>
            </w:pPr>
            <w:r>
              <w:rPr>
                <w:rFonts w:ascii="Arial" w:hAnsi="Arial" w:cs="Arial"/>
              </w:rPr>
              <w:t xml:space="preserve">2) Cash flow – </w:t>
            </w:r>
            <w:r w:rsidR="00D66E69">
              <w:rPr>
                <w:rFonts w:ascii="Arial" w:hAnsi="Arial" w:cs="Arial"/>
              </w:rPr>
              <w:t xml:space="preserve">a cut in </w:t>
            </w:r>
            <w:proofErr w:type="spellStart"/>
            <w:r>
              <w:rPr>
                <w:rFonts w:ascii="Arial" w:hAnsi="Arial" w:cs="Arial"/>
              </w:rPr>
              <w:t>i</w:t>
            </w:r>
            <w:proofErr w:type="spellEnd"/>
            <w:r w:rsidR="00D66E69">
              <w:rPr>
                <w:rFonts w:ascii="Arial" w:hAnsi="Arial" w:cs="Arial"/>
              </w:rPr>
              <w:t>/</w:t>
            </w:r>
            <w:proofErr w:type="spellStart"/>
            <w:r w:rsidR="00D66E69">
              <w:rPr>
                <w:rFonts w:ascii="Arial" w:hAnsi="Arial" w:cs="Arial"/>
              </w:rPr>
              <w:t>rs</w:t>
            </w:r>
            <w:proofErr w:type="spellEnd"/>
            <w:r w:rsidR="00D66E69">
              <w:rPr>
                <w:rFonts w:ascii="Arial" w:hAnsi="Arial" w:cs="Arial"/>
              </w:rPr>
              <w:t xml:space="preserve"> reduce repayments on existing loans giving borrowers more cash flow to spend</w:t>
            </w:r>
          </w:p>
          <w:p w14:paraId="7B3083EF" w14:textId="632CD823" w:rsidR="00D66E69" w:rsidRDefault="00D66E69" w:rsidP="00CC1BA7">
            <w:pPr>
              <w:spacing w:before="120"/>
              <w:rPr>
                <w:rFonts w:ascii="Arial" w:hAnsi="Arial" w:cs="Arial"/>
              </w:rPr>
            </w:pPr>
            <w:r>
              <w:rPr>
                <w:rFonts w:ascii="Arial" w:hAnsi="Arial" w:cs="Arial"/>
              </w:rPr>
              <w:t xml:space="preserve">3) Asset prices – a cut in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will increase asset prices such as property &amp; shares which increases household wealth &amp; stimulates spending</w:t>
            </w:r>
          </w:p>
          <w:p w14:paraId="4A6C937A" w14:textId="168390FE" w:rsidR="00D66E69" w:rsidRDefault="00D66E69" w:rsidP="00CC1BA7">
            <w:pPr>
              <w:spacing w:before="120"/>
              <w:rPr>
                <w:rFonts w:ascii="Arial" w:hAnsi="Arial" w:cs="Arial"/>
              </w:rPr>
            </w:pPr>
            <w:r>
              <w:rPr>
                <w:rFonts w:ascii="Arial" w:hAnsi="Arial" w:cs="Arial"/>
              </w:rPr>
              <w:t xml:space="preserve">4) Exchange rate – a cut in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will depreciate the AUD increasing net exports</w:t>
            </w:r>
          </w:p>
          <w:p w14:paraId="505E2D86" w14:textId="76639839" w:rsidR="00D66E69" w:rsidRDefault="00D66E69" w:rsidP="00CC1BA7">
            <w:pPr>
              <w:spacing w:before="120"/>
              <w:rPr>
                <w:rFonts w:ascii="Arial" w:hAnsi="Arial" w:cs="Arial"/>
              </w:rPr>
            </w:pPr>
            <w:r>
              <w:rPr>
                <w:rFonts w:ascii="Arial" w:hAnsi="Arial" w:cs="Arial"/>
              </w:rPr>
              <w:t>Channels (1) &amp; (3) will not be very effective in a recession but channels (2) &amp; (4) will. Cash flow will increase &amp; the AUD will depreciate helping to increase spending.</w:t>
            </w:r>
          </w:p>
          <w:p w14:paraId="37DC9ECB" w14:textId="3AE69950" w:rsidR="000318BC" w:rsidRDefault="000318BC" w:rsidP="000318BC">
            <w:pPr>
              <w:spacing w:before="120"/>
              <w:rPr>
                <w:rFonts w:ascii="Arial" w:hAnsi="Arial" w:cs="Arial"/>
              </w:rPr>
            </w:pPr>
          </w:p>
        </w:tc>
        <w:tc>
          <w:tcPr>
            <w:tcW w:w="1560" w:type="dxa"/>
          </w:tcPr>
          <w:p w14:paraId="15641AD8" w14:textId="77777777" w:rsidR="00D66E69" w:rsidRDefault="00D66E69" w:rsidP="00F60A1E">
            <w:pPr>
              <w:spacing w:before="120"/>
              <w:rPr>
                <w:rFonts w:ascii="Arial" w:hAnsi="Arial" w:cs="Arial"/>
              </w:rPr>
            </w:pPr>
          </w:p>
          <w:p w14:paraId="57662751" w14:textId="3C3D43F0" w:rsidR="007A4DCD" w:rsidRDefault="007A4DCD" w:rsidP="00F60A1E">
            <w:pPr>
              <w:spacing w:before="120"/>
              <w:rPr>
                <w:rFonts w:ascii="Arial" w:hAnsi="Arial" w:cs="Arial"/>
              </w:rPr>
            </w:pPr>
            <w:r>
              <w:rPr>
                <w:rFonts w:ascii="Arial" w:hAnsi="Arial" w:cs="Arial"/>
              </w:rPr>
              <w:t>1 mar</w:t>
            </w:r>
            <w:r w:rsidR="005B085F">
              <w:rPr>
                <w:rFonts w:ascii="Arial" w:hAnsi="Arial" w:cs="Arial"/>
              </w:rPr>
              <w:t>k</w:t>
            </w:r>
          </w:p>
          <w:p w14:paraId="30DBC586" w14:textId="77777777" w:rsidR="00E058AD" w:rsidRDefault="00E058AD" w:rsidP="00F60A1E">
            <w:pPr>
              <w:spacing w:before="120"/>
              <w:rPr>
                <w:rFonts w:ascii="Arial" w:hAnsi="Arial" w:cs="Arial"/>
              </w:rPr>
            </w:pPr>
          </w:p>
          <w:p w14:paraId="3FB42068" w14:textId="77777777" w:rsidR="00D24104" w:rsidRDefault="00D24104" w:rsidP="00D66E69">
            <w:pPr>
              <w:rPr>
                <w:rFonts w:ascii="Arial" w:hAnsi="Arial" w:cs="Arial"/>
              </w:rPr>
            </w:pPr>
            <w:r>
              <w:rPr>
                <w:rFonts w:ascii="Arial" w:hAnsi="Arial" w:cs="Arial"/>
              </w:rPr>
              <w:t>1 mark</w:t>
            </w:r>
          </w:p>
          <w:p w14:paraId="75FAD98B" w14:textId="77777777" w:rsidR="00F7199B" w:rsidRDefault="00F7199B" w:rsidP="00E058AD">
            <w:pPr>
              <w:rPr>
                <w:rFonts w:ascii="Arial" w:hAnsi="Arial" w:cs="Arial"/>
              </w:rPr>
            </w:pPr>
          </w:p>
          <w:p w14:paraId="1FB8472F" w14:textId="0DB5580E" w:rsidR="00113BD9" w:rsidRDefault="00113BD9" w:rsidP="00D66E69">
            <w:pPr>
              <w:spacing w:before="120"/>
              <w:rPr>
                <w:rFonts w:ascii="Arial" w:hAnsi="Arial" w:cs="Arial"/>
              </w:rPr>
            </w:pPr>
            <w:r>
              <w:rPr>
                <w:rFonts w:ascii="Arial" w:hAnsi="Arial" w:cs="Arial"/>
              </w:rPr>
              <w:t>1</w:t>
            </w:r>
            <w:r w:rsidR="000318BC">
              <w:rPr>
                <w:rFonts w:ascii="Arial" w:hAnsi="Arial" w:cs="Arial"/>
              </w:rPr>
              <w:t xml:space="preserve"> mark</w:t>
            </w:r>
            <w:r>
              <w:rPr>
                <w:rFonts w:ascii="Arial" w:hAnsi="Arial" w:cs="Arial"/>
              </w:rPr>
              <w:t xml:space="preserve"> </w:t>
            </w:r>
          </w:p>
          <w:p w14:paraId="4C1C4B7F" w14:textId="77777777" w:rsidR="00D66E69" w:rsidRDefault="00D66E69" w:rsidP="008654D6">
            <w:pPr>
              <w:spacing w:before="120"/>
              <w:rPr>
                <w:rFonts w:ascii="Arial" w:hAnsi="Arial" w:cs="Arial"/>
              </w:rPr>
            </w:pPr>
          </w:p>
          <w:p w14:paraId="4E4F6B22" w14:textId="77777777" w:rsidR="00D66E69" w:rsidRDefault="00D66E69" w:rsidP="00D66E69">
            <w:pPr>
              <w:rPr>
                <w:rFonts w:ascii="Arial" w:hAnsi="Arial" w:cs="Arial"/>
              </w:rPr>
            </w:pPr>
          </w:p>
          <w:p w14:paraId="4589984E" w14:textId="71E562D6" w:rsidR="008654D6" w:rsidRDefault="008654D6" w:rsidP="00D66E69">
            <w:pPr>
              <w:rPr>
                <w:rFonts w:ascii="Arial" w:hAnsi="Arial" w:cs="Arial"/>
              </w:rPr>
            </w:pPr>
            <w:r>
              <w:rPr>
                <w:rFonts w:ascii="Arial" w:hAnsi="Arial" w:cs="Arial"/>
              </w:rPr>
              <w:t>1 mark</w:t>
            </w:r>
          </w:p>
          <w:p w14:paraId="2EDC5CF5" w14:textId="77777777" w:rsidR="008654D6" w:rsidRDefault="008654D6" w:rsidP="008654D6">
            <w:pPr>
              <w:spacing w:before="120"/>
              <w:rPr>
                <w:rFonts w:ascii="Arial" w:hAnsi="Arial" w:cs="Arial"/>
              </w:rPr>
            </w:pPr>
          </w:p>
          <w:p w14:paraId="41D5453A" w14:textId="774AD2F5" w:rsidR="008654D6" w:rsidRDefault="008654D6" w:rsidP="008654D6">
            <w:pPr>
              <w:spacing w:before="120"/>
              <w:rPr>
                <w:rFonts w:ascii="Arial" w:hAnsi="Arial" w:cs="Arial"/>
              </w:rPr>
            </w:pPr>
            <w:r>
              <w:rPr>
                <w:rFonts w:ascii="Arial" w:hAnsi="Arial" w:cs="Arial"/>
              </w:rPr>
              <w:t xml:space="preserve">1-2 marks  </w:t>
            </w:r>
          </w:p>
          <w:p w14:paraId="25C4AFB5" w14:textId="09EA89C5" w:rsidR="00405770" w:rsidRDefault="00405770" w:rsidP="00E058AD">
            <w:pPr>
              <w:spacing w:before="120"/>
              <w:rPr>
                <w:rFonts w:ascii="Arial" w:hAnsi="Arial" w:cs="Arial"/>
              </w:rPr>
            </w:pP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0699DABC" w14:textId="0B9082D0" w:rsidR="00D22667" w:rsidRPr="00C6297E" w:rsidRDefault="00D22667" w:rsidP="00775C87">
      <w:pPr>
        <w:ind w:left="426" w:hanging="426"/>
        <w:rPr>
          <w:rFonts w:ascii="Arial" w:hAnsi="Arial" w:cs="Arial"/>
          <w:b/>
        </w:rPr>
      </w:pPr>
      <w:r w:rsidRPr="00C6297E">
        <w:rPr>
          <w:rFonts w:ascii="Arial" w:hAnsi="Arial" w:cs="Arial"/>
          <w:b/>
        </w:rPr>
        <w:lastRenderedPageBreak/>
        <w:t xml:space="preserve">Section </w:t>
      </w:r>
      <w:proofErr w:type="gramStart"/>
      <w:r w:rsidRPr="00C6297E">
        <w:rPr>
          <w:rFonts w:ascii="Arial" w:hAnsi="Arial" w:cs="Arial"/>
          <w:b/>
        </w:rPr>
        <w:t>3</w:t>
      </w:r>
      <w:r w:rsidR="006E05AD" w:rsidRPr="00C6297E">
        <w:rPr>
          <w:rFonts w:ascii="Arial" w:hAnsi="Arial" w:cs="Arial"/>
          <w:b/>
        </w:rPr>
        <w:t xml:space="preserve">  (</w:t>
      </w:r>
      <w:proofErr w:type="gramEnd"/>
      <w:r w:rsidR="006E05AD" w:rsidRPr="00C6297E">
        <w:rPr>
          <w:rFonts w:ascii="Arial" w:hAnsi="Arial" w:cs="Arial"/>
          <w:b/>
        </w:rPr>
        <w:t>40 marks)</w:t>
      </w:r>
    </w:p>
    <w:p w14:paraId="57691C09" w14:textId="77777777" w:rsidR="00D22667" w:rsidRPr="00C6297E" w:rsidRDefault="00D22667" w:rsidP="00775C87">
      <w:pPr>
        <w:ind w:left="426" w:hanging="426"/>
        <w:rPr>
          <w:rFonts w:ascii="Arial" w:hAnsi="Arial" w:cs="Arial"/>
          <w:b/>
        </w:rPr>
      </w:pPr>
    </w:p>
    <w:p w14:paraId="61C4388E" w14:textId="77777777" w:rsidR="000C1BBD" w:rsidRPr="00C6297E" w:rsidRDefault="000C1BBD" w:rsidP="002B09D2">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60C6DD91" w14:textId="77777777" w:rsidR="00383FB6" w:rsidRDefault="00383FB6" w:rsidP="00383FB6">
      <w:pPr>
        <w:tabs>
          <w:tab w:val="left" w:pos="8364"/>
        </w:tabs>
        <w:autoSpaceDE w:val="0"/>
        <w:autoSpaceDN w:val="0"/>
        <w:adjustRightInd w:val="0"/>
        <w:ind w:left="567" w:hanging="567"/>
        <w:rPr>
          <w:rFonts w:ascii="Arial" w:hAnsi="Arial" w:cs="Arial"/>
          <w:sz w:val="22"/>
          <w:szCs w:val="22"/>
          <w:lang w:val="en-US" w:eastAsia="ja-JP"/>
        </w:rPr>
      </w:pPr>
    </w:p>
    <w:p w14:paraId="0E14406C" w14:textId="22971679" w:rsidR="00D66E69" w:rsidRDefault="00D66E69" w:rsidP="00D66E69">
      <w:pPr>
        <w:tabs>
          <w:tab w:val="left" w:pos="567"/>
          <w:tab w:val="right" w:pos="9498"/>
        </w:tabs>
        <w:rPr>
          <w:rFonts w:ascii="Arial" w:hAnsi="Arial" w:cs="Arial"/>
          <w:bCs/>
          <w:sz w:val="22"/>
          <w:szCs w:val="22"/>
        </w:rPr>
      </w:pPr>
      <w:r>
        <w:rPr>
          <w:rFonts w:ascii="Arial" w:hAnsi="Arial" w:cs="Arial"/>
          <w:bCs/>
          <w:sz w:val="22"/>
          <w:szCs w:val="22"/>
        </w:rPr>
        <w:t>(a)</w:t>
      </w:r>
      <w:r>
        <w:rPr>
          <w:rFonts w:ascii="Arial" w:hAnsi="Arial" w:cs="Arial"/>
          <w:bCs/>
          <w:sz w:val="22"/>
          <w:szCs w:val="22"/>
        </w:rPr>
        <w:tab/>
        <w:t>Explain the cyclical and structural factors that have led to this outcome.    (1</w:t>
      </w:r>
      <w:r w:rsidR="001A7DEE">
        <w:rPr>
          <w:rFonts w:ascii="Arial" w:hAnsi="Arial" w:cs="Arial"/>
          <w:bCs/>
          <w:sz w:val="22"/>
          <w:szCs w:val="22"/>
        </w:rPr>
        <w:t>2</w:t>
      </w:r>
      <w:r>
        <w:rPr>
          <w:rFonts w:ascii="Arial" w:hAnsi="Arial" w:cs="Arial"/>
          <w:bCs/>
          <w:sz w:val="22"/>
          <w:szCs w:val="22"/>
        </w:rPr>
        <w:t xml:space="preserve"> marks)</w:t>
      </w:r>
    </w:p>
    <w:p w14:paraId="7FA32E6C" w14:textId="53539EFA" w:rsidR="00D66E69" w:rsidRDefault="00D66E69" w:rsidP="00D66E69">
      <w:pPr>
        <w:tabs>
          <w:tab w:val="left" w:pos="567"/>
          <w:tab w:val="right" w:pos="9498"/>
        </w:tabs>
        <w:ind w:left="567" w:hanging="567"/>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Discuss the significance of a sustained current account surplus for the Australian economy. </w:t>
      </w:r>
      <w:r>
        <w:rPr>
          <w:rFonts w:ascii="Arial" w:hAnsi="Arial" w:cs="Arial"/>
          <w:bCs/>
          <w:sz w:val="22"/>
          <w:szCs w:val="22"/>
        </w:rPr>
        <w:tab/>
        <w:t xml:space="preserve"> </w:t>
      </w:r>
      <w:r w:rsidR="007569DB">
        <w:rPr>
          <w:rFonts w:ascii="Arial" w:hAnsi="Arial" w:cs="Arial"/>
          <w:bCs/>
          <w:sz w:val="22"/>
          <w:szCs w:val="22"/>
        </w:rPr>
        <w:t xml:space="preserve">  </w:t>
      </w:r>
      <w:r>
        <w:rPr>
          <w:rFonts w:ascii="Arial" w:hAnsi="Arial" w:cs="Arial"/>
          <w:bCs/>
          <w:sz w:val="22"/>
          <w:szCs w:val="22"/>
        </w:rPr>
        <w:t>(</w:t>
      </w:r>
      <w:r w:rsidR="001A7DEE">
        <w:rPr>
          <w:rFonts w:ascii="Arial" w:hAnsi="Arial" w:cs="Arial"/>
          <w:bCs/>
          <w:sz w:val="22"/>
          <w:szCs w:val="22"/>
        </w:rPr>
        <w:t>8</w:t>
      </w:r>
      <w:r>
        <w:rPr>
          <w:rFonts w:ascii="Arial" w:hAnsi="Arial" w:cs="Arial"/>
          <w:bCs/>
          <w:sz w:val="22"/>
          <w:szCs w:val="22"/>
        </w:rPr>
        <w:t xml:space="preserve">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701"/>
      </w:tblGrid>
      <w:tr w:rsidR="00CB7E36" w14:paraId="74968E8A" w14:textId="77777777" w:rsidTr="00B3600E">
        <w:trPr>
          <w:trHeight w:val="6659"/>
        </w:trPr>
        <w:tc>
          <w:tcPr>
            <w:tcW w:w="7796" w:type="dxa"/>
          </w:tcPr>
          <w:p w14:paraId="183BB3E2" w14:textId="65AA3A3F" w:rsidR="00287336" w:rsidRDefault="004F57B1" w:rsidP="008654D6">
            <w:pPr>
              <w:spacing w:before="120"/>
              <w:rPr>
                <w:rFonts w:ascii="Arial" w:hAnsi="Arial" w:cs="Arial"/>
                <w:sz w:val="22"/>
                <w:szCs w:val="22"/>
              </w:rPr>
            </w:pPr>
            <w:r w:rsidRPr="00073F27">
              <w:rPr>
                <w:rFonts w:ascii="Arial" w:hAnsi="Arial" w:cs="Arial"/>
                <w:sz w:val="22"/>
                <w:szCs w:val="22"/>
              </w:rPr>
              <w:t>(a)</w:t>
            </w:r>
            <w:r w:rsidR="00422DA1" w:rsidRPr="00073F27">
              <w:rPr>
                <w:rFonts w:ascii="Arial" w:hAnsi="Arial" w:cs="Arial"/>
                <w:sz w:val="22"/>
                <w:szCs w:val="22"/>
              </w:rPr>
              <w:t xml:space="preserve"> </w:t>
            </w:r>
            <w:r w:rsidR="005B689F">
              <w:rPr>
                <w:rFonts w:ascii="Arial" w:hAnsi="Arial" w:cs="Arial"/>
                <w:sz w:val="22"/>
                <w:szCs w:val="22"/>
              </w:rPr>
              <w:t xml:space="preserve">The current account is in surplus when the sum of exports and income receipts from foreign residents exceeds the sum of imports &amp; income payments to overseas residents. </w:t>
            </w:r>
            <w:proofErr w:type="spellStart"/>
            <w:r w:rsidR="005B689F">
              <w:rPr>
                <w:rFonts w:ascii="Arial" w:hAnsi="Arial" w:cs="Arial"/>
                <w:sz w:val="22"/>
                <w:szCs w:val="22"/>
              </w:rPr>
              <w:t>Aust’s</w:t>
            </w:r>
            <w:proofErr w:type="spellEnd"/>
            <w:r w:rsidR="005B689F">
              <w:rPr>
                <w:rFonts w:ascii="Arial" w:hAnsi="Arial" w:cs="Arial"/>
                <w:sz w:val="22"/>
                <w:szCs w:val="22"/>
              </w:rPr>
              <w:t xml:space="preserve"> current account because there has been a significant increase in </w:t>
            </w:r>
            <w:proofErr w:type="spellStart"/>
            <w:r w:rsidR="005B689F">
              <w:rPr>
                <w:rFonts w:ascii="Arial" w:hAnsi="Arial" w:cs="Arial"/>
                <w:sz w:val="22"/>
                <w:szCs w:val="22"/>
              </w:rPr>
              <w:t>Aust’s</w:t>
            </w:r>
            <w:proofErr w:type="spellEnd"/>
            <w:r w:rsidR="005B689F">
              <w:rPr>
                <w:rFonts w:ascii="Arial" w:hAnsi="Arial" w:cs="Arial"/>
                <w:sz w:val="22"/>
                <w:szCs w:val="22"/>
              </w:rPr>
              <w:t xml:space="preserve"> trade surplus which has exceeded the usually large income deficit.</w:t>
            </w:r>
          </w:p>
          <w:p w14:paraId="632D5C7F" w14:textId="5E1D2D83" w:rsidR="005B689F" w:rsidRDefault="005B689F" w:rsidP="00B3600E">
            <w:pPr>
              <w:spacing w:before="60"/>
              <w:rPr>
                <w:rFonts w:ascii="Arial" w:hAnsi="Arial" w:cs="Arial"/>
                <w:sz w:val="22"/>
                <w:szCs w:val="22"/>
              </w:rPr>
            </w:pPr>
            <w:r>
              <w:rPr>
                <w:rFonts w:ascii="Arial" w:hAnsi="Arial" w:cs="Arial"/>
                <w:sz w:val="22"/>
                <w:szCs w:val="22"/>
              </w:rPr>
              <w:t xml:space="preserve">Cyclical </w:t>
            </w:r>
            <w:r w:rsidR="008654D6">
              <w:rPr>
                <w:rFonts w:ascii="Arial" w:hAnsi="Arial" w:cs="Arial"/>
                <w:sz w:val="22"/>
                <w:szCs w:val="22"/>
              </w:rPr>
              <w:t xml:space="preserve">Factors </w:t>
            </w:r>
            <w:r>
              <w:rPr>
                <w:rFonts w:ascii="Arial" w:hAnsi="Arial" w:cs="Arial"/>
                <w:sz w:val="22"/>
                <w:szCs w:val="22"/>
              </w:rPr>
              <w:t>– these factors influence the trade balance</w:t>
            </w:r>
            <w:r w:rsidR="001A7DEE">
              <w:rPr>
                <w:rFonts w:ascii="Arial" w:hAnsi="Arial" w:cs="Arial"/>
                <w:sz w:val="22"/>
                <w:szCs w:val="22"/>
              </w:rPr>
              <w:t xml:space="preserve"> &amp; have been the most influential in creating a current account surplus</w:t>
            </w:r>
          </w:p>
          <w:p w14:paraId="33E3BCE5" w14:textId="494B61BB" w:rsidR="005B689F" w:rsidRDefault="005B689F" w:rsidP="00B3600E">
            <w:pPr>
              <w:spacing w:before="60"/>
              <w:rPr>
                <w:rFonts w:ascii="Arial" w:hAnsi="Arial" w:cs="Arial"/>
                <w:sz w:val="22"/>
                <w:szCs w:val="22"/>
              </w:rPr>
            </w:pPr>
            <w:r>
              <w:rPr>
                <w:rFonts w:ascii="Arial" w:hAnsi="Arial" w:cs="Arial"/>
                <w:sz w:val="22"/>
                <w:szCs w:val="22"/>
              </w:rPr>
              <w:t>1) Terms of trade</w:t>
            </w:r>
            <w:r w:rsidR="001A7DEE">
              <w:rPr>
                <w:rFonts w:ascii="Arial" w:hAnsi="Arial" w:cs="Arial"/>
                <w:sz w:val="22"/>
                <w:szCs w:val="22"/>
              </w:rPr>
              <w:t xml:space="preserve"> (commodity prices)</w:t>
            </w:r>
            <w:r>
              <w:rPr>
                <w:rFonts w:ascii="Arial" w:hAnsi="Arial" w:cs="Arial"/>
                <w:sz w:val="22"/>
                <w:szCs w:val="22"/>
              </w:rPr>
              <w:t xml:space="preserve"> – </w:t>
            </w:r>
            <w:proofErr w:type="spellStart"/>
            <w:r>
              <w:rPr>
                <w:rFonts w:ascii="Arial" w:hAnsi="Arial" w:cs="Arial"/>
                <w:sz w:val="22"/>
                <w:szCs w:val="22"/>
              </w:rPr>
              <w:t>Aust’s</w:t>
            </w:r>
            <w:proofErr w:type="spellEnd"/>
            <w:r>
              <w:rPr>
                <w:rFonts w:ascii="Arial" w:hAnsi="Arial" w:cs="Arial"/>
                <w:sz w:val="22"/>
                <w:szCs w:val="22"/>
              </w:rPr>
              <w:t xml:space="preserve"> terms of trade have been rising over the last few years mainly due to stronger commodity prices. This has led to an increase in the trade balance</w:t>
            </w:r>
            <w:r w:rsidR="001A7DEE">
              <w:rPr>
                <w:rFonts w:ascii="Arial" w:hAnsi="Arial" w:cs="Arial"/>
                <w:sz w:val="22"/>
                <w:szCs w:val="22"/>
              </w:rPr>
              <w:t>.</w:t>
            </w:r>
          </w:p>
          <w:p w14:paraId="5FDA658E" w14:textId="6BF10F48" w:rsidR="005B689F" w:rsidRDefault="005B689F" w:rsidP="00B3600E">
            <w:pPr>
              <w:spacing w:before="60"/>
              <w:rPr>
                <w:rFonts w:ascii="Arial" w:hAnsi="Arial" w:cs="Arial"/>
                <w:sz w:val="22"/>
                <w:szCs w:val="22"/>
              </w:rPr>
            </w:pPr>
            <w:r>
              <w:rPr>
                <w:rFonts w:ascii="Arial" w:hAnsi="Arial" w:cs="Arial"/>
                <w:sz w:val="22"/>
                <w:szCs w:val="22"/>
              </w:rPr>
              <w:t>2) AUD – the AUD has depreciated over the last few years providing a competitive advantage to exporters (from lower prices) &amp; discouraging imports (due to higher prices). This has helped to increase Australia’s trade balance</w:t>
            </w:r>
            <w:r w:rsidR="001A7DEE">
              <w:rPr>
                <w:rFonts w:ascii="Arial" w:hAnsi="Arial" w:cs="Arial"/>
                <w:sz w:val="22"/>
                <w:szCs w:val="22"/>
              </w:rPr>
              <w:t>.</w:t>
            </w:r>
          </w:p>
          <w:p w14:paraId="79C54175" w14:textId="3D3EA4D9" w:rsidR="005B689F" w:rsidRDefault="005B689F" w:rsidP="00B3600E">
            <w:pPr>
              <w:spacing w:before="60"/>
              <w:rPr>
                <w:rFonts w:ascii="Arial" w:hAnsi="Arial" w:cs="Arial"/>
                <w:sz w:val="22"/>
                <w:szCs w:val="22"/>
              </w:rPr>
            </w:pPr>
            <w:r>
              <w:rPr>
                <w:rFonts w:ascii="Arial" w:hAnsi="Arial" w:cs="Arial"/>
                <w:sz w:val="22"/>
                <w:szCs w:val="22"/>
              </w:rPr>
              <w:t xml:space="preserve">3) </w:t>
            </w:r>
            <w:proofErr w:type="spellStart"/>
            <w:r>
              <w:rPr>
                <w:rFonts w:ascii="Arial" w:hAnsi="Arial" w:cs="Arial"/>
                <w:sz w:val="22"/>
                <w:szCs w:val="22"/>
              </w:rPr>
              <w:t>Aust’s</w:t>
            </w:r>
            <w:proofErr w:type="spellEnd"/>
            <w:r>
              <w:rPr>
                <w:rFonts w:ascii="Arial" w:hAnsi="Arial" w:cs="Arial"/>
                <w:sz w:val="22"/>
                <w:szCs w:val="22"/>
              </w:rPr>
              <w:t xml:space="preserve"> weak domestic economy – this has decreased domestic spending, </w:t>
            </w:r>
            <w:proofErr w:type="spellStart"/>
            <w:r>
              <w:rPr>
                <w:rFonts w:ascii="Arial" w:hAnsi="Arial" w:cs="Arial"/>
                <w:sz w:val="22"/>
                <w:szCs w:val="22"/>
              </w:rPr>
              <w:t>esp</w:t>
            </w:r>
            <w:proofErr w:type="spellEnd"/>
            <w:r>
              <w:rPr>
                <w:rFonts w:ascii="Arial" w:hAnsi="Arial" w:cs="Arial"/>
                <w:sz w:val="22"/>
                <w:szCs w:val="22"/>
              </w:rPr>
              <w:t xml:space="preserve"> private investment, which has reduced spending on imports and helped to increase the trade surplus. </w:t>
            </w:r>
          </w:p>
          <w:p w14:paraId="38AFA869" w14:textId="2746EDBA" w:rsidR="005B689F" w:rsidRDefault="005B689F" w:rsidP="00B3600E">
            <w:pPr>
              <w:spacing w:before="60"/>
              <w:rPr>
                <w:rFonts w:ascii="Arial" w:hAnsi="Arial" w:cs="Arial"/>
                <w:sz w:val="22"/>
                <w:szCs w:val="22"/>
              </w:rPr>
            </w:pPr>
            <w:r>
              <w:rPr>
                <w:rFonts w:ascii="Arial" w:hAnsi="Arial" w:cs="Arial"/>
                <w:sz w:val="22"/>
                <w:szCs w:val="22"/>
              </w:rPr>
              <w:t>Structural Factors – these factors influence the income balance</w:t>
            </w:r>
          </w:p>
          <w:p w14:paraId="1EC59F14" w14:textId="42DC2693" w:rsidR="008111CC" w:rsidRPr="00B3600E" w:rsidRDefault="005B689F" w:rsidP="00783CFA">
            <w:pPr>
              <w:spacing w:before="60"/>
              <w:rPr>
                <w:rFonts w:ascii="Arial" w:hAnsi="Arial" w:cs="Arial"/>
                <w:sz w:val="22"/>
                <w:szCs w:val="22"/>
              </w:rPr>
            </w:pPr>
            <w:r>
              <w:rPr>
                <w:rFonts w:ascii="Arial" w:hAnsi="Arial" w:cs="Arial"/>
                <w:sz w:val="22"/>
                <w:szCs w:val="22"/>
              </w:rPr>
              <w:t xml:space="preserve">Because of </w:t>
            </w:r>
            <w:proofErr w:type="spellStart"/>
            <w:r>
              <w:rPr>
                <w:rFonts w:ascii="Arial" w:hAnsi="Arial" w:cs="Arial"/>
                <w:sz w:val="22"/>
                <w:szCs w:val="22"/>
              </w:rPr>
              <w:t>Aust’s</w:t>
            </w:r>
            <w:proofErr w:type="spellEnd"/>
            <w:r>
              <w:rPr>
                <w:rFonts w:ascii="Arial" w:hAnsi="Arial" w:cs="Arial"/>
                <w:sz w:val="22"/>
                <w:szCs w:val="22"/>
              </w:rPr>
              <w:t xml:space="preserve"> large dependence on foreign investment, </w:t>
            </w:r>
            <w:proofErr w:type="spellStart"/>
            <w:r>
              <w:rPr>
                <w:rFonts w:ascii="Arial" w:hAnsi="Arial" w:cs="Arial"/>
                <w:sz w:val="22"/>
                <w:szCs w:val="22"/>
              </w:rPr>
              <w:t>Aust</w:t>
            </w:r>
            <w:proofErr w:type="spellEnd"/>
            <w:r>
              <w:rPr>
                <w:rFonts w:ascii="Arial" w:hAnsi="Arial" w:cs="Arial"/>
                <w:sz w:val="22"/>
                <w:szCs w:val="22"/>
              </w:rPr>
              <w:t xml:space="preserve"> has a high level of net foreign liabilities. The payments associated with foreign liabilities (intere</w:t>
            </w:r>
            <w:r w:rsidR="001A7DEE">
              <w:rPr>
                <w:rFonts w:ascii="Arial" w:hAnsi="Arial" w:cs="Arial"/>
                <w:sz w:val="22"/>
                <w:szCs w:val="22"/>
              </w:rPr>
              <w:t>s</w:t>
            </w:r>
            <w:r>
              <w:rPr>
                <w:rFonts w:ascii="Arial" w:hAnsi="Arial" w:cs="Arial"/>
                <w:sz w:val="22"/>
                <w:szCs w:val="22"/>
              </w:rPr>
              <w:t xml:space="preserve">t &amp; dividends) is recorded in the income account &amp; is the reason for </w:t>
            </w:r>
            <w:proofErr w:type="spellStart"/>
            <w:r>
              <w:rPr>
                <w:rFonts w:ascii="Arial" w:hAnsi="Arial" w:cs="Arial"/>
                <w:sz w:val="22"/>
                <w:szCs w:val="22"/>
              </w:rPr>
              <w:t>Aust’s</w:t>
            </w:r>
            <w:proofErr w:type="spellEnd"/>
            <w:r>
              <w:rPr>
                <w:rFonts w:ascii="Arial" w:hAnsi="Arial" w:cs="Arial"/>
                <w:sz w:val="22"/>
                <w:szCs w:val="22"/>
              </w:rPr>
              <w:t xml:space="preserve"> large income deficit. </w:t>
            </w:r>
            <w:r w:rsidR="001A7DEE">
              <w:rPr>
                <w:rFonts w:ascii="Arial" w:hAnsi="Arial" w:cs="Arial"/>
                <w:sz w:val="22"/>
                <w:szCs w:val="22"/>
              </w:rPr>
              <w:t xml:space="preserve">Given that </w:t>
            </w:r>
            <w:proofErr w:type="spellStart"/>
            <w:r w:rsidR="001A7DEE">
              <w:rPr>
                <w:rFonts w:ascii="Arial" w:hAnsi="Arial" w:cs="Arial"/>
                <w:sz w:val="22"/>
                <w:szCs w:val="22"/>
              </w:rPr>
              <w:t>Aust’s</w:t>
            </w:r>
            <w:proofErr w:type="spellEnd"/>
            <w:r w:rsidR="001A7DEE">
              <w:rPr>
                <w:rFonts w:ascii="Arial" w:hAnsi="Arial" w:cs="Arial"/>
                <w:sz w:val="22"/>
                <w:szCs w:val="22"/>
              </w:rPr>
              <w:t xml:space="preserve"> savings now exceeds its investment (S &gt; I), there is less need for foreign investment &amp; so income payments have started to fall reducing the income deficit. </w:t>
            </w:r>
          </w:p>
        </w:tc>
        <w:tc>
          <w:tcPr>
            <w:tcW w:w="1701" w:type="dxa"/>
          </w:tcPr>
          <w:p w14:paraId="3F354832" w14:textId="6C944D81" w:rsidR="00224820" w:rsidRDefault="00287336" w:rsidP="00A003FE">
            <w:pPr>
              <w:spacing w:before="120"/>
              <w:rPr>
                <w:rFonts w:ascii="Arial" w:hAnsi="Arial" w:cs="Arial"/>
                <w:sz w:val="22"/>
                <w:szCs w:val="22"/>
              </w:rPr>
            </w:pPr>
            <w:r>
              <w:rPr>
                <w:rFonts w:ascii="Arial" w:hAnsi="Arial" w:cs="Arial"/>
                <w:sz w:val="22"/>
                <w:szCs w:val="22"/>
              </w:rPr>
              <w:t>1</w:t>
            </w:r>
            <w:r w:rsidR="00783CFA">
              <w:rPr>
                <w:rFonts w:ascii="Arial" w:hAnsi="Arial" w:cs="Arial"/>
                <w:sz w:val="22"/>
                <w:szCs w:val="22"/>
              </w:rPr>
              <w:t>-</w:t>
            </w:r>
            <w:r w:rsidR="001A7DEE">
              <w:rPr>
                <w:rFonts w:ascii="Arial" w:hAnsi="Arial" w:cs="Arial"/>
                <w:sz w:val="22"/>
                <w:szCs w:val="22"/>
              </w:rPr>
              <w:t>3</w:t>
            </w:r>
            <w:r>
              <w:rPr>
                <w:rFonts w:ascii="Arial" w:hAnsi="Arial" w:cs="Arial"/>
                <w:sz w:val="22"/>
                <w:szCs w:val="22"/>
              </w:rPr>
              <w:t xml:space="preserve"> mark</w:t>
            </w:r>
            <w:r w:rsidR="00783CFA">
              <w:rPr>
                <w:rFonts w:ascii="Arial" w:hAnsi="Arial" w:cs="Arial"/>
                <w:sz w:val="22"/>
                <w:szCs w:val="22"/>
              </w:rPr>
              <w:t>s</w:t>
            </w:r>
          </w:p>
          <w:p w14:paraId="54135767" w14:textId="77777777" w:rsidR="00783CFA" w:rsidRDefault="00783CFA" w:rsidP="00A003FE">
            <w:pPr>
              <w:spacing w:before="120"/>
              <w:rPr>
                <w:rFonts w:ascii="Arial" w:hAnsi="Arial" w:cs="Arial"/>
                <w:sz w:val="22"/>
                <w:szCs w:val="22"/>
              </w:rPr>
            </w:pPr>
          </w:p>
          <w:p w14:paraId="0BBEE34F" w14:textId="77777777" w:rsidR="005B689F" w:rsidRDefault="005B689F" w:rsidP="00A003FE">
            <w:pPr>
              <w:spacing w:before="120"/>
              <w:rPr>
                <w:rFonts w:ascii="Arial" w:hAnsi="Arial" w:cs="Arial"/>
                <w:sz w:val="22"/>
                <w:szCs w:val="22"/>
              </w:rPr>
            </w:pPr>
          </w:p>
          <w:p w14:paraId="1A27B613" w14:textId="77777777" w:rsidR="005B689F" w:rsidRDefault="005B689F" w:rsidP="00A003FE">
            <w:pPr>
              <w:spacing w:before="120"/>
              <w:rPr>
                <w:rFonts w:ascii="Arial" w:hAnsi="Arial" w:cs="Arial"/>
                <w:sz w:val="22"/>
                <w:szCs w:val="22"/>
              </w:rPr>
            </w:pPr>
          </w:p>
          <w:p w14:paraId="284B220E" w14:textId="6F74196D" w:rsidR="00ED6811" w:rsidRPr="00073F27" w:rsidRDefault="00C95DCF" w:rsidP="001A7DEE">
            <w:pPr>
              <w:rPr>
                <w:rFonts w:ascii="Arial" w:hAnsi="Arial" w:cs="Arial"/>
                <w:sz w:val="22"/>
                <w:szCs w:val="22"/>
              </w:rPr>
            </w:pPr>
            <w:r w:rsidRPr="00073F27">
              <w:rPr>
                <w:rFonts w:ascii="Arial" w:hAnsi="Arial" w:cs="Arial"/>
                <w:sz w:val="22"/>
                <w:szCs w:val="22"/>
              </w:rPr>
              <w:t>1-</w:t>
            </w:r>
            <w:r w:rsidR="001A7DEE">
              <w:rPr>
                <w:rFonts w:ascii="Arial" w:hAnsi="Arial" w:cs="Arial"/>
                <w:sz w:val="22"/>
                <w:szCs w:val="22"/>
              </w:rPr>
              <w:t>6</w:t>
            </w:r>
            <w:r w:rsidRPr="00073F27">
              <w:rPr>
                <w:rFonts w:ascii="Arial" w:hAnsi="Arial" w:cs="Arial"/>
                <w:sz w:val="22"/>
                <w:szCs w:val="22"/>
              </w:rPr>
              <w:t xml:space="preserve"> marks</w:t>
            </w:r>
          </w:p>
          <w:p w14:paraId="2212A147" w14:textId="3FC1E7C0" w:rsidR="006E6EFF" w:rsidRPr="00073F27" w:rsidRDefault="006E6EFF" w:rsidP="006E6EFF">
            <w:pPr>
              <w:rPr>
                <w:rFonts w:ascii="Arial" w:hAnsi="Arial" w:cs="Arial"/>
                <w:sz w:val="22"/>
                <w:szCs w:val="22"/>
              </w:rPr>
            </w:pPr>
          </w:p>
          <w:p w14:paraId="6302A68E" w14:textId="146E7A57" w:rsidR="006E6EFF" w:rsidRPr="00073F27" w:rsidRDefault="006E6EFF" w:rsidP="006E6EFF">
            <w:pPr>
              <w:rPr>
                <w:rFonts w:ascii="Arial" w:hAnsi="Arial" w:cs="Arial"/>
                <w:sz w:val="22"/>
                <w:szCs w:val="22"/>
              </w:rPr>
            </w:pPr>
          </w:p>
          <w:p w14:paraId="3140D7AE" w14:textId="77777777" w:rsidR="005B689F" w:rsidRDefault="005B689F" w:rsidP="00783CFA">
            <w:pPr>
              <w:rPr>
                <w:rFonts w:ascii="Arial" w:hAnsi="Arial" w:cs="Arial"/>
                <w:sz w:val="22"/>
                <w:szCs w:val="22"/>
              </w:rPr>
            </w:pPr>
          </w:p>
          <w:p w14:paraId="307829C1" w14:textId="77777777" w:rsidR="005B689F" w:rsidRDefault="005B689F" w:rsidP="00783CFA">
            <w:pPr>
              <w:rPr>
                <w:rFonts w:ascii="Arial" w:hAnsi="Arial" w:cs="Arial"/>
                <w:sz w:val="22"/>
                <w:szCs w:val="22"/>
              </w:rPr>
            </w:pPr>
          </w:p>
          <w:p w14:paraId="049E6DD4" w14:textId="77777777" w:rsidR="005B689F" w:rsidRDefault="005B689F" w:rsidP="00783CFA">
            <w:pPr>
              <w:rPr>
                <w:rFonts w:ascii="Arial" w:hAnsi="Arial" w:cs="Arial"/>
                <w:sz w:val="22"/>
                <w:szCs w:val="22"/>
              </w:rPr>
            </w:pPr>
          </w:p>
          <w:p w14:paraId="00A8A148" w14:textId="77777777" w:rsidR="005B689F" w:rsidRDefault="005B689F" w:rsidP="00783CFA">
            <w:pPr>
              <w:rPr>
                <w:rFonts w:ascii="Arial" w:hAnsi="Arial" w:cs="Arial"/>
                <w:sz w:val="22"/>
                <w:szCs w:val="22"/>
              </w:rPr>
            </w:pPr>
          </w:p>
          <w:p w14:paraId="121183EF" w14:textId="77777777" w:rsidR="005B689F" w:rsidRDefault="005B689F" w:rsidP="00783CFA">
            <w:pPr>
              <w:rPr>
                <w:rFonts w:ascii="Arial" w:hAnsi="Arial" w:cs="Arial"/>
                <w:sz w:val="22"/>
                <w:szCs w:val="22"/>
              </w:rPr>
            </w:pPr>
          </w:p>
          <w:p w14:paraId="08AD7752" w14:textId="77777777" w:rsidR="005B689F" w:rsidRDefault="005B689F" w:rsidP="00783CFA">
            <w:pPr>
              <w:rPr>
                <w:rFonts w:ascii="Arial" w:hAnsi="Arial" w:cs="Arial"/>
                <w:sz w:val="22"/>
                <w:szCs w:val="22"/>
              </w:rPr>
            </w:pPr>
          </w:p>
          <w:p w14:paraId="55BD383B" w14:textId="77777777" w:rsidR="005B689F" w:rsidRDefault="005B689F" w:rsidP="00783CFA">
            <w:pPr>
              <w:rPr>
                <w:rFonts w:ascii="Arial" w:hAnsi="Arial" w:cs="Arial"/>
                <w:sz w:val="22"/>
                <w:szCs w:val="22"/>
              </w:rPr>
            </w:pPr>
          </w:p>
          <w:p w14:paraId="6082A980" w14:textId="156BF614" w:rsidR="006E6EFF" w:rsidRDefault="006E6EFF" w:rsidP="00783CFA">
            <w:pPr>
              <w:rPr>
                <w:rFonts w:ascii="Arial" w:hAnsi="Arial" w:cs="Arial"/>
                <w:sz w:val="22"/>
                <w:szCs w:val="22"/>
              </w:rPr>
            </w:pPr>
          </w:p>
          <w:p w14:paraId="69CC2A84" w14:textId="77777777" w:rsidR="001A7DEE" w:rsidRPr="00073F27" w:rsidRDefault="001A7DEE" w:rsidP="00783CFA">
            <w:pPr>
              <w:rPr>
                <w:rFonts w:ascii="Arial" w:hAnsi="Arial" w:cs="Arial"/>
                <w:sz w:val="22"/>
                <w:szCs w:val="22"/>
              </w:rPr>
            </w:pPr>
          </w:p>
          <w:p w14:paraId="7F9DDD8B" w14:textId="77777777" w:rsidR="00821D61" w:rsidRDefault="00821D61" w:rsidP="00073F27">
            <w:pPr>
              <w:rPr>
                <w:rFonts w:ascii="Arial" w:hAnsi="Arial" w:cs="Arial"/>
                <w:sz w:val="22"/>
                <w:szCs w:val="22"/>
              </w:rPr>
            </w:pPr>
          </w:p>
          <w:p w14:paraId="654126E2" w14:textId="7005466F" w:rsidR="006E6EFF" w:rsidRDefault="00383FB6" w:rsidP="00073F27">
            <w:pPr>
              <w:rPr>
                <w:rFonts w:ascii="Arial" w:hAnsi="Arial" w:cs="Arial"/>
                <w:sz w:val="22"/>
                <w:szCs w:val="22"/>
              </w:rPr>
            </w:pPr>
            <w:r w:rsidRPr="00073F27">
              <w:rPr>
                <w:rFonts w:ascii="Arial" w:hAnsi="Arial" w:cs="Arial"/>
                <w:sz w:val="22"/>
                <w:szCs w:val="22"/>
              </w:rPr>
              <w:t>1-</w:t>
            </w:r>
            <w:r w:rsidR="001A7DEE">
              <w:rPr>
                <w:rFonts w:ascii="Arial" w:hAnsi="Arial" w:cs="Arial"/>
                <w:sz w:val="22"/>
                <w:szCs w:val="22"/>
              </w:rPr>
              <w:t>3</w:t>
            </w:r>
            <w:r w:rsidRPr="00073F27">
              <w:rPr>
                <w:rFonts w:ascii="Arial" w:hAnsi="Arial" w:cs="Arial"/>
                <w:sz w:val="22"/>
                <w:szCs w:val="22"/>
              </w:rPr>
              <w:t xml:space="preserve"> marks</w:t>
            </w:r>
          </w:p>
          <w:p w14:paraId="1E747418" w14:textId="716529BE" w:rsidR="00672A69" w:rsidRPr="00A227EE" w:rsidRDefault="00672A69" w:rsidP="00073F27">
            <w:pPr>
              <w:rPr>
                <w:rFonts w:ascii="Arial" w:hAnsi="Arial" w:cs="Arial"/>
                <w:sz w:val="22"/>
                <w:szCs w:val="22"/>
              </w:rPr>
            </w:pPr>
          </w:p>
        </w:tc>
      </w:tr>
      <w:tr w:rsidR="00C32669" w14:paraId="63959C7B" w14:textId="77777777" w:rsidTr="00F304F5">
        <w:trPr>
          <w:trHeight w:val="4071"/>
        </w:trPr>
        <w:tc>
          <w:tcPr>
            <w:tcW w:w="7796" w:type="dxa"/>
          </w:tcPr>
          <w:p w14:paraId="44486EF5" w14:textId="2B796EE6" w:rsidR="00D24104" w:rsidRDefault="00C32669" w:rsidP="001A7DEE">
            <w:pPr>
              <w:spacing w:before="120"/>
              <w:rPr>
                <w:rFonts w:ascii="Arial" w:hAnsi="Arial" w:cs="Arial"/>
                <w:sz w:val="22"/>
                <w:szCs w:val="22"/>
              </w:rPr>
            </w:pPr>
            <w:r w:rsidRPr="00073F27">
              <w:rPr>
                <w:rFonts w:ascii="Arial" w:hAnsi="Arial" w:cs="Arial"/>
                <w:sz w:val="22"/>
                <w:szCs w:val="22"/>
              </w:rPr>
              <w:t xml:space="preserve">(b) </w:t>
            </w:r>
            <w:r w:rsidR="001A7DEE">
              <w:rPr>
                <w:rFonts w:ascii="Arial" w:hAnsi="Arial" w:cs="Arial"/>
                <w:sz w:val="22"/>
                <w:szCs w:val="22"/>
              </w:rPr>
              <w:t>Significance of a current account surplus</w:t>
            </w:r>
          </w:p>
          <w:p w14:paraId="56CF59B0" w14:textId="77777777" w:rsidR="001A7DEE" w:rsidRDefault="001A7DEE" w:rsidP="00783CFA">
            <w:pPr>
              <w:spacing w:before="60"/>
              <w:rPr>
                <w:rFonts w:ascii="Arial" w:hAnsi="Arial" w:cs="Arial"/>
                <w:sz w:val="22"/>
                <w:szCs w:val="22"/>
              </w:rPr>
            </w:pPr>
            <w:r>
              <w:rPr>
                <w:rFonts w:ascii="Arial" w:hAnsi="Arial" w:cs="Arial"/>
                <w:sz w:val="22"/>
                <w:szCs w:val="22"/>
              </w:rPr>
              <w:t xml:space="preserve">1)  A current account surplus will contribute positively to real GDP growth which helps to boost employment and real incomes. </w:t>
            </w:r>
          </w:p>
          <w:p w14:paraId="42B63E2C" w14:textId="77777777" w:rsidR="001A7DEE" w:rsidRDefault="001A7DEE" w:rsidP="00783CFA">
            <w:pPr>
              <w:spacing w:before="60"/>
              <w:rPr>
                <w:rFonts w:ascii="Arial" w:hAnsi="Arial" w:cs="Arial"/>
                <w:sz w:val="22"/>
                <w:szCs w:val="22"/>
              </w:rPr>
            </w:pPr>
            <w:r>
              <w:rPr>
                <w:rFonts w:ascii="Arial" w:hAnsi="Arial" w:cs="Arial"/>
                <w:sz w:val="22"/>
                <w:szCs w:val="22"/>
              </w:rPr>
              <w:t xml:space="preserve">2) A current account surplus means that the capital &amp; financial account will be in deficit since the two accounts must balance to zero. </w:t>
            </w:r>
          </w:p>
          <w:p w14:paraId="3CA6CD38" w14:textId="77777777" w:rsidR="001A7DEE" w:rsidRDefault="001A7DEE" w:rsidP="00783CFA">
            <w:pPr>
              <w:spacing w:before="60"/>
              <w:rPr>
                <w:rFonts w:ascii="Arial" w:hAnsi="Arial" w:cs="Arial"/>
                <w:sz w:val="22"/>
                <w:szCs w:val="22"/>
              </w:rPr>
            </w:pPr>
            <w:r>
              <w:rPr>
                <w:rFonts w:ascii="Arial" w:hAnsi="Arial" w:cs="Arial"/>
                <w:sz w:val="22"/>
                <w:szCs w:val="22"/>
              </w:rPr>
              <w:t xml:space="preserve">This means that </w:t>
            </w:r>
            <w:proofErr w:type="spellStart"/>
            <w:r>
              <w:rPr>
                <w:rFonts w:ascii="Arial" w:hAnsi="Arial" w:cs="Arial"/>
                <w:sz w:val="22"/>
                <w:szCs w:val="22"/>
              </w:rPr>
              <w:t>Aust’s</w:t>
            </w:r>
            <w:proofErr w:type="spellEnd"/>
            <w:r>
              <w:rPr>
                <w:rFonts w:ascii="Arial" w:hAnsi="Arial" w:cs="Arial"/>
                <w:sz w:val="22"/>
                <w:szCs w:val="22"/>
              </w:rPr>
              <w:t xml:space="preserve"> foreign investment abroad exceeds foreign investment into Australia. This has important implications for the income category in the current account and for Australia’s bet foreign liabilities. The income deficit will start to fall because there will be less capital inflow into the Australian economy</w:t>
            </w:r>
            <w:r w:rsidR="00B3600E">
              <w:rPr>
                <w:rFonts w:ascii="Arial" w:hAnsi="Arial" w:cs="Arial"/>
                <w:sz w:val="22"/>
                <w:szCs w:val="22"/>
              </w:rPr>
              <w:t xml:space="preserve">. At the same time, Australia’s foreign assets will increase relative to its foreign liabilities reducing </w:t>
            </w:r>
            <w:proofErr w:type="spellStart"/>
            <w:r w:rsidR="00B3600E">
              <w:rPr>
                <w:rFonts w:ascii="Arial" w:hAnsi="Arial" w:cs="Arial"/>
                <w:sz w:val="22"/>
                <w:szCs w:val="22"/>
              </w:rPr>
              <w:t>Aust’s</w:t>
            </w:r>
            <w:proofErr w:type="spellEnd"/>
            <w:r w:rsidR="00B3600E">
              <w:rPr>
                <w:rFonts w:ascii="Arial" w:hAnsi="Arial" w:cs="Arial"/>
                <w:sz w:val="22"/>
                <w:szCs w:val="22"/>
              </w:rPr>
              <w:t xml:space="preserve"> net foreign liabilities. </w:t>
            </w:r>
          </w:p>
          <w:p w14:paraId="736F0B4C" w14:textId="05F03C50" w:rsidR="00B3600E" w:rsidRPr="00073F27" w:rsidRDefault="00B3600E" w:rsidP="00B3600E">
            <w:pPr>
              <w:spacing w:before="60"/>
              <w:rPr>
                <w:rFonts w:ascii="Arial" w:hAnsi="Arial" w:cs="Arial"/>
                <w:sz w:val="22"/>
                <w:szCs w:val="22"/>
              </w:rPr>
            </w:pPr>
            <w:r>
              <w:rPr>
                <w:rFonts w:ascii="Arial" w:hAnsi="Arial" w:cs="Arial"/>
                <w:sz w:val="22"/>
                <w:szCs w:val="22"/>
              </w:rPr>
              <w:t xml:space="preserve">3) A current account surplus means that Australia has a positive savings investment gap (S &gt; I). This means that </w:t>
            </w:r>
            <w:proofErr w:type="spellStart"/>
            <w:r>
              <w:rPr>
                <w:rFonts w:ascii="Arial" w:hAnsi="Arial" w:cs="Arial"/>
                <w:sz w:val="22"/>
                <w:szCs w:val="22"/>
              </w:rPr>
              <w:t>Aust</w:t>
            </w:r>
            <w:proofErr w:type="spellEnd"/>
            <w:r>
              <w:rPr>
                <w:rFonts w:ascii="Arial" w:hAnsi="Arial" w:cs="Arial"/>
                <w:sz w:val="22"/>
                <w:szCs w:val="22"/>
              </w:rPr>
              <w:t xml:space="preserve"> can fund all its investment from its own savings pool &amp; therefore does not need to rely on foreign debt.</w:t>
            </w:r>
          </w:p>
        </w:tc>
        <w:tc>
          <w:tcPr>
            <w:tcW w:w="1701" w:type="dxa"/>
          </w:tcPr>
          <w:p w14:paraId="78150C3D" w14:textId="3E49CCE3" w:rsidR="00A05EAD" w:rsidRPr="00073F27" w:rsidRDefault="00D31F12" w:rsidP="008E1E69">
            <w:pPr>
              <w:spacing w:before="120"/>
              <w:rPr>
                <w:rFonts w:ascii="Arial" w:hAnsi="Arial" w:cs="Arial"/>
                <w:sz w:val="22"/>
                <w:szCs w:val="22"/>
              </w:rPr>
            </w:pPr>
            <w:r>
              <w:rPr>
                <w:rFonts w:ascii="Arial" w:hAnsi="Arial" w:cs="Arial"/>
                <w:sz w:val="22"/>
                <w:szCs w:val="22"/>
              </w:rPr>
              <w:t xml:space="preserve"> </w:t>
            </w:r>
          </w:p>
          <w:p w14:paraId="07BBEA90" w14:textId="1D0B9E84" w:rsidR="00A05EAD" w:rsidRDefault="00A05EAD" w:rsidP="00783CFA">
            <w:pPr>
              <w:spacing w:before="120"/>
              <w:rPr>
                <w:rFonts w:ascii="Arial" w:hAnsi="Arial" w:cs="Arial"/>
                <w:sz w:val="22"/>
                <w:szCs w:val="22"/>
              </w:rPr>
            </w:pPr>
            <w:r w:rsidRPr="00073F27">
              <w:rPr>
                <w:rFonts w:ascii="Arial" w:hAnsi="Arial" w:cs="Arial"/>
                <w:sz w:val="22"/>
                <w:szCs w:val="22"/>
              </w:rPr>
              <w:t>1-</w:t>
            </w:r>
            <w:r w:rsidR="00B3600E">
              <w:rPr>
                <w:rFonts w:ascii="Arial" w:hAnsi="Arial" w:cs="Arial"/>
                <w:sz w:val="22"/>
                <w:szCs w:val="22"/>
              </w:rPr>
              <w:t>2</w:t>
            </w:r>
            <w:r w:rsidRPr="00073F27">
              <w:rPr>
                <w:rFonts w:ascii="Arial" w:hAnsi="Arial" w:cs="Arial"/>
                <w:sz w:val="22"/>
                <w:szCs w:val="22"/>
              </w:rPr>
              <w:t xml:space="preserve"> marks</w:t>
            </w:r>
          </w:p>
          <w:p w14:paraId="71787BEC" w14:textId="77777777" w:rsidR="00672A69" w:rsidRDefault="00672A69" w:rsidP="008111CC">
            <w:pPr>
              <w:rPr>
                <w:rFonts w:ascii="Arial" w:hAnsi="Arial" w:cs="Arial"/>
                <w:sz w:val="22"/>
                <w:szCs w:val="22"/>
              </w:rPr>
            </w:pPr>
          </w:p>
          <w:p w14:paraId="19B6D7B6" w14:textId="77777777" w:rsidR="00672A69" w:rsidRDefault="00672A69" w:rsidP="008111CC">
            <w:pPr>
              <w:rPr>
                <w:rFonts w:ascii="Arial" w:hAnsi="Arial" w:cs="Arial"/>
                <w:sz w:val="22"/>
                <w:szCs w:val="22"/>
              </w:rPr>
            </w:pPr>
            <w:r w:rsidRPr="00073F27">
              <w:rPr>
                <w:rFonts w:ascii="Arial" w:hAnsi="Arial" w:cs="Arial"/>
                <w:sz w:val="22"/>
                <w:szCs w:val="22"/>
              </w:rPr>
              <w:t>1-</w:t>
            </w:r>
            <w:r>
              <w:rPr>
                <w:rFonts w:ascii="Arial" w:hAnsi="Arial" w:cs="Arial"/>
                <w:sz w:val="22"/>
                <w:szCs w:val="22"/>
              </w:rPr>
              <w:t>3</w:t>
            </w:r>
            <w:r w:rsidRPr="00073F27">
              <w:rPr>
                <w:rFonts w:ascii="Arial" w:hAnsi="Arial" w:cs="Arial"/>
                <w:sz w:val="22"/>
                <w:szCs w:val="22"/>
              </w:rPr>
              <w:t xml:space="preserve"> marks</w:t>
            </w:r>
          </w:p>
          <w:p w14:paraId="7EBAB372" w14:textId="77777777" w:rsidR="00D24104" w:rsidRDefault="00D24104" w:rsidP="008111CC">
            <w:pPr>
              <w:rPr>
                <w:rFonts w:ascii="Arial" w:hAnsi="Arial" w:cs="Arial"/>
                <w:sz w:val="22"/>
                <w:szCs w:val="22"/>
              </w:rPr>
            </w:pPr>
          </w:p>
          <w:p w14:paraId="0DE0E454" w14:textId="77777777" w:rsidR="00B3600E" w:rsidRDefault="00B3600E" w:rsidP="008111CC">
            <w:pPr>
              <w:rPr>
                <w:rFonts w:ascii="Arial" w:hAnsi="Arial" w:cs="Arial"/>
                <w:sz w:val="22"/>
                <w:szCs w:val="22"/>
              </w:rPr>
            </w:pPr>
          </w:p>
          <w:p w14:paraId="3DE30DA9" w14:textId="77777777" w:rsidR="00B3600E" w:rsidRDefault="00B3600E" w:rsidP="008111CC">
            <w:pPr>
              <w:rPr>
                <w:rFonts w:ascii="Arial" w:hAnsi="Arial" w:cs="Arial"/>
                <w:sz w:val="22"/>
                <w:szCs w:val="22"/>
              </w:rPr>
            </w:pPr>
          </w:p>
          <w:p w14:paraId="0EE7AD4E" w14:textId="77777777" w:rsidR="00B3600E" w:rsidRDefault="00B3600E" w:rsidP="008111CC">
            <w:pPr>
              <w:rPr>
                <w:rFonts w:ascii="Arial" w:hAnsi="Arial" w:cs="Arial"/>
                <w:sz w:val="22"/>
                <w:szCs w:val="22"/>
              </w:rPr>
            </w:pPr>
          </w:p>
          <w:p w14:paraId="6692C41E" w14:textId="77777777" w:rsidR="00B3600E" w:rsidRDefault="00B3600E" w:rsidP="008111CC">
            <w:pPr>
              <w:rPr>
                <w:rFonts w:ascii="Arial" w:hAnsi="Arial" w:cs="Arial"/>
                <w:sz w:val="22"/>
                <w:szCs w:val="22"/>
              </w:rPr>
            </w:pPr>
          </w:p>
          <w:p w14:paraId="245ED5DC" w14:textId="77777777" w:rsidR="00B3600E" w:rsidRDefault="00B3600E" w:rsidP="008111CC">
            <w:pPr>
              <w:rPr>
                <w:rFonts w:ascii="Arial" w:hAnsi="Arial" w:cs="Arial"/>
                <w:sz w:val="22"/>
                <w:szCs w:val="22"/>
              </w:rPr>
            </w:pPr>
          </w:p>
          <w:p w14:paraId="407203B7" w14:textId="77777777" w:rsidR="00B3600E" w:rsidRDefault="00B3600E" w:rsidP="008111CC">
            <w:pPr>
              <w:rPr>
                <w:rFonts w:ascii="Arial" w:hAnsi="Arial" w:cs="Arial"/>
                <w:sz w:val="22"/>
                <w:szCs w:val="22"/>
              </w:rPr>
            </w:pPr>
          </w:p>
          <w:p w14:paraId="06115FD2" w14:textId="1D3FBEAD" w:rsidR="00D24104" w:rsidRPr="008111CC" w:rsidRDefault="00D24104" w:rsidP="00B3600E">
            <w:pPr>
              <w:spacing w:before="120"/>
              <w:rPr>
                <w:rFonts w:ascii="Arial" w:hAnsi="Arial" w:cs="Arial"/>
                <w:sz w:val="22"/>
                <w:szCs w:val="22"/>
              </w:rPr>
            </w:pPr>
            <w:r>
              <w:rPr>
                <w:rFonts w:ascii="Arial" w:hAnsi="Arial" w:cs="Arial"/>
                <w:sz w:val="22"/>
                <w:szCs w:val="22"/>
              </w:rPr>
              <w:t>1</w:t>
            </w:r>
            <w:r w:rsidR="00B3600E">
              <w:rPr>
                <w:rFonts w:ascii="Arial" w:hAnsi="Arial" w:cs="Arial"/>
                <w:sz w:val="22"/>
                <w:szCs w:val="22"/>
              </w:rPr>
              <w:t>-3</w:t>
            </w:r>
            <w:r>
              <w:rPr>
                <w:rFonts w:ascii="Arial" w:hAnsi="Arial" w:cs="Arial"/>
                <w:sz w:val="22"/>
                <w:szCs w:val="22"/>
              </w:rPr>
              <w:t xml:space="preserve"> mark</w:t>
            </w:r>
            <w:r w:rsidR="00B3600E">
              <w:rPr>
                <w:rFonts w:ascii="Arial" w:hAnsi="Arial" w:cs="Arial"/>
                <w:sz w:val="22"/>
                <w:szCs w:val="22"/>
              </w:rPr>
              <w:t>s</w:t>
            </w:r>
          </w:p>
        </w:tc>
      </w:tr>
    </w:tbl>
    <w:p w14:paraId="595B1741" w14:textId="3234AC88" w:rsidR="00617A0F" w:rsidRPr="00CF08FB" w:rsidRDefault="00617A0F" w:rsidP="002B09D2">
      <w:pPr>
        <w:tabs>
          <w:tab w:val="left" w:pos="567"/>
          <w:tab w:val="left" w:pos="8505"/>
        </w:tabs>
        <w:rPr>
          <w:rFonts w:ascii="Arial" w:hAnsi="Arial" w:cs="Arial"/>
        </w:rPr>
      </w:pPr>
      <w:r w:rsidRPr="00CF08FB">
        <w:rPr>
          <w:rFonts w:ascii="Arial" w:hAnsi="Arial" w:cs="Arial"/>
          <w:b/>
        </w:rPr>
        <w:lastRenderedPageBreak/>
        <w:t>Question 29</w:t>
      </w:r>
      <w:r w:rsidRPr="00CF08FB">
        <w:rPr>
          <w:rFonts w:ascii="Arial" w:hAnsi="Arial" w:cs="Arial"/>
        </w:rPr>
        <w:tab/>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5A2B8CED" w14:textId="77777777" w:rsidR="007B2952" w:rsidRDefault="007B2952" w:rsidP="007B2952">
      <w:pPr>
        <w:tabs>
          <w:tab w:val="right" w:pos="9498"/>
        </w:tabs>
        <w:ind w:left="567" w:hanging="567"/>
        <w:rPr>
          <w:rFonts w:ascii="Arial" w:hAnsi="Arial" w:cs="Arial"/>
          <w:bCs/>
          <w:sz w:val="22"/>
          <w:szCs w:val="22"/>
        </w:rPr>
      </w:pPr>
      <w:r>
        <w:rPr>
          <w:rFonts w:ascii="Arial" w:hAnsi="Arial" w:cs="Arial"/>
          <w:bCs/>
          <w:sz w:val="22"/>
          <w:szCs w:val="22"/>
        </w:rPr>
        <w:t>(a)</w:t>
      </w:r>
      <w:r>
        <w:rPr>
          <w:rFonts w:ascii="Arial" w:hAnsi="Arial" w:cs="Arial"/>
          <w:bCs/>
          <w:sz w:val="22"/>
          <w:szCs w:val="22"/>
        </w:rPr>
        <w:tab/>
        <w:t xml:space="preserve">Evaluate four arguments that may be used to justify the use of a tariff.  </w:t>
      </w:r>
      <w:r>
        <w:rPr>
          <w:rFonts w:ascii="Arial" w:hAnsi="Arial" w:cs="Arial"/>
          <w:bCs/>
          <w:sz w:val="22"/>
          <w:szCs w:val="22"/>
        </w:rPr>
        <w:tab/>
        <w:t>(12 marks)</w:t>
      </w:r>
    </w:p>
    <w:p w14:paraId="53CA43C0" w14:textId="77777777" w:rsidR="007B2952" w:rsidRDefault="007B2952" w:rsidP="007B2952">
      <w:pPr>
        <w:ind w:left="567" w:hanging="567"/>
        <w:rPr>
          <w:rFonts w:ascii="Arial" w:hAnsi="Arial" w:cs="Arial"/>
          <w:bCs/>
          <w:sz w:val="22"/>
          <w:szCs w:val="22"/>
        </w:rPr>
      </w:pPr>
    </w:p>
    <w:p w14:paraId="11960CEC" w14:textId="77777777" w:rsidR="007B2952" w:rsidRDefault="007B2952" w:rsidP="007B2952">
      <w:pPr>
        <w:tabs>
          <w:tab w:val="right" w:pos="9498"/>
        </w:tabs>
        <w:ind w:left="567" w:hanging="567"/>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Use a model to analyse the effects of a tariff on the domestic industry, market efficiency and the macroeconomy. </w:t>
      </w:r>
      <w:r>
        <w:rPr>
          <w:rFonts w:ascii="Arial" w:hAnsi="Arial" w:cs="Arial"/>
          <w:bCs/>
          <w:sz w:val="22"/>
          <w:szCs w:val="22"/>
        </w:rPr>
        <w:tab/>
        <w:t>(8 marks)</w:t>
      </w: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6F1D02" w:rsidRPr="00062B70" w14:paraId="3860F155" w14:textId="77777777" w:rsidTr="00096A3F">
        <w:trPr>
          <w:trHeight w:val="6212"/>
        </w:trPr>
        <w:tc>
          <w:tcPr>
            <w:tcW w:w="8080" w:type="dxa"/>
          </w:tcPr>
          <w:p w14:paraId="4F9414EF" w14:textId="147E3607" w:rsidR="007B2952" w:rsidRDefault="00203AE4" w:rsidP="00530112">
            <w:pPr>
              <w:spacing w:before="120"/>
              <w:rPr>
                <w:rFonts w:ascii="Arial" w:hAnsi="Arial" w:cs="Arial"/>
                <w:sz w:val="22"/>
                <w:szCs w:val="22"/>
              </w:rPr>
            </w:pPr>
            <w:r w:rsidRPr="008654D6">
              <w:rPr>
                <w:rFonts w:ascii="Arial" w:hAnsi="Arial" w:cs="Arial"/>
                <w:sz w:val="22"/>
                <w:szCs w:val="22"/>
              </w:rPr>
              <w:t>a</w:t>
            </w:r>
            <w:r w:rsidR="00543982">
              <w:rPr>
                <w:rFonts w:ascii="Arial" w:hAnsi="Arial" w:cs="Arial"/>
                <w:sz w:val="22"/>
                <w:szCs w:val="22"/>
              </w:rPr>
              <w:t>)</w:t>
            </w:r>
            <w:r w:rsidRPr="008654D6">
              <w:rPr>
                <w:rFonts w:ascii="Arial" w:hAnsi="Arial" w:cs="Arial"/>
                <w:sz w:val="22"/>
                <w:szCs w:val="22"/>
              </w:rPr>
              <w:t xml:space="preserve"> </w:t>
            </w:r>
            <w:r w:rsidR="007B2952">
              <w:rPr>
                <w:rFonts w:ascii="Arial" w:hAnsi="Arial" w:cs="Arial"/>
                <w:sz w:val="22"/>
                <w:szCs w:val="22"/>
              </w:rPr>
              <w:t xml:space="preserve"> Four arguments x 3 marks: 2 marks to describe the argument &amp; 1 mark for evaluation</w:t>
            </w:r>
          </w:p>
          <w:p w14:paraId="48EB58EC" w14:textId="4AA4B41A" w:rsidR="007B2952" w:rsidRDefault="007B2952" w:rsidP="00530112">
            <w:pPr>
              <w:spacing w:before="120"/>
              <w:rPr>
                <w:rFonts w:ascii="Arial" w:hAnsi="Arial" w:cs="Arial"/>
                <w:sz w:val="22"/>
                <w:szCs w:val="22"/>
              </w:rPr>
            </w:pPr>
            <w:r>
              <w:rPr>
                <w:rFonts w:ascii="Arial" w:hAnsi="Arial" w:cs="Arial"/>
                <w:sz w:val="22"/>
                <w:szCs w:val="22"/>
              </w:rPr>
              <w:t>1)  Using tariffs to protect a domestic industry against ‘dumping’ – where a country may sell its goods in a foreign market below cost</w:t>
            </w:r>
            <w:r w:rsidR="00BB119B">
              <w:rPr>
                <w:rFonts w:ascii="Arial" w:hAnsi="Arial" w:cs="Arial"/>
                <w:sz w:val="22"/>
                <w:szCs w:val="22"/>
              </w:rPr>
              <w:t>, thus harming domestic producers. While dumping is not allowed by the WTO, it is often difficult to prove. Low prices does not necessarily imply dumping &amp; maybe the result of greater efficiency.</w:t>
            </w:r>
          </w:p>
          <w:p w14:paraId="1951B7C2" w14:textId="7D0B680E" w:rsidR="007B2952" w:rsidRDefault="007B2952" w:rsidP="00530112">
            <w:pPr>
              <w:spacing w:before="120"/>
              <w:rPr>
                <w:rFonts w:ascii="Arial" w:hAnsi="Arial" w:cs="Arial"/>
                <w:sz w:val="22"/>
                <w:szCs w:val="22"/>
              </w:rPr>
            </w:pPr>
            <w:r>
              <w:rPr>
                <w:rFonts w:ascii="Arial" w:hAnsi="Arial" w:cs="Arial"/>
                <w:sz w:val="22"/>
                <w:szCs w:val="22"/>
              </w:rPr>
              <w:t xml:space="preserve">2) Using tariffs to increase employment &amp; boost income in a particular industry (protect jobs argument) – tariffs will increase production &amp; employment within the protected industry but it will </w:t>
            </w:r>
            <w:r w:rsidR="00337E97">
              <w:rPr>
                <w:rFonts w:ascii="Arial" w:hAnsi="Arial" w:cs="Arial"/>
                <w:sz w:val="22"/>
                <w:szCs w:val="22"/>
              </w:rPr>
              <w:t>decrease jobs in other industries due to higher costs</w:t>
            </w:r>
            <w:r w:rsidR="00BB119B">
              <w:rPr>
                <w:rFonts w:ascii="Arial" w:hAnsi="Arial" w:cs="Arial"/>
                <w:sz w:val="22"/>
                <w:szCs w:val="22"/>
              </w:rPr>
              <w:t>. Net result is that tariffs lead to a net loss of jobs.</w:t>
            </w:r>
          </w:p>
          <w:p w14:paraId="3E577DB8" w14:textId="5B914D76" w:rsidR="00337E97" w:rsidRDefault="00337E97" w:rsidP="00530112">
            <w:pPr>
              <w:spacing w:before="120"/>
              <w:rPr>
                <w:rFonts w:ascii="Arial" w:hAnsi="Arial" w:cs="Arial"/>
                <w:sz w:val="22"/>
                <w:szCs w:val="22"/>
              </w:rPr>
            </w:pPr>
            <w:r>
              <w:rPr>
                <w:rFonts w:ascii="Arial" w:hAnsi="Arial" w:cs="Arial"/>
                <w:sz w:val="22"/>
                <w:szCs w:val="22"/>
              </w:rPr>
              <w:t xml:space="preserve">3) Using tariffs to protect an ‘infant’ industry – the tariff will allow the new industry to become established in the market by reducing competition from more efficient foreign producers. If the infant industry cannot survive without protection, then it is inefficient to </w:t>
            </w:r>
          </w:p>
          <w:p w14:paraId="70558B85" w14:textId="5C8FFB63" w:rsidR="00BB119B" w:rsidRDefault="00BB119B" w:rsidP="00530112">
            <w:pPr>
              <w:spacing w:before="120"/>
              <w:rPr>
                <w:rFonts w:ascii="Arial" w:hAnsi="Arial" w:cs="Arial"/>
                <w:sz w:val="22"/>
                <w:szCs w:val="22"/>
              </w:rPr>
            </w:pPr>
            <w:r>
              <w:rPr>
                <w:rFonts w:ascii="Arial" w:hAnsi="Arial" w:cs="Arial"/>
                <w:sz w:val="22"/>
                <w:szCs w:val="22"/>
              </w:rPr>
              <w:t xml:space="preserve">4) Using tariffs to protect ‘strategic’ industries – similar to the national defence argument. </w:t>
            </w:r>
            <w:r w:rsidR="00D24D97">
              <w:rPr>
                <w:rFonts w:ascii="Arial" w:hAnsi="Arial" w:cs="Arial"/>
                <w:sz w:val="22"/>
                <w:szCs w:val="22"/>
              </w:rPr>
              <w:t>Certain industries may be deemed ‘strategic’ or essential to reduce reliance on imports during a conflict, &amp; therefore need protection to ensure domestic production. Problem is that every industry can argue that it is ‘strategic’.</w:t>
            </w:r>
          </w:p>
          <w:p w14:paraId="01B4EFC0" w14:textId="2A960C0A" w:rsidR="0068263E" w:rsidRPr="00096A3F" w:rsidRDefault="00D24D97" w:rsidP="00096A3F">
            <w:pPr>
              <w:spacing w:before="120"/>
              <w:rPr>
                <w:rFonts w:ascii="Arial" w:hAnsi="Arial" w:cs="Arial"/>
                <w:sz w:val="22"/>
                <w:szCs w:val="22"/>
              </w:rPr>
            </w:pPr>
            <w:r>
              <w:rPr>
                <w:rFonts w:ascii="Arial" w:hAnsi="Arial" w:cs="Arial"/>
                <w:sz w:val="22"/>
                <w:szCs w:val="22"/>
              </w:rPr>
              <w:t>Other arguments – to encourage diversification &amp; avoid narrow specialisation</w:t>
            </w:r>
          </w:p>
        </w:tc>
        <w:tc>
          <w:tcPr>
            <w:tcW w:w="1417" w:type="dxa"/>
          </w:tcPr>
          <w:p w14:paraId="7579DF03" w14:textId="7E8C551F" w:rsidR="009B5A3C" w:rsidRDefault="009B5A3C" w:rsidP="00AA27D7">
            <w:pPr>
              <w:spacing w:before="120"/>
              <w:rPr>
                <w:rFonts w:ascii="Arial" w:hAnsi="Arial" w:cs="Arial"/>
                <w:sz w:val="22"/>
                <w:szCs w:val="22"/>
              </w:rPr>
            </w:pPr>
          </w:p>
          <w:p w14:paraId="68AA8D48" w14:textId="77777777" w:rsidR="00D24D97" w:rsidRPr="008654D6" w:rsidRDefault="00D24D97" w:rsidP="00AA27D7">
            <w:pPr>
              <w:spacing w:before="120"/>
              <w:rPr>
                <w:rFonts w:ascii="Arial" w:hAnsi="Arial" w:cs="Arial"/>
                <w:sz w:val="22"/>
                <w:szCs w:val="22"/>
              </w:rPr>
            </w:pPr>
          </w:p>
          <w:p w14:paraId="0743641D" w14:textId="6995BCD2" w:rsidR="00F51DDE" w:rsidRDefault="007B2952" w:rsidP="001B56CE">
            <w:pPr>
              <w:rPr>
                <w:rFonts w:ascii="Arial" w:hAnsi="Arial" w:cs="Arial"/>
                <w:sz w:val="22"/>
                <w:szCs w:val="22"/>
              </w:rPr>
            </w:pPr>
            <w:r>
              <w:rPr>
                <w:rFonts w:ascii="Arial" w:hAnsi="Arial" w:cs="Arial"/>
                <w:sz w:val="22"/>
                <w:szCs w:val="22"/>
              </w:rPr>
              <w:t>1-3 marks</w:t>
            </w:r>
          </w:p>
          <w:p w14:paraId="3079AE2A" w14:textId="471B4DFC" w:rsidR="007B2952" w:rsidRDefault="007B2952" w:rsidP="001B56CE">
            <w:pPr>
              <w:rPr>
                <w:rFonts w:ascii="Arial" w:hAnsi="Arial" w:cs="Arial"/>
                <w:sz w:val="22"/>
                <w:szCs w:val="22"/>
              </w:rPr>
            </w:pPr>
          </w:p>
          <w:p w14:paraId="6E63062E" w14:textId="77777777" w:rsidR="00BB119B" w:rsidRDefault="00BB119B" w:rsidP="00337E97">
            <w:pPr>
              <w:spacing w:before="120"/>
              <w:rPr>
                <w:rFonts w:ascii="Arial" w:hAnsi="Arial" w:cs="Arial"/>
                <w:sz w:val="22"/>
                <w:szCs w:val="22"/>
              </w:rPr>
            </w:pPr>
          </w:p>
          <w:p w14:paraId="21D201D6" w14:textId="77777777" w:rsidR="00BB119B" w:rsidRDefault="00BB119B" w:rsidP="00337E97">
            <w:pPr>
              <w:spacing w:before="120"/>
              <w:rPr>
                <w:rFonts w:ascii="Arial" w:hAnsi="Arial" w:cs="Arial"/>
                <w:sz w:val="22"/>
                <w:szCs w:val="22"/>
              </w:rPr>
            </w:pPr>
          </w:p>
          <w:p w14:paraId="5C89AE98" w14:textId="67F0F41E" w:rsidR="00337E97" w:rsidRDefault="00337E97" w:rsidP="00337E97">
            <w:pPr>
              <w:spacing w:before="120"/>
              <w:rPr>
                <w:rFonts w:ascii="Arial" w:hAnsi="Arial" w:cs="Arial"/>
                <w:sz w:val="22"/>
                <w:szCs w:val="22"/>
              </w:rPr>
            </w:pPr>
            <w:r>
              <w:rPr>
                <w:rFonts w:ascii="Arial" w:hAnsi="Arial" w:cs="Arial"/>
                <w:sz w:val="22"/>
                <w:szCs w:val="22"/>
              </w:rPr>
              <w:t>1-3 marks</w:t>
            </w:r>
          </w:p>
          <w:p w14:paraId="7D8B9662" w14:textId="77777777" w:rsidR="007B2952" w:rsidRDefault="007B2952" w:rsidP="001B56CE">
            <w:pPr>
              <w:rPr>
                <w:rFonts w:ascii="Arial" w:hAnsi="Arial" w:cs="Arial"/>
                <w:sz w:val="22"/>
                <w:szCs w:val="22"/>
              </w:rPr>
            </w:pPr>
          </w:p>
          <w:p w14:paraId="06EF99D8" w14:textId="77777777" w:rsidR="0068263E" w:rsidRDefault="0068263E" w:rsidP="001B56CE">
            <w:pPr>
              <w:rPr>
                <w:rFonts w:ascii="Arial" w:hAnsi="Arial" w:cs="Arial"/>
                <w:sz w:val="22"/>
                <w:szCs w:val="22"/>
              </w:rPr>
            </w:pPr>
          </w:p>
          <w:p w14:paraId="2B07629C" w14:textId="77777777" w:rsidR="0068263E" w:rsidRDefault="0068263E" w:rsidP="001B56CE">
            <w:pPr>
              <w:rPr>
                <w:rFonts w:ascii="Arial" w:hAnsi="Arial" w:cs="Arial"/>
                <w:sz w:val="22"/>
                <w:szCs w:val="22"/>
              </w:rPr>
            </w:pPr>
          </w:p>
          <w:p w14:paraId="78EB498E" w14:textId="77777777" w:rsidR="0068263E" w:rsidRDefault="00D24D97" w:rsidP="00D24D97">
            <w:pPr>
              <w:spacing w:before="120"/>
              <w:rPr>
                <w:rFonts w:ascii="Arial" w:hAnsi="Arial" w:cs="Arial"/>
                <w:sz w:val="22"/>
                <w:szCs w:val="22"/>
              </w:rPr>
            </w:pPr>
            <w:r>
              <w:rPr>
                <w:rFonts w:ascii="Arial" w:hAnsi="Arial" w:cs="Arial"/>
                <w:sz w:val="22"/>
                <w:szCs w:val="22"/>
              </w:rPr>
              <w:t>1-3 marks</w:t>
            </w:r>
          </w:p>
          <w:p w14:paraId="28E15DAF" w14:textId="77777777" w:rsidR="00D24D97" w:rsidRDefault="00D24D97" w:rsidP="00D24D97">
            <w:pPr>
              <w:spacing w:before="120"/>
              <w:rPr>
                <w:rFonts w:ascii="Arial" w:hAnsi="Arial" w:cs="Arial"/>
                <w:sz w:val="22"/>
                <w:szCs w:val="22"/>
              </w:rPr>
            </w:pPr>
          </w:p>
          <w:p w14:paraId="1D4C5EC7" w14:textId="77777777" w:rsidR="00D24D97" w:rsidRDefault="00D24D97" w:rsidP="00D24D97">
            <w:pPr>
              <w:spacing w:before="120"/>
              <w:rPr>
                <w:rFonts w:ascii="Arial" w:hAnsi="Arial" w:cs="Arial"/>
                <w:sz w:val="22"/>
                <w:szCs w:val="22"/>
              </w:rPr>
            </w:pPr>
          </w:p>
          <w:p w14:paraId="3E901420" w14:textId="3AC9798B" w:rsidR="00D24D97" w:rsidRPr="008654D6" w:rsidRDefault="00D24D97" w:rsidP="00D24D97">
            <w:pPr>
              <w:spacing w:before="120"/>
              <w:rPr>
                <w:rFonts w:ascii="Arial" w:hAnsi="Arial" w:cs="Arial"/>
                <w:sz w:val="22"/>
                <w:szCs w:val="22"/>
              </w:rPr>
            </w:pPr>
            <w:r>
              <w:rPr>
                <w:rFonts w:ascii="Arial" w:hAnsi="Arial" w:cs="Arial"/>
                <w:sz w:val="22"/>
                <w:szCs w:val="22"/>
              </w:rPr>
              <w:t>1-3</w:t>
            </w:r>
            <w:r w:rsidR="00096A3F">
              <w:rPr>
                <w:rFonts w:ascii="Arial" w:hAnsi="Arial" w:cs="Arial"/>
                <w:sz w:val="22"/>
                <w:szCs w:val="22"/>
              </w:rPr>
              <w:t xml:space="preserve"> </w:t>
            </w:r>
            <w:r>
              <w:rPr>
                <w:rFonts w:ascii="Arial" w:hAnsi="Arial" w:cs="Arial"/>
                <w:sz w:val="22"/>
                <w:szCs w:val="22"/>
              </w:rPr>
              <w:t>marks</w:t>
            </w:r>
          </w:p>
        </w:tc>
      </w:tr>
      <w:tr w:rsidR="00DE0489" w:rsidRPr="00062B70" w14:paraId="379B0F1B" w14:textId="77777777" w:rsidTr="00701375">
        <w:trPr>
          <w:trHeight w:val="3820"/>
        </w:trPr>
        <w:tc>
          <w:tcPr>
            <w:tcW w:w="8080" w:type="dxa"/>
          </w:tcPr>
          <w:p w14:paraId="06DF2079" w14:textId="11BA8991" w:rsidR="00096A3F" w:rsidRDefault="00DE0489" w:rsidP="00096A3F">
            <w:pPr>
              <w:tabs>
                <w:tab w:val="left" w:pos="2627"/>
              </w:tabs>
              <w:spacing w:before="120"/>
              <w:rPr>
                <w:rFonts w:ascii="Arial" w:hAnsi="Arial" w:cs="Arial"/>
                <w:sz w:val="22"/>
                <w:szCs w:val="22"/>
              </w:rPr>
            </w:pPr>
            <w:r w:rsidRPr="008654D6">
              <w:rPr>
                <w:rFonts w:ascii="Arial" w:hAnsi="Arial" w:cs="Arial"/>
                <w:sz w:val="22"/>
                <w:szCs w:val="22"/>
              </w:rPr>
              <w:t>b</w:t>
            </w:r>
            <w:r w:rsidR="00543982">
              <w:rPr>
                <w:rFonts w:ascii="Arial" w:hAnsi="Arial" w:cs="Arial"/>
                <w:sz w:val="22"/>
                <w:szCs w:val="22"/>
              </w:rPr>
              <w:t>)</w:t>
            </w:r>
            <w:r w:rsidRPr="008654D6">
              <w:rPr>
                <w:rFonts w:ascii="Arial" w:hAnsi="Arial" w:cs="Arial"/>
                <w:sz w:val="22"/>
                <w:szCs w:val="22"/>
              </w:rPr>
              <w:t xml:space="preserve"> </w:t>
            </w:r>
            <w:r w:rsidR="00096A3F">
              <w:rPr>
                <w:rFonts w:ascii="Arial" w:hAnsi="Arial" w:cs="Arial"/>
                <w:sz w:val="22"/>
                <w:szCs w:val="22"/>
              </w:rPr>
              <w:t>Tariff model – 2 marks; analysis of effects – 6 marks</w:t>
            </w:r>
          </w:p>
          <w:p w14:paraId="682B5D7C" w14:textId="77777777" w:rsidR="00F51DDE" w:rsidRDefault="00096A3F" w:rsidP="00096A3F">
            <w:pPr>
              <w:tabs>
                <w:tab w:val="left" w:pos="2627"/>
              </w:tabs>
              <w:spacing w:before="120"/>
              <w:rPr>
                <w:rFonts w:ascii="Arial" w:hAnsi="Arial" w:cs="Arial"/>
                <w:sz w:val="22"/>
                <w:szCs w:val="22"/>
              </w:rPr>
            </w:pPr>
            <w:r>
              <w:rPr>
                <w:rFonts w:ascii="Arial" w:hAnsi="Arial" w:cs="Arial"/>
                <w:sz w:val="22"/>
                <w:szCs w:val="22"/>
              </w:rPr>
              <w:t xml:space="preserve">Correctly labelled tariff diagram showing world price below </w:t>
            </w:r>
            <w:proofErr w:type="spellStart"/>
            <w:r>
              <w:rPr>
                <w:rFonts w:ascii="Arial" w:hAnsi="Arial" w:cs="Arial"/>
                <w:sz w:val="22"/>
                <w:szCs w:val="22"/>
              </w:rPr>
              <w:t>equil</w:t>
            </w:r>
            <w:proofErr w:type="spellEnd"/>
            <w:r>
              <w:rPr>
                <w:rFonts w:ascii="Arial" w:hAnsi="Arial" w:cs="Arial"/>
                <w:sz w:val="22"/>
                <w:szCs w:val="22"/>
              </w:rPr>
              <w:t xml:space="preserve">; tariff line; change in </w:t>
            </w:r>
            <w:proofErr w:type="spellStart"/>
            <w:r>
              <w:rPr>
                <w:rFonts w:ascii="Arial" w:hAnsi="Arial" w:cs="Arial"/>
                <w:sz w:val="22"/>
                <w:szCs w:val="22"/>
              </w:rPr>
              <w:t>qS</w:t>
            </w:r>
            <w:proofErr w:type="spellEnd"/>
            <w:r>
              <w:rPr>
                <w:rFonts w:ascii="Arial" w:hAnsi="Arial" w:cs="Arial"/>
                <w:sz w:val="22"/>
                <w:szCs w:val="22"/>
              </w:rPr>
              <w:t xml:space="preserve"> and </w:t>
            </w:r>
            <w:proofErr w:type="spellStart"/>
            <w:r>
              <w:rPr>
                <w:rFonts w:ascii="Arial" w:hAnsi="Arial" w:cs="Arial"/>
                <w:sz w:val="22"/>
                <w:szCs w:val="22"/>
              </w:rPr>
              <w:t>Qd</w:t>
            </w:r>
            <w:proofErr w:type="spellEnd"/>
            <w:r>
              <w:rPr>
                <w:rFonts w:ascii="Arial" w:hAnsi="Arial" w:cs="Arial"/>
                <w:sz w:val="22"/>
                <w:szCs w:val="22"/>
              </w:rPr>
              <w:t xml:space="preserve"> after the tariff is applied</w:t>
            </w:r>
            <w:r w:rsidR="003B78E5">
              <w:rPr>
                <w:rFonts w:ascii="Arial" w:hAnsi="Arial" w:cs="Arial"/>
                <w:sz w:val="22"/>
                <w:szCs w:val="22"/>
              </w:rPr>
              <w:t xml:space="preserve"> </w:t>
            </w:r>
          </w:p>
          <w:p w14:paraId="562D320C" w14:textId="77777777" w:rsidR="00096A3F" w:rsidRDefault="00096A3F" w:rsidP="00096A3F">
            <w:pPr>
              <w:tabs>
                <w:tab w:val="left" w:pos="2627"/>
              </w:tabs>
              <w:spacing w:before="120"/>
              <w:rPr>
                <w:rFonts w:ascii="Arial" w:hAnsi="Arial" w:cs="Arial"/>
                <w:sz w:val="22"/>
                <w:szCs w:val="22"/>
              </w:rPr>
            </w:pPr>
            <w:r>
              <w:rPr>
                <w:rFonts w:ascii="Arial" w:hAnsi="Arial" w:cs="Arial"/>
                <w:sz w:val="22"/>
                <w:szCs w:val="22"/>
              </w:rPr>
              <w:t>Effects:</w:t>
            </w:r>
          </w:p>
          <w:p w14:paraId="28CB10B1" w14:textId="23D7E2DE" w:rsidR="00096A3F" w:rsidRDefault="00096A3F" w:rsidP="00096A3F">
            <w:pPr>
              <w:tabs>
                <w:tab w:val="left" w:pos="2627"/>
              </w:tabs>
              <w:spacing w:before="120"/>
              <w:rPr>
                <w:rFonts w:ascii="Arial" w:hAnsi="Arial" w:cs="Arial"/>
                <w:sz w:val="22"/>
                <w:szCs w:val="22"/>
              </w:rPr>
            </w:pPr>
            <w:r>
              <w:rPr>
                <w:rFonts w:ascii="Arial" w:hAnsi="Arial" w:cs="Arial"/>
                <w:sz w:val="22"/>
                <w:szCs w:val="22"/>
              </w:rPr>
              <w:t>1) Domestic producers gain from higher price &amp; increase in qty supplied; higher employment &amp; greater income for domestic firms; domestic consumers lose from higher price &amp; decrease in qty demanded</w:t>
            </w:r>
          </w:p>
          <w:p w14:paraId="5DCD7974" w14:textId="77777777" w:rsidR="00096A3F" w:rsidRDefault="00096A3F" w:rsidP="00096A3F">
            <w:pPr>
              <w:tabs>
                <w:tab w:val="left" w:pos="2627"/>
              </w:tabs>
              <w:spacing w:before="120"/>
              <w:rPr>
                <w:rFonts w:ascii="Arial" w:hAnsi="Arial" w:cs="Arial"/>
                <w:sz w:val="22"/>
                <w:szCs w:val="22"/>
              </w:rPr>
            </w:pPr>
            <w:r>
              <w:rPr>
                <w:rFonts w:ascii="Arial" w:hAnsi="Arial" w:cs="Arial"/>
                <w:sz w:val="22"/>
                <w:szCs w:val="22"/>
              </w:rPr>
              <w:t>2) Tariff is inefficient since the loss in consumer surplus exceeds the gain in producer surplus + govt revenue – there is a DWL</w:t>
            </w:r>
          </w:p>
          <w:p w14:paraId="2EC3BCF0" w14:textId="767011B0" w:rsidR="00096A3F" w:rsidRPr="00530112" w:rsidRDefault="00096A3F" w:rsidP="00096A3F">
            <w:pPr>
              <w:tabs>
                <w:tab w:val="left" w:pos="2627"/>
              </w:tabs>
              <w:spacing w:before="120"/>
              <w:rPr>
                <w:rFonts w:ascii="Arial" w:hAnsi="Arial" w:cs="Arial"/>
                <w:sz w:val="22"/>
                <w:szCs w:val="22"/>
              </w:rPr>
            </w:pPr>
            <w:r>
              <w:rPr>
                <w:rFonts w:ascii="Arial" w:hAnsi="Arial" w:cs="Arial"/>
                <w:sz w:val="22"/>
                <w:szCs w:val="22"/>
              </w:rPr>
              <w:t xml:space="preserve">3) </w:t>
            </w:r>
            <w:r w:rsidR="00701375">
              <w:rPr>
                <w:rFonts w:ascii="Arial" w:hAnsi="Arial" w:cs="Arial"/>
                <w:sz w:val="22"/>
                <w:szCs w:val="22"/>
              </w:rPr>
              <w:t>Overall the tariff has a negative impact on the macroeconomy – net loss of jobs, higher costs, slower econ growth</w:t>
            </w:r>
          </w:p>
        </w:tc>
        <w:tc>
          <w:tcPr>
            <w:tcW w:w="1417" w:type="dxa"/>
          </w:tcPr>
          <w:p w14:paraId="6AC884C1" w14:textId="77777777" w:rsidR="00096A3F" w:rsidRDefault="00096A3F" w:rsidP="00071734">
            <w:pPr>
              <w:spacing w:before="120"/>
              <w:rPr>
                <w:rFonts w:ascii="Arial" w:hAnsi="Arial" w:cs="Arial"/>
                <w:sz w:val="22"/>
                <w:szCs w:val="22"/>
              </w:rPr>
            </w:pPr>
          </w:p>
          <w:p w14:paraId="5D875D52" w14:textId="3C3C279D" w:rsidR="009B5A3C" w:rsidRPr="008654D6" w:rsidRDefault="00F51DDE" w:rsidP="00071734">
            <w:pPr>
              <w:spacing w:before="120"/>
              <w:rPr>
                <w:rFonts w:ascii="Arial" w:hAnsi="Arial" w:cs="Arial"/>
                <w:sz w:val="22"/>
                <w:szCs w:val="22"/>
              </w:rPr>
            </w:pPr>
            <w:r>
              <w:rPr>
                <w:rFonts w:ascii="Arial" w:hAnsi="Arial" w:cs="Arial"/>
                <w:sz w:val="22"/>
                <w:szCs w:val="22"/>
              </w:rPr>
              <w:t>1-2 marks</w:t>
            </w:r>
          </w:p>
          <w:p w14:paraId="63857739" w14:textId="77777777" w:rsidR="009B5A3C" w:rsidRPr="008654D6" w:rsidRDefault="009B5A3C" w:rsidP="009B5A3C">
            <w:pPr>
              <w:spacing w:before="60"/>
              <w:jc w:val="center"/>
              <w:rPr>
                <w:rFonts w:ascii="Arial" w:hAnsi="Arial" w:cs="Arial"/>
                <w:sz w:val="22"/>
                <w:szCs w:val="22"/>
              </w:rPr>
            </w:pPr>
          </w:p>
          <w:p w14:paraId="4AA6498C" w14:textId="77777777" w:rsidR="00F51DDE" w:rsidRDefault="00F51DDE" w:rsidP="009B5A3C">
            <w:pPr>
              <w:spacing w:before="60"/>
              <w:rPr>
                <w:rFonts w:ascii="Arial" w:hAnsi="Arial" w:cs="Arial"/>
                <w:sz w:val="22"/>
                <w:szCs w:val="22"/>
              </w:rPr>
            </w:pPr>
          </w:p>
          <w:p w14:paraId="4C53245D" w14:textId="105C39D2" w:rsidR="009B5A3C" w:rsidRPr="008654D6" w:rsidRDefault="009B5A3C" w:rsidP="00096A3F">
            <w:pPr>
              <w:spacing w:before="120"/>
              <w:rPr>
                <w:rFonts w:ascii="Arial" w:hAnsi="Arial" w:cs="Arial"/>
                <w:sz w:val="22"/>
                <w:szCs w:val="22"/>
              </w:rPr>
            </w:pPr>
            <w:r w:rsidRPr="008654D6">
              <w:rPr>
                <w:rFonts w:ascii="Arial" w:hAnsi="Arial" w:cs="Arial"/>
                <w:sz w:val="22"/>
                <w:szCs w:val="22"/>
              </w:rPr>
              <w:t>1</w:t>
            </w:r>
            <w:r w:rsidR="00F51DDE">
              <w:rPr>
                <w:rFonts w:ascii="Arial" w:hAnsi="Arial" w:cs="Arial"/>
                <w:sz w:val="22"/>
                <w:szCs w:val="22"/>
              </w:rPr>
              <w:t>-</w:t>
            </w:r>
            <w:r w:rsidR="00096A3F">
              <w:rPr>
                <w:rFonts w:ascii="Arial" w:hAnsi="Arial" w:cs="Arial"/>
                <w:sz w:val="22"/>
                <w:szCs w:val="22"/>
              </w:rPr>
              <w:t>2</w:t>
            </w:r>
            <w:r w:rsidRPr="008654D6">
              <w:rPr>
                <w:rFonts w:ascii="Arial" w:hAnsi="Arial" w:cs="Arial"/>
                <w:sz w:val="22"/>
                <w:szCs w:val="22"/>
              </w:rPr>
              <w:t xml:space="preserve"> mark</w:t>
            </w:r>
            <w:r w:rsidR="00F51DDE">
              <w:rPr>
                <w:rFonts w:ascii="Arial" w:hAnsi="Arial" w:cs="Arial"/>
                <w:sz w:val="22"/>
                <w:szCs w:val="22"/>
              </w:rPr>
              <w:t>s</w:t>
            </w:r>
          </w:p>
          <w:p w14:paraId="547D6CC4" w14:textId="77777777" w:rsidR="00F51DDE" w:rsidRDefault="00F51DDE" w:rsidP="009B5A3C">
            <w:pPr>
              <w:spacing w:before="60"/>
              <w:rPr>
                <w:rFonts w:ascii="Arial" w:hAnsi="Arial" w:cs="Arial"/>
                <w:sz w:val="22"/>
                <w:szCs w:val="22"/>
              </w:rPr>
            </w:pPr>
          </w:p>
          <w:p w14:paraId="3D6AC637" w14:textId="01E05842" w:rsidR="00F51DDE" w:rsidRDefault="00F51DDE" w:rsidP="009B5A3C">
            <w:pPr>
              <w:spacing w:before="60"/>
              <w:rPr>
                <w:rFonts w:ascii="Arial" w:hAnsi="Arial" w:cs="Arial"/>
                <w:sz w:val="22"/>
                <w:szCs w:val="22"/>
              </w:rPr>
            </w:pPr>
          </w:p>
          <w:p w14:paraId="2C366CD0" w14:textId="09F8C273" w:rsidR="00096A3F" w:rsidRDefault="00096A3F" w:rsidP="00701375">
            <w:pPr>
              <w:rPr>
                <w:rFonts w:ascii="Arial" w:hAnsi="Arial" w:cs="Arial"/>
                <w:sz w:val="22"/>
                <w:szCs w:val="22"/>
              </w:rPr>
            </w:pPr>
            <w:r w:rsidRPr="008654D6">
              <w:rPr>
                <w:rFonts w:ascii="Arial" w:hAnsi="Arial" w:cs="Arial"/>
                <w:sz w:val="22"/>
                <w:szCs w:val="22"/>
              </w:rPr>
              <w:t>1</w:t>
            </w:r>
            <w:r>
              <w:rPr>
                <w:rFonts w:ascii="Arial" w:hAnsi="Arial" w:cs="Arial"/>
                <w:sz w:val="22"/>
                <w:szCs w:val="22"/>
              </w:rPr>
              <w:t>-2</w:t>
            </w:r>
            <w:r w:rsidRPr="008654D6">
              <w:rPr>
                <w:rFonts w:ascii="Arial" w:hAnsi="Arial" w:cs="Arial"/>
                <w:sz w:val="22"/>
                <w:szCs w:val="22"/>
              </w:rPr>
              <w:t xml:space="preserve"> mark</w:t>
            </w:r>
            <w:r>
              <w:rPr>
                <w:rFonts w:ascii="Arial" w:hAnsi="Arial" w:cs="Arial"/>
                <w:sz w:val="22"/>
                <w:szCs w:val="22"/>
              </w:rPr>
              <w:t>s</w:t>
            </w:r>
          </w:p>
          <w:p w14:paraId="27485EC4" w14:textId="1E684665" w:rsidR="00701375" w:rsidRDefault="00701375" w:rsidP="00096A3F">
            <w:pPr>
              <w:spacing w:before="120"/>
              <w:rPr>
                <w:rFonts w:ascii="Arial" w:hAnsi="Arial" w:cs="Arial"/>
                <w:sz w:val="22"/>
                <w:szCs w:val="22"/>
              </w:rPr>
            </w:pPr>
          </w:p>
          <w:p w14:paraId="2BA9357C" w14:textId="77777777" w:rsidR="00701375" w:rsidRPr="008654D6" w:rsidRDefault="00701375" w:rsidP="00701375">
            <w:pPr>
              <w:rPr>
                <w:rFonts w:ascii="Arial" w:hAnsi="Arial" w:cs="Arial"/>
                <w:sz w:val="22"/>
                <w:szCs w:val="22"/>
              </w:rPr>
            </w:pPr>
            <w:r w:rsidRPr="008654D6">
              <w:rPr>
                <w:rFonts w:ascii="Arial" w:hAnsi="Arial" w:cs="Arial"/>
                <w:sz w:val="22"/>
                <w:szCs w:val="22"/>
              </w:rPr>
              <w:t>1</w:t>
            </w:r>
            <w:r>
              <w:rPr>
                <w:rFonts w:ascii="Arial" w:hAnsi="Arial" w:cs="Arial"/>
                <w:sz w:val="22"/>
                <w:szCs w:val="22"/>
              </w:rPr>
              <w:t>-2</w:t>
            </w:r>
            <w:r w:rsidRPr="008654D6">
              <w:rPr>
                <w:rFonts w:ascii="Arial" w:hAnsi="Arial" w:cs="Arial"/>
                <w:sz w:val="22"/>
                <w:szCs w:val="22"/>
              </w:rPr>
              <w:t xml:space="preserve"> mark</w:t>
            </w:r>
            <w:r>
              <w:rPr>
                <w:rFonts w:ascii="Arial" w:hAnsi="Arial" w:cs="Arial"/>
                <w:sz w:val="22"/>
                <w:szCs w:val="22"/>
              </w:rPr>
              <w:t>s</w:t>
            </w:r>
          </w:p>
          <w:p w14:paraId="26341875" w14:textId="2E4F95DC" w:rsidR="00494650" w:rsidRPr="008654D6" w:rsidRDefault="00494650" w:rsidP="00701375">
            <w:pPr>
              <w:rPr>
                <w:rFonts w:ascii="Arial" w:hAnsi="Arial" w:cs="Arial"/>
                <w:sz w:val="22"/>
                <w:szCs w:val="22"/>
              </w:rPr>
            </w:pPr>
          </w:p>
        </w:tc>
      </w:tr>
    </w:tbl>
    <w:p w14:paraId="35CF81B6" w14:textId="77777777" w:rsidR="00096A3F" w:rsidRDefault="00096A3F" w:rsidP="005C603C">
      <w:pPr>
        <w:tabs>
          <w:tab w:val="left" w:pos="567"/>
          <w:tab w:val="left" w:pos="8505"/>
        </w:tabs>
        <w:ind w:left="993" w:hanging="993"/>
        <w:rPr>
          <w:rFonts w:ascii="Arial" w:hAnsi="Arial" w:cs="Arial"/>
          <w:b/>
        </w:rPr>
      </w:pPr>
    </w:p>
    <w:p w14:paraId="1C886BB3" w14:textId="77777777" w:rsidR="00096A3F" w:rsidRDefault="00096A3F" w:rsidP="005C603C">
      <w:pPr>
        <w:tabs>
          <w:tab w:val="left" w:pos="567"/>
          <w:tab w:val="left" w:pos="8505"/>
        </w:tabs>
        <w:ind w:left="993" w:hanging="993"/>
        <w:rPr>
          <w:rFonts w:ascii="Arial" w:hAnsi="Arial" w:cs="Arial"/>
          <w:b/>
        </w:rPr>
      </w:pPr>
    </w:p>
    <w:p w14:paraId="4A1BD04B" w14:textId="77777777" w:rsidR="00096A3F" w:rsidRDefault="00096A3F" w:rsidP="005C603C">
      <w:pPr>
        <w:tabs>
          <w:tab w:val="left" w:pos="567"/>
          <w:tab w:val="left" w:pos="8505"/>
        </w:tabs>
        <w:ind w:left="993" w:hanging="993"/>
        <w:rPr>
          <w:rFonts w:ascii="Arial" w:hAnsi="Arial" w:cs="Arial"/>
          <w:b/>
        </w:rPr>
      </w:pPr>
    </w:p>
    <w:p w14:paraId="7CF01FE0" w14:textId="77777777" w:rsidR="00701375" w:rsidRDefault="00701375" w:rsidP="005C603C">
      <w:pPr>
        <w:tabs>
          <w:tab w:val="left" w:pos="567"/>
          <w:tab w:val="left" w:pos="8505"/>
        </w:tabs>
        <w:ind w:left="993" w:hanging="993"/>
        <w:rPr>
          <w:rFonts w:ascii="Arial" w:hAnsi="Arial" w:cs="Arial"/>
          <w:b/>
        </w:rPr>
      </w:pPr>
    </w:p>
    <w:p w14:paraId="070A66A2" w14:textId="6DC36B16"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lastRenderedPageBreak/>
        <w:t>Question 30</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350FFF56" w14:textId="77777777" w:rsidR="00617A0F" w:rsidRDefault="00617A0F" w:rsidP="00617A0F">
      <w:pPr>
        <w:tabs>
          <w:tab w:val="left" w:pos="7938"/>
        </w:tabs>
        <w:ind w:left="567" w:hanging="567"/>
        <w:rPr>
          <w:rFonts w:ascii="Arial" w:hAnsi="Arial" w:cs="Arial"/>
          <w:sz w:val="22"/>
          <w:szCs w:val="22"/>
        </w:rPr>
      </w:pPr>
    </w:p>
    <w:p w14:paraId="3D9DDB33" w14:textId="77777777" w:rsidR="00D66E69" w:rsidRPr="00655F65" w:rsidRDefault="00D66E69" w:rsidP="00D66E69">
      <w:pPr>
        <w:tabs>
          <w:tab w:val="left" w:pos="567"/>
          <w:tab w:val="right" w:pos="9498"/>
        </w:tabs>
        <w:ind w:left="567" w:hanging="567"/>
        <w:rPr>
          <w:rFonts w:ascii="Arial" w:hAnsi="Arial" w:cs="Arial"/>
          <w:bCs/>
          <w:sz w:val="22"/>
          <w:szCs w:val="22"/>
          <w:lang w:val="en-GB"/>
        </w:rPr>
      </w:pPr>
      <w:r w:rsidRPr="00655F65">
        <w:rPr>
          <w:rFonts w:ascii="Arial" w:hAnsi="Arial" w:cs="Arial"/>
          <w:bCs/>
          <w:sz w:val="22"/>
          <w:szCs w:val="22"/>
          <w:lang w:val="en-GB"/>
        </w:rPr>
        <w:t xml:space="preserve">(a) </w:t>
      </w:r>
      <w:r>
        <w:rPr>
          <w:rFonts w:ascii="Arial" w:hAnsi="Arial" w:cs="Arial"/>
          <w:bCs/>
          <w:sz w:val="22"/>
          <w:szCs w:val="22"/>
          <w:lang w:val="en-GB"/>
        </w:rPr>
        <w:tab/>
      </w:r>
      <w:r w:rsidRPr="00655F65">
        <w:rPr>
          <w:rFonts w:ascii="Arial" w:hAnsi="Arial" w:cs="Arial"/>
          <w:bCs/>
          <w:sz w:val="22"/>
          <w:szCs w:val="22"/>
          <w:lang w:val="en-GB"/>
        </w:rPr>
        <w:t xml:space="preserve">Discuss the importance of </w:t>
      </w:r>
      <w:r>
        <w:rPr>
          <w:rFonts w:ascii="Arial" w:hAnsi="Arial" w:cs="Arial"/>
          <w:bCs/>
          <w:sz w:val="22"/>
          <w:szCs w:val="22"/>
          <w:lang w:val="en-GB"/>
        </w:rPr>
        <w:t>consumption as a component of aggregate expenditure</w:t>
      </w:r>
      <w:r w:rsidRPr="00655F65">
        <w:rPr>
          <w:rFonts w:ascii="Arial" w:hAnsi="Arial" w:cs="Arial"/>
          <w:bCs/>
          <w:sz w:val="22"/>
          <w:szCs w:val="22"/>
          <w:lang w:val="en-GB"/>
        </w:rPr>
        <w:t xml:space="preserve"> to the Australian economy and explain the factors</w:t>
      </w:r>
      <w:r>
        <w:rPr>
          <w:rFonts w:ascii="Arial" w:hAnsi="Arial" w:cs="Arial"/>
          <w:bCs/>
          <w:sz w:val="22"/>
          <w:szCs w:val="22"/>
          <w:lang w:val="en-GB"/>
        </w:rPr>
        <w:t xml:space="preserve"> </w:t>
      </w:r>
      <w:r w:rsidRPr="00655F65">
        <w:rPr>
          <w:rFonts w:ascii="Arial" w:hAnsi="Arial" w:cs="Arial"/>
          <w:bCs/>
          <w:sz w:val="22"/>
          <w:szCs w:val="22"/>
          <w:lang w:val="en-GB"/>
        </w:rPr>
        <w:t xml:space="preserve">that can influence the total amount of </w:t>
      </w:r>
      <w:r>
        <w:rPr>
          <w:rFonts w:ascii="Arial" w:hAnsi="Arial" w:cs="Arial"/>
          <w:bCs/>
          <w:sz w:val="22"/>
          <w:szCs w:val="22"/>
          <w:lang w:val="en-GB"/>
        </w:rPr>
        <w:t>consumption</w:t>
      </w:r>
      <w:r w:rsidRPr="00655F65">
        <w:rPr>
          <w:rFonts w:ascii="Arial" w:hAnsi="Arial" w:cs="Arial"/>
          <w:bCs/>
          <w:sz w:val="22"/>
          <w:szCs w:val="22"/>
          <w:lang w:val="en-GB"/>
        </w:rPr>
        <w:t xml:space="preserve"> spending in Australia. </w:t>
      </w:r>
      <w:r>
        <w:rPr>
          <w:rFonts w:ascii="Arial" w:hAnsi="Arial" w:cs="Arial"/>
          <w:bCs/>
          <w:sz w:val="22"/>
          <w:szCs w:val="22"/>
          <w:lang w:val="en-GB"/>
        </w:rPr>
        <w:tab/>
      </w:r>
      <w:r w:rsidRPr="00655F65">
        <w:rPr>
          <w:rFonts w:ascii="Arial" w:hAnsi="Arial" w:cs="Arial"/>
          <w:bCs/>
          <w:sz w:val="22"/>
          <w:szCs w:val="22"/>
          <w:lang w:val="en-GB"/>
        </w:rPr>
        <w:t>(10 marks)</w:t>
      </w:r>
    </w:p>
    <w:p w14:paraId="4973E844" w14:textId="77777777" w:rsidR="00D66E69" w:rsidRDefault="00D66E69" w:rsidP="00D66E69">
      <w:pPr>
        <w:tabs>
          <w:tab w:val="left" w:pos="567"/>
          <w:tab w:val="right" w:pos="9498"/>
        </w:tabs>
        <w:ind w:left="567" w:hanging="567"/>
        <w:rPr>
          <w:rFonts w:ascii="Arial" w:hAnsi="Arial" w:cs="Arial"/>
          <w:bCs/>
          <w:sz w:val="22"/>
          <w:szCs w:val="22"/>
          <w:lang w:val="en-GB"/>
        </w:rPr>
      </w:pPr>
      <w:r w:rsidRPr="00655F65">
        <w:rPr>
          <w:rFonts w:ascii="Arial" w:hAnsi="Arial" w:cs="Arial"/>
          <w:bCs/>
          <w:sz w:val="22"/>
          <w:szCs w:val="22"/>
          <w:lang w:val="en-GB"/>
        </w:rPr>
        <w:t xml:space="preserve">(b) </w:t>
      </w:r>
      <w:r>
        <w:rPr>
          <w:rFonts w:ascii="Arial" w:hAnsi="Arial" w:cs="Arial"/>
          <w:bCs/>
          <w:sz w:val="22"/>
          <w:szCs w:val="22"/>
          <w:lang w:val="en-GB"/>
        </w:rPr>
        <w:tab/>
      </w:r>
      <w:r w:rsidRPr="00655F65">
        <w:rPr>
          <w:rFonts w:ascii="Arial" w:hAnsi="Arial" w:cs="Arial"/>
          <w:bCs/>
          <w:sz w:val="22"/>
          <w:szCs w:val="22"/>
          <w:lang w:val="en-GB"/>
        </w:rPr>
        <w:t>Use the aggregate expenditure model to demonstrate and</w:t>
      </w:r>
      <w:r>
        <w:rPr>
          <w:rFonts w:ascii="Arial" w:hAnsi="Arial" w:cs="Arial"/>
          <w:bCs/>
          <w:sz w:val="22"/>
          <w:szCs w:val="22"/>
          <w:lang w:val="en-GB"/>
        </w:rPr>
        <w:t xml:space="preserve"> </w:t>
      </w:r>
      <w:r w:rsidRPr="00655F65">
        <w:rPr>
          <w:rFonts w:ascii="Arial" w:hAnsi="Arial" w:cs="Arial"/>
          <w:bCs/>
          <w:sz w:val="22"/>
          <w:szCs w:val="22"/>
          <w:lang w:val="en-GB"/>
        </w:rPr>
        <w:t xml:space="preserve">explain the effect of </w:t>
      </w:r>
      <w:r>
        <w:rPr>
          <w:rFonts w:ascii="Arial" w:hAnsi="Arial" w:cs="Arial"/>
          <w:bCs/>
          <w:sz w:val="22"/>
          <w:szCs w:val="22"/>
          <w:lang w:val="en-GB"/>
        </w:rPr>
        <w:t xml:space="preserve">a change in autonomous consumption and a change in the marginal propensity to consume. </w:t>
      </w:r>
      <w:r>
        <w:rPr>
          <w:rFonts w:ascii="Arial" w:hAnsi="Arial" w:cs="Arial"/>
          <w:bCs/>
          <w:sz w:val="22"/>
          <w:szCs w:val="22"/>
          <w:lang w:val="en-GB"/>
        </w:rPr>
        <w:tab/>
        <w:t>(10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1A5856" w:rsidRPr="00062B70" w14:paraId="74DA3B3D" w14:textId="77777777" w:rsidTr="00530112">
        <w:trPr>
          <w:trHeight w:val="3976"/>
        </w:trPr>
        <w:tc>
          <w:tcPr>
            <w:tcW w:w="8080" w:type="dxa"/>
          </w:tcPr>
          <w:p w14:paraId="45C5B738" w14:textId="7785A307" w:rsidR="00B150F3" w:rsidRDefault="00B150F3" w:rsidP="00B150F3">
            <w:pPr>
              <w:pStyle w:val="Default"/>
              <w:spacing w:before="60"/>
              <w:rPr>
                <w:sz w:val="22"/>
                <w:szCs w:val="22"/>
              </w:rPr>
            </w:pPr>
            <w:r>
              <w:rPr>
                <w:sz w:val="22"/>
                <w:szCs w:val="22"/>
              </w:rPr>
              <w:t>a) The</w:t>
            </w:r>
            <w:r w:rsidR="002F0257">
              <w:rPr>
                <w:sz w:val="22"/>
                <w:szCs w:val="22"/>
              </w:rPr>
              <w:t xml:space="preserve"> importance of consumption </w:t>
            </w:r>
            <w:r>
              <w:rPr>
                <w:sz w:val="22"/>
                <w:szCs w:val="22"/>
              </w:rPr>
              <w:t xml:space="preserve"> (1-2 marks)</w:t>
            </w:r>
          </w:p>
          <w:p w14:paraId="44ECF14E" w14:textId="0DE67078" w:rsidR="00B150F3" w:rsidRDefault="002F0257" w:rsidP="00530112">
            <w:pPr>
              <w:pStyle w:val="Default"/>
              <w:spacing w:before="60"/>
              <w:rPr>
                <w:sz w:val="22"/>
                <w:szCs w:val="22"/>
              </w:rPr>
            </w:pPr>
            <w:r>
              <w:rPr>
                <w:sz w:val="22"/>
                <w:szCs w:val="22"/>
              </w:rPr>
              <w:t xml:space="preserve">Definition of consumption; </w:t>
            </w:r>
            <w:r w:rsidR="00530112">
              <w:rPr>
                <w:sz w:val="22"/>
                <w:szCs w:val="22"/>
              </w:rPr>
              <w:t>around 55%</w:t>
            </w:r>
            <w:r>
              <w:rPr>
                <w:sz w:val="22"/>
                <w:szCs w:val="22"/>
              </w:rPr>
              <w:t xml:space="preserve"> of aggregate expenditure</w:t>
            </w:r>
            <w:r w:rsidR="00B150F3">
              <w:rPr>
                <w:sz w:val="22"/>
                <w:szCs w:val="22"/>
              </w:rPr>
              <w:t>; most stable component of AE</w:t>
            </w:r>
          </w:p>
          <w:p w14:paraId="4F7FFBCE" w14:textId="17FDEF6E" w:rsidR="002F0257" w:rsidRPr="00B150F3" w:rsidRDefault="002F0257" w:rsidP="00530112">
            <w:pPr>
              <w:pStyle w:val="Default"/>
              <w:spacing w:before="120"/>
              <w:rPr>
                <w:sz w:val="22"/>
                <w:szCs w:val="22"/>
              </w:rPr>
            </w:pPr>
            <w:r>
              <w:rPr>
                <w:color w:val="313131"/>
                <w:sz w:val="22"/>
                <w:szCs w:val="22"/>
                <w:shd w:val="clear" w:color="auto" w:fill="FFFFFF"/>
              </w:rPr>
              <w:t xml:space="preserve">Factors affecting consumption </w:t>
            </w:r>
            <w:r w:rsidR="00B150F3">
              <w:rPr>
                <w:color w:val="313131"/>
                <w:sz w:val="22"/>
                <w:szCs w:val="22"/>
                <w:shd w:val="clear" w:color="auto" w:fill="FFFFFF"/>
              </w:rPr>
              <w:t>– discuss at least THREE factors</w:t>
            </w:r>
          </w:p>
          <w:p w14:paraId="468801FC" w14:textId="27F256C1" w:rsid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1) Income</w:t>
            </w:r>
            <w:r w:rsidR="00B150F3">
              <w:rPr>
                <w:rFonts w:ascii="Arial" w:hAnsi="Arial" w:cs="Arial"/>
                <w:color w:val="313131"/>
                <w:sz w:val="22"/>
                <w:szCs w:val="22"/>
                <w:shd w:val="clear" w:color="auto" w:fill="FFFFFF"/>
              </w:rPr>
              <w:t xml:space="preserve"> – disposable income is the main factor affecting consumption; basis to the consumption function</w:t>
            </w:r>
            <w:r w:rsidR="00530112">
              <w:rPr>
                <w:rFonts w:ascii="Arial" w:hAnsi="Arial" w:cs="Arial"/>
                <w:color w:val="313131"/>
                <w:sz w:val="22"/>
                <w:szCs w:val="22"/>
                <w:shd w:val="clear" w:color="auto" w:fill="FFFFFF"/>
              </w:rPr>
              <w:t>: C is a positive function of Y</w:t>
            </w:r>
          </w:p>
          <w:p w14:paraId="64A3A854" w14:textId="5610CE31" w:rsid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 xml:space="preserve">2) </w:t>
            </w:r>
            <w:r w:rsidR="00B150F3">
              <w:rPr>
                <w:rFonts w:ascii="Arial" w:hAnsi="Arial" w:cs="Arial"/>
                <w:color w:val="313131"/>
                <w:sz w:val="22"/>
                <w:szCs w:val="22"/>
                <w:shd w:val="clear" w:color="auto" w:fill="FFFFFF"/>
              </w:rPr>
              <w:t xml:space="preserve">Household </w:t>
            </w:r>
            <w:r>
              <w:rPr>
                <w:rFonts w:ascii="Arial" w:hAnsi="Arial" w:cs="Arial"/>
                <w:color w:val="313131"/>
                <w:sz w:val="22"/>
                <w:szCs w:val="22"/>
                <w:shd w:val="clear" w:color="auto" w:fill="FFFFFF"/>
              </w:rPr>
              <w:t>Wealth</w:t>
            </w:r>
            <w:r w:rsidR="00B150F3">
              <w:rPr>
                <w:rFonts w:ascii="Arial" w:hAnsi="Arial" w:cs="Arial"/>
                <w:color w:val="313131"/>
                <w:sz w:val="22"/>
                <w:szCs w:val="22"/>
                <w:shd w:val="clear" w:color="auto" w:fill="FFFFFF"/>
              </w:rPr>
              <w:t xml:space="preserve"> – changes in value of assets such as property; share portfolios; superannuation funds</w:t>
            </w:r>
            <w:r w:rsidR="00530112">
              <w:rPr>
                <w:rFonts w:ascii="Arial" w:hAnsi="Arial" w:cs="Arial"/>
                <w:color w:val="313131"/>
                <w:sz w:val="22"/>
                <w:szCs w:val="22"/>
                <w:shd w:val="clear" w:color="auto" w:fill="FFFFFF"/>
              </w:rPr>
              <w:t>; an increase in wealth will shift the C function up</w:t>
            </w:r>
          </w:p>
          <w:p w14:paraId="0199F2F6" w14:textId="348C7C88" w:rsid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3) Interest rates</w:t>
            </w:r>
            <w:r w:rsidR="00B150F3">
              <w:rPr>
                <w:rFonts w:ascii="Arial" w:hAnsi="Arial" w:cs="Arial"/>
                <w:color w:val="313131"/>
                <w:sz w:val="22"/>
                <w:szCs w:val="22"/>
                <w:shd w:val="clear" w:color="auto" w:fill="FFFFFF"/>
              </w:rPr>
              <w:t xml:space="preserve"> – consumers often borrow to purchase consumer durables such as cars, boats, travel; furniture; home improvements</w:t>
            </w:r>
            <w:r w:rsidR="00530112">
              <w:rPr>
                <w:rFonts w:ascii="Arial" w:hAnsi="Arial" w:cs="Arial"/>
                <w:color w:val="313131"/>
                <w:sz w:val="22"/>
                <w:szCs w:val="22"/>
                <w:shd w:val="clear" w:color="auto" w:fill="FFFFFF"/>
              </w:rPr>
              <w:t xml:space="preserve">; as </w:t>
            </w:r>
            <w:proofErr w:type="spellStart"/>
            <w:r w:rsidR="00530112">
              <w:rPr>
                <w:rFonts w:ascii="Arial" w:hAnsi="Arial" w:cs="Arial"/>
                <w:color w:val="313131"/>
                <w:sz w:val="22"/>
                <w:szCs w:val="22"/>
                <w:shd w:val="clear" w:color="auto" w:fill="FFFFFF"/>
              </w:rPr>
              <w:t>i</w:t>
            </w:r>
            <w:proofErr w:type="spellEnd"/>
            <w:r w:rsidR="00530112">
              <w:rPr>
                <w:rFonts w:ascii="Arial" w:hAnsi="Arial" w:cs="Arial"/>
                <w:color w:val="313131"/>
                <w:sz w:val="22"/>
                <w:szCs w:val="22"/>
                <w:shd w:val="clear" w:color="auto" w:fill="FFFFFF"/>
              </w:rPr>
              <w:t>/</w:t>
            </w:r>
            <w:proofErr w:type="spellStart"/>
            <w:r w:rsidR="00530112">
              <w:rPr>
                <w:rFonts w:ascii="Arial" w:hAnsi="Arial" w:cs="Arial"/>
                <w:color w:val="313131"/>
                <w:sz w:val="22"/>
                <w:szCs w:val="22"/>
                <w:shd w:val="clear" w:color="auto" w:fill="FFFFFF"/>
              </w:rPr>
              <w:t>rs</w:t>
            </w:r>
            <w:proofErr w:type="spellEnd"/>
            <w:r w:rsidR="00530112">
              <w:rPr>
                <w:rFonts w:ascii="Arial" w:hAnsi="Arial" w:cs="Arial"/>
                <w:color w:val="313131"/>
                <w:sz w:val="22"/>
                <w:szCs w:val="22"/>
                <w:shd w:val="clear" w:color="auto" w:fill="FFFFFF"/>
              </w:rPr>
              <w:t xml:space="preserve"> fall, C increases</w:t>
            </w:r>
          </w:p>
          <w:p w14:paraId="3F98B950" w14:textId="1D78EDC4" w:rsidR="002F0257" w:rsidRPr="002F0257" w:rsidRDefault="002F0257" w:rsidP="00530112">
            <w:pPr>
              <w:spacing w:before="60"/>
              <w:rPr>
                <w:rFonts w:ascii="Arial" w:hAnsi="Arial" w:cs="Arial"/>
                <w:color w:val="313131"/>
                <w:sz w:val="22"/>
                <w:szCs w:val="22"/>
                <w:shd w:val="clear" w:color="auto" w:fill="FFFFFF"/>
              </w:rPr>
            </w:pPr>
            <w:r>
              <w:rPr>
                <w:rFonts w:ascii="Arial" w:hAnsi="Arial" w:cs="Arial"/>
                <w:color w:val="313131"/>
                <w:sz w:val="22"/>
                <w:szCs w:val="22"/>
                <w:shd w:val="clear" w:color="auto" w:fill="FFFFFF"/>
              </w:rPr>
              <w:t>4) Expectations</w:t>
            </w:r>
            <w:r w:rsidR="00B150F3">
              <w:rPr>
                <w:rFonts w:ascii="Arial" w:hAnsi="Arial" w:cs="Arial"/>
                <w:color w:val="313131"/>
                <w:sz w:val="22"/>
                <w:szCs w:val="22"/>
                <w:shd w:val="clear" w:color="auto" w:fill="FFFFFF"/>
              </w:rPr>
              <w:t xml:space="preserve"> – consumer expectations about the future will affect consumer’s current purchasing decisions</w:t>
            </w:r>
          </w:p>
        </w:tc>
        <w:tc>
          <w:tcPr>
            <w:tcW w:w="1417" w:type="dxa"/>
          </w:tcPr>
          <w:p w14:paraId="113CCC95" w14:textId="64813609" w:rsidR="00073EB2" w:rsidRPr="00B56166" w:rsidRDefault="00073EB2" w:rsidP="00516B66">
            <w:pPr>
              <w:rPr>
                <w:rFonts w:ascii="Arial" w:hAnsi="Arial" w:cs="Arial"/>
                <w:sz w:val="22"/>
                <w:szCs w:val="22"/>
              </w:rPr>
            </w:pPr>
          </w:p>
          <w:p w14:paraId="789A1781" w14:textId="33E65145" w:rsidR="00073EB2" w:rsidRDefault="00073EB2" w:rsidP="00543982">
            <w:pPr>
              <w:spacing w:before="120"/>
              <w:rPr>
                <w:rFonts w:ascii="Arial" w:hAnsi="Arial" w:cs="Arial"/>
                <w:sz w:val="22"/>
                <w:szCs w:val="22"/>
              </w:rPr>
            </w:pPr>
            <w:r w:rsidRPr="00B56166">
              <w:rPr>
                <w:rFonts w:ascii="Arial" w:hAnsi="Arial" w:cs="Arial"/>
                <w:sz w:val="22"/>
                <w:szCs w:val="22"/>
              </w:rPr>
              <w:t>1-</w:t>
            </w:r>
            <w:r w:rsidR="00543982">
              <w:rPr>
                <w:rFonts w:ascii="Arial" w:hAnsi="Arial" w:cs="Arial"/>
                <w:sz w:val="22"/>
                <w:szCs w:val="22"/>
              </w:rPr>
              <w:t>2</w:t>
            </w:r>
            <w:r w:rsidRPr="00B56166">
              <w:rPr>
                <w:rFonts w:ascii="Arial" w:hAnsi="Arial" w:cs="Arial"/>
                <w:sz w:val="22"/>
                <w:szCs w:val="22"/>
              </w:rPr>
              <w:t xml:space="preserve"> marks</w:t>
            </w:r>
          </w:p>
          <w:p w14:paraId="6B73E99F" w14:textId="77777777" w:rsidR="00B150F3" w:rsidRDefault="00B150F3" w:rsidP="00724BE9">
            <w:pPr>
              <w:spacing w:before="120"/>
              <w:rPr>
                <w:rFonts w:ascii="Arial" w:hAnsi="Arial" w:cs="Arial"/>
                <w:sz w:val="22"/>
                <w:szCs w:val="22"/>
              </w:rPr>
            </w:pPr>
          </w:p>
          <w:p w14:paraId="2482BC2B" w14:textId="3755C89E" w:rsidR="00275659" w:rsidRDefault="00275659" w:rsidP="00724BE9">
            <w:pPr>
              <w:spacing w:before="120"/>
              <w:rPr>
                <w:rFonts w:ascii="Arial" w:hAnsi="Arial" w:cs="Arial"/>
                <w:sz w:val="22"/>
                <w:szCs w:val="22"/>
              </w:rPr>
            </w:pPr>
            <w:r w:rsidRPr="00B56166">
              <w:rPr>
                <w:rFonts w:ascii="Arial" w:hAnsi="Arial" w:cs="Arial"/>
                <w:sz w:val="22"/>
                <w:szCs w:val="22"/>
              </w:rPr>
              <w:t>1-</w:t>
            </w:r>
            <w:r w:rsidR="00B150F3">
              <w:rPr>
                <w:rFonts w:ascii="Arial" w:hAnsi="Arial" w:cs="Arial"/>
                <w:sz w:val="22"/>
                <w:szCs w:val="22"/>
              </w:rPr>
              <w:t>8</w:t>
            </w:r>
            <w:r w:rsidRPr="00B56166">
              <w:rPr>
                <w:rFonts w:ascii="Arial" w:hAnsi="Arial" w:cs="Arial"/>
                <w:sz w:val="22"/>
                <w:szCs w:val="22"/>
              </w:rPr>
              <w:t xml:space="preserve"> marks</w:t>
            </w:r>
          </w:p>
          <w:p w14:paraId="1EE5E6F6" w14:textId="525BC200" w:rsidR="00275659" w:rsidRPr="00CF1382" w:rsidRDefault="00275659" w:rsidP="00724BE9">
            <w:pPr>
              <w:spacing w:before="120"/>
              <w:rPr>
                <w:rFonts w:ascii="Arial" w:hAnsi="Arial" w:cs="Arial"/>
                <w:sz w:val="22"/>
                <w:szCs w:val="22"/>
              </w:rPr>
            </w:pPr>
          </w:p>
        </w:tc>
      </w:tr>
      <w:tr w:rsidR="00543982" w:rsidRPr="00062B70" w14:paraId="30DD8AFA" w14:textId="77777777" w:rsidTr="00D26B6C">
        <w:trPr>
          <w:trHeight w:val="4388"/>
        </w:trPr>
        <w:tc>
          <w:tcPr>
            <w:tcW w:w="8080" w:type="dxa"/>
          </w:tcPr>
          <w:p w14:paraId="6481F7E3" w14:textId="26ECA4F0" w:rsidR="00543982" w:rsidRDefault="00B150F3" w:rsidP="00D26B6C">
            <w:pPr>
              <w:snapToGrid w:val="0"/>
              <w:spacing w:before="120"/>
              <w:rPr>
                <w:rFonts w:ascii="Arial" w:hAnsi="Arial" w:cs="Arial"/>
                <w:sz w:val="22"/>
                <w:szCs w:val="22"/>
              </w:rPr>
            </w:pPr>
            <w:r>
              <w:rPr>
                <w:rFonts w:ascii="Arial" w:hAnsi="Arial" w:cs="Arial"/>
                <w:sz w:val="22"/>
                <w:szCs w:val="22"/>
              </w:rPr>
              <w:t xml:space="preserve">b) </w:t>
            </w:r>
            <w:proofErr w:type="spellStart"/>
            <w:r w:rsidR="00D26B6C">
              <w:rPr>
                <w:rFonts w:ascii="Arial" w:hAnsi="Arial" w:cs="Arial"/>
                <w:sz w:val="22"/>
                <w:szCs w:val="22"/>
              </w:rPr>
              <w:t>i</w:t>
            </w:r>
            <w:proofErr w:type="spellEnd"/>
            <w:r w:rsidR="00D26B6C">
              <w:rPr>
                <w:rFonts w:ascii="Arial" w:hAnsi="Arial" w:cs="Arial"/>
                <w:sz w:val="22"/>
                <w:szCs w:val="22"/>
              </w:rPr>
              <w:t xml:space="preserve">. </w:t>
            </w:r>
            <w:r>
              <w:rPr>
                <w:rFonts w:ascii="Arial" w:hAnsi="Arial" w:cs="Arial"/>
                <w:sz w:val="22"/>
                <w:szCs w:val="22"/>
              </w:rPr>
              <w:t>Effect of a change in autonomous consumption (5 marks)</w:t>
            </w:r>
          </w:p>
          <w:p w14:paraId="54B9AA08" w14:textId="47777088" w:rsidR="00B150F3" w:rsidRDefault="00B150F3" w:rsidP="00D26B6C">
            <w:pPr>
              <w:snapToGrid w:val="0"/>
              <w:spacing w:before="80"/>
              <w:rPr>
                <w:rFonts w:ascii="Arial" w:hAnsi="Arial" w:cs="Arial"/>
                <w:sz w:val="22"/>
                <w:szCs w:val="22"/>
              </w:rPr>
            </w:pPr>
            <w:r>
              <w:rPr>
                <w:rFonts w:ascii="Arial" w:hAnsi="Arial" w:cs="Arial"/>
                <w:sz w:val="22"/>
                <w:szCs w:val="22"/>
              </w:rPr>
              <w:t>Explanation – 3 marks; model – 2 marks</w:t>
            </w:r>
          </w:p>
          <w:p w14:paraId="4C24DB0F" w14:textId="21F6B2EA" w:rsidR="00530112" w:rsidRDefault="00530112" w:rsidP="00543982">
            <w:pPr>
              <w:snapToGrid w:val="0"/>
              <w:spacing w:before="120" w:after="120"/>
              <w:rPr>
                <w:rFonts w:ascii="Arial" w:hAnsi="Arial" w:cs="Arial"/>
                <w:sz w:val="22"/>
                <w:szCs w:val="22"/>
              </w:rPr>
            </w:pPr>
            <w:r>
              <w:rPr>
                <w:rFonts w:ascii="Arial" w:hAnsi="Arial" w:cs="Arial"/>
                <w:sz w:val="22"/>
                <w:szCs w:val="22"/>
              </w:rPr>
              <w:t>Define autonomous C</w:t>
            </w:r>
            <w:r w:rsidR="00D26B6C">
              <w:rPr>
                <w:rFonts w:ascii="Arial" w:hAnsi="Arial" w:cs="Arial"/>
                <w:sz w:val="22"/>
                <w:szCs w:val="22"/>
              </w:rPr>
              <w:t>; give an example; explain how an increase in auto. C will shift the C function up &amp; have a multiplier effect on real GDP</w:t>
            </w:r>
          </w:p>
          <w:p w14:paraId="0F1B868F" w14:textId="4A16AA5E" w:rsidR="00D26B6C" w:rsidRDefault="00D26B6C" w:rsidP="00543982">
            <w:pPr>
              <w:snapToGrid w:val="0"/>
              <w:spacing w:before="120" w:after="120"/>
              <w:rPr>
                <w:rFonts w:ascii="Arial" w:hAnsi="Arial" w:cs="Arial"/>
                <w:sz w:val="22"/>
                <w:szCs w:val="22"/>
              </w:rPr>
            </w:pPr>
            <w:r>
              <w:rPr>
                <w:rFonts w:ascii="Arial" w:hAnsi="Arial" w:cs="Arial"/>
                <w:sz w:val="22"/>
                <w:szCs w:val="22"/>
              </w:rPr>
              <w:t xml:space="preserve">Correctly labelled AE model showing an increase in C function resulting in an increase in </w:t>
            </w:r>
            <w:proofErr w:type="spellStart"/>
            <w:r>
              <w:rPr>
                <w:rFonts w:ascii="Arial" w:hAnsi="Arial" w:cs="Arial"/>
                <w:sz w:val="22"/>
                <w:szCs w:val="22"/>
              </w:rPr>
              <w:t>equil</w:t>
            </w:r>
            <w:proofErr w:type="spellEnd"/>
            <w:r>
              <w:rPr>
                <w:rFonts w:ascii="Arial" w:hAnsi="Arial" w:cs="Arial"/>
                <w:sz w:val="22"/>
                <w:szCs w:val="22"/>
              </w:rPr>
              <w:t>. Real GDP.</w:t>
            </w:r>
          </w:p>
          <w:p w14:paraId="668FCF73" w14:textId="77777777" w:rsidR="00D26B6C" w:rsidRDefault="00D26B6C" w:rsidP="00D26B6C">
            <w:pPr>
              <w:snapToGrid w:val="0"/>
              <w:spacing w:before="120"/>
              <w:rPr>
                <w:rFonts w:ascii="Arial" w:hAnsi="Arial" w:cs="Arial"/>
                <w:sz w:val="22"/>
                <w:szCs w:val="22"/>
              </w:rPr>
            </w:pPr>
            <w:r>
              <w:rPr>
                <w:rFonts w:ascii="Arial" w:hAnsi="Arial" w:cs="Arial"/>
                <w:sz w:val="22"/>
                <w:szCs w:val="22"/>
              </w:rPr>
              <w:t xml:space="preserve">ii. </w:t>
            </w:r>
            <w:r w:rsidR="00B150F3">
              <w:rPr>
                <w:rFonts w:ascii="Arial" w:hAnsi="Arial" w:cs="Arial"/>
                <w:sz w:val="22"/>
                <w:szCs w:val="22"/>
              </w:rPr>
              <w:t xml:space="preserve">Effect of a change in the </w:t>
            </w:r>
            <w:proofErr w:type="spellStart"/>
            <w:r w:rsidR="00B150F3">
              <w:rPr>
                <w:rFonts w:ascii="Arial" w:hAnsi="Arial" w:cs="Arial"/>
                <w:sz w:val="22"/>
                <w:szCs w:val="22"/>
              </w:rPr>
              <w:t>mpc</w:t>
            </w:r>
            <w:proofErr w:type="spellEnd"/>
            <w:r w:rsidR="00B150F3">
              <w:rPr>
                <w:rFonts w:ascii="Arial" w:hAnsi="Arial" w:cs="Arial"/>
                <w:sz w:val="22"/>
                <w:szCs w:val="22"/>
              </w:rPr>
              <w:t xml:space="preserve"> (5 marks)</w:t>
            </w:r>
            <w:r>
              <w:rPr>
                <w:rFonts w:ascii="Arial" w:hAnsi="Arial" w:cs="Arial"/>
                <w:sz w:val="22"/>
                <w:szCs w:val="22"/>
              </w:rPr>
              <w:t xml:space="preserve"> </w:t>
            </w:r>
          </w:p>
          <w:p w14:paraId="7CC29D38" w14:textId="1402F800" w:rsidR="00D26B6C" w:rsidRDefault="00D26B6C" w:rsidP="00D26B6C">
            <w:pPr>
              <w:snapToGrid w:val="0"/>
              <w:spacing w:before="80"/>
              <w:rPr>
                <w:rFonts w:ascii="Arial" w:hAnsi="Arial" w:cs="Arial"/>
                <w:sz w:val="22"/>
                <w:szCs w:val="22"/>
              </w:rPr>
            </w:pPr>
            <w:r>
              <w:rPr>
                <w:rFonts w:ascii="Arial" w:hAnsi="Arial" w:cs="Arial"/>
                <w:sz w:val="22"/>
                <w:szCs w:val="22"/>
              </w:rPr>
              <w:t>Explanation – 3 marks; model – 2 marks</w:t>
            </w:r>
          </w:p>
          <w:p w14:paraId="79E9C876" w14:textId="77777777" w:rsidR="003061F5" w:rsidRDefault="00D26B6C" w:rsidP="00D26B6C">
            <w:pPr>
              <w:snapToGrid w:val="0"/>
              <w:spacing w:before="120" w:after="120"/>
              <w:rPr>
                <w:rFonts w:ascii="Arial" w:hAnsi="Arial" w:cs="Arial"/>
                <w:sz w:val="22"/>
                <w:szCs w:val="22"/>
              </w:rPr>
            </w:pPr>
            <w:r>
              <w:rPr>
                <w:rFonts w:ascii="Arial" w:hAnsi="Arial" w:cs="Arial"/>
                <w:sz w:val="22"/>
                <w:szCs w:val="22"/>
              </w:rPr>
              <w:t xml:space="preserve">Define the </w:t>
            </w:r>
            <w:proofErr w:type="spellStart"/>
            <w:r>
              <w:rPr>
                <w:rFonts w:ascii="Arial" w:hAnsi="Arial" w:cs="Arial"/>
                <w:sz w:val="22"/>
                <w:szCs w:val="22"/>
              </w:rPr>
              <w:t>mpc</w:t>
            </w:r>
            <w:proofErr w:type="spellEnd"/>
            <w:r>
              <w:rPr>
                <w:rFonts w:ascii="Arial" w:hAnsi="Arial" w:cs="Arial"/>
                <w:sz w:val="22"/>
                <w:szCs w:val="22"/>
              </w:rPr>
              <w:t xml:space="preserve">; give an example; explain how an increase in the </w:t>
            </w:r>
            <w:proofErr w:type="spellStart"/>
            <w:r>
              <w:rPr>
                <w:rFonts w:ascii="Arial" w:hAnsi="Arial" w:cs="Arial"/>
                <w:sz w:val="22"/>
                <w:szCs w:val="22"/>
              </w:rPr>
              <w:t>mpc</w:t>
            </w:r>
            <w:proofErr w:type="spellEnd"/>
            <w:r>
              <w:rPr>
                <w:rFonts w:ascii="Arial" w:hAnsi="Arial" w:cs="Arial"/>
                <w:sz w:val="22"/>
                <w:szCs w:val="22"/>
              </w:rPr>
              <w:t xml:space="preserve"> will increase the slope of the C function (swivel up) which will increase the size of the multiplier &amp; increase </w:t>
            </w:r>
            <w:proofErr w:type="spellStart"/>
            <w:r>
              <w:rPr>
                <w:rFonts w:ascii="Arial" w:hAnsi="Arial" w:cs="Arial"/>
                <w:sz w:val="22"/>
                <w:szCs w:val="22"/>
              </w:rPr>
              <w:t>equil</w:t>
            </w:r>
            <w:proofErr w:type="spellEnd"/>
            <w:r>
              <w:rPr>
                <w:rFonts w:ascii="Arial" w:hAnsi="Arial" w:cs="Arial"/>
                <w:sz w:val="22"/>
                <w:szCs w:val="22"/>
              </w:rPr>
              <w:t xml:space="preserve">. real GDP. </w:t>
            </w:r>
          </w:p>
          <w:p w14:paraId="643FCC0E" w14:textId="0E9B41BF" w:rsidR="00D26B6C" w:rsidRPr="00543982" w:rsidRDefault="00D26B6C" w:rsidP="00D26B6C">
            <w:pPr>
              <w:snapToGrid w:val="0"/>
              <w:spacing w:before="120" w:after="120"/>
              <w:rPr>
                <w:rFonts w:ascii="Arial" w:hAnsi="Arial" w:cs="Arial"/>
                <w:sz w:val="22"/>
                <w:szCs w:val="22"/>
              </w:rPr>
            </w:pPr>
            <w:r>
              <w:rPr>
                <w:rFonts w:ascii="Arial" w:hAnsi="Arial" w:cs="Arial"/>
                <w:sz w:val="22"/>
                <w:szCs w:val="22"/>
              </w:rPr>
              <w:t xml:space="preserve">Correctly labelled AE model showing an increase in the slope of the C function (steeper) resulting in an increase in </w:t>
            </w:r>
            <w:proofErr w:type="spellStart"/>
            <w:r>
              <w:rPr>
                <w:rFonts w:ascii="Arial" w:hAnsi="Arial" w:cs="Arial"/>
                <w:sz w:val="22"/>
                <w:szCs w:val="22"/>
              </w:rPr>
              <w:t>equil</w:t>
            </w:r>
            <w:proofErr w:type="spellEnd"/>
            <w:r>
              <w:rPr>
                <w:rFonts w:ascii="Arial" w:hAnsi="Arial" w:cs="Arial"/>
                <w:sz w:val="22"/>
                <w:szCs w:val="22"/>
              </w:rPr>
              <w:t>. Real GDP.</w:t>
            </w:r>
          </w:p>
        </w:tc>
        <w:tc>
          <w:tcPr>
            <w:tcW w:w="1417" w:type="dxa"/>
          </w:tcPr>
          <w:p w14:paraId="3E66BCFD" w14:textId="77777777" w:rsidR="00543982" w:rsidRDefault="00543982" w:rsidP="00516B66">
            <w:pPr>
              <w:rPr>
                <w:rFonts w:ascii="Arial" w:hAnsi="Arial" w:cs="Arial"/>
                <w:sz w:val="22"/>
                <w:szCs w:val="22"/>
              </w:rPr>
            </w:pPr>
          </w:p>
          <w:p w14:paraId="20894FDB" w14:textId="77777777" w:rsidR="003061F5" w:rsidRDefault="003061F5" w:rsidP="00516B66">
            <w:pPr>
              <w:rPr>
                <w:rFonts w:ascii="Arial" w:hAnsi="Arial" w:cs="Arial"/>
                <w:sz w:val="22"/>
                <w:szCs w:val="22"/>
              </w:rPr>
            </w:pPr>
          </w:p>
          <w:p w14:paraId="2CB31C76" w14:textId="77777777" w:rsidR="00D26B6C" w:rsidRDefault="00D26B6C" w:rsidP="003061F5">
            <w:pPr>
              <w:spacing w:before="120"/>
              <w:rPr>
                <w:rFonts w:ascii="Arial" w:hAnsi="Arial" w:cs="Arial"/>
                <w:sz w:val="22"/>
                <w:szCs w:val="22"/>
              </w:rPr>
            </w:pPr>
          </w:p>
          <w:p w14:paraId="4EC94B37" w14:textId="103A6EA3" w:rsidR="003061F5" w:rsidRDefault="003061F5" w:rsidP="00D26B6C">
            <w:pPr>
              <w:rPr>
                <w:rFonts w:ascii="Arial" w:hAnsi="Arial" w:cs="Arial"/>
                <w:sz w:val="22"/>
                <w:szCs w:val="22"/>
              </w:rPr>
            </w:pPr>
            <w:r w:rsidRPr="00B56166">
              <w:rPr>
                <w:rFonts w:ascii="Arial" w:hAnsi="Arial" w:cs="Arial"/>
                <w:sz w:val="22"/>
                <w:szCs w:val="22"/>
              </w:rPr>
              <w:t>1-</w:t>
            </w:r>
            <w:r w:rsidR="00D26B6C">
              <w:rPr>
                <w:rFonts w:ascii="Arial" w:hAnsi="Arial" w:cs="Arial"/>
                <w:sz w:val="22"/>
                <w:szCs w:val="22"/>
              </w:rPr>
              <w:t>3</w:t>
            </w:r>
            <w:r w:rsidRPr="00B56166">
              <w:rPr>
                <w:rFonts w:ascii="Arial" w:hAnsi="Arial" w:cs="Arial"/>
                <w:sz w:val="22"/>
                <w:szCs w:val="22"/>
              </w:rPr>
              <w:t xml:space="preserve"> marks</w:t>
            </w:r>
          </w:p>
          <w:p w14:paraId="66EF25BB" w14:textId="77777777" w:rsidR="003061F5" w:rsidRDefault="003061F5" w:rsidP="00516B66">
            <w:pPr>
              <w:rPr>
                <w:rFonts w:ascii="Arial" w:hAnsi="Arial" w:cs="Arial"/>
                <w:sz w:val="22"/>
                <w:szCs w:val="22"/>
              </w:rPr>
            </w:pPr>
          </w:p>
          <w:p w14:paraId="22C33586" w14:textId="446EE672" w:rsidR="003061F5" w:rsidRDefault="003061F5" w:rsidP="00D26B6C">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p w14:paraId="4E37F3A2" w14:textId="1F537A3A" w:rsidR="003061F5" w:rsidRDefault="003061F5" w:rsidP="003061F5">
            <w:pPr>
              <w:spacing w:before="120"/>
              <w:rPr>
                <w:rFonts w:ascii="Arial" w:hAnsi="Arial" w:cs="Arial"/>
                <w:sz w:val="22"/>
                <w:szCs w:val="22"/>
              </w:rPr>
            </w:pPr>
          </w:p>
          <w:p w14:paraId="6084D737" w14:textId="63413225" w:rsidR="00D26B6C" w:rsidRDefault="00D26B6C" w:rsidP="003061F5">
            <w:pPr>
              <w:spacing w:before="120"/>
              <w:rPr>
                <w:rFonts w:ascii="Arial" w:hAnsi="Arial" w:cs="Arial"/>
                <w:sz w:val="22"/>
                <w:szCs w:val="22"/>
              </w:rPr>
            </w:pPr>
          </w:p>
          <w:p w14:paraId="2D6EACDE" w14:textId="77777777" w:rsidR="00D26B6C" w:rsidRDefault="00D26B6C" w:rsidP="00D26B6C">
            <w:pPr>
              <w:rPr>
                <w:rFonts w:ascii="Arial" w:hAnsi="Arial" w:cs="Arial"/>
                <w:sz w:val="22"/>
                <w:szCs w:val="22"/>
              </w:rPr>
            </w:pPr>
          </w:p>
          <w:p w14:paraId="0ABEC4BF" w14:textId="122B97E3" w:rsidR="00D26B6C" w:rsidRDefault="00D26B6C" w:rsidP="00D26B6C">
            <w:pPr>
              <w:rPr>
                <w:rFonts w:ascii="Arial" w:hAnsi="Arial" w:cs="Arial"/>
                <w:sz w:val="22"/>
                <w:szCs w:val="22"/>
              </w:rPr>
            </w:pPr>
            <w:r w:rsidRPr="00B56166">
              <w:rPr>
                <w:rFonts w:ascii="Arial" w:hAnsi="Arial" w:cs="Arial"/>
                <w:sz w:val="22"/>
                <w:szCs w:val="22"/>
              </w:rPr>
              <w:t>1-</w:t>
            </w:r>
            <w:r>
              <w:rPr>
                <w:rFonts w:ascii="Arial" w:hAnsi="Arial" w:cs="Arial"/>
                <w:sz w:val="22"/>
                <w:szCs w:val="22"/>
              </w:rPr>
              <w:t>3</w:t>
            </w:r>
            <w:r w:rsidRPr="00B56166">
              <w:rPr>
                <w:rFonts w:ascii="Arial" w:hAnsi="Arial" w:cs="Arial"/>
                <w:sz w:val="22"/>
                <w:szCs w:val="22"/>
              </w:rPr>
              <w:t xml:space="preserve"> marks</w:t>
            </w:r>
          </w:p>
          <w:p w14:paraId="538E77E0" w14:textId="77777777" w:rsidR="00D26B6C" w:rsidRDefault="00D26B6C" w:rsidP="00D26B6C">
            <w:pPr>
              <w:rPr>
                <w:rFonts w:ascii="Arial" w:hAnsi="Arial" w:cs="Arial"/>
                <w:sz w:val="22"/>
                <w:szCs w:val="22"/>
              </w:rPr>
            </w:pPr>
          </w:p>
          <w:p w14:paraId="17EBFE77" w14:textId="77777777" w:rsidR="00D26B6C" w:rsidRDefault="00D26B6C" w:rsidP="00D26B6C">
            <w:pPr>
              <w:spacing w:before="120"/>
              <w:rPr>
                <w:rFonts w:ascii="Arial" w:hAnsi="Arial" w:cs="Arial"/>
                <w:sz w:val="22"/>
                <w:szCs w:val="22"/>
              </w:rPr>
            </w:pPr>
          </w:p>
          <w:p w14:paraId="7E843476" w14:textId="7535E7EB" w:rsidR="003061F5" w:rsidRPr="00B56166" w:rsidRDefault="00D26B6C" w:rsidP="00516B66">
            <w:pPr>
              <w:rPr>
                <w:rFonts w:ascii="Arial" w:hAnsi="Arial" w:cs="Arial"/>
                <w:sz w:val="22"/>
                <w:szCs w:val="22"/>
              </w:rPr>
            </w:pPr>
            <w:r w:rsidRPr="00B56166">
              <w:rPr>
                <w:rFonts w:ascii="Arial" w:hAnsi="Arial" w:cs="Arial"/>
                <w:sz w:val="22"/>
                <w:szCs w:val="22"/>
              </w:rPr>
              <w:t>1-</w:t>
            </w:r>
            <w:r>
              <w:rPr>
                <w:rFonts w:ascii="Arial" w:hAnsi="Arial" w:cs="Arial"/>
                <w:sz w:val="22"/>
                <w:szCs w:val="22"/>
              </w:rPr>
              <w:t>2</w:t>
            </w:r>
            <w:r w:rsidRPr="00B56166">
              <w:rPr>
                <w:rFonts w:ascii="Arial" w:hAnsi="Arial" w:cs="Arial"/>
                <w:sz w:val="22"/>
                <w:szCs w:val="22"/>
              </w:rPr>
              <w:t xml:space="preserve"> marks</w:t>
            </w:r>
          </w:p>
        </w:tc>
      </w:tr>
    </w:tbl>
    <w:p w14:paraId="3D33439F" w14:textId="0CD6F6C5" w:rsidR="00543982" w:rsidRDefault="00543982" w:rsidP="00DC3BD7">
      <w:pPr>
        <w:spacing w:before="120"/>
        <w:rPr>
          <w:rFonts w:ascii="Arial" w:hAnsi="Arial" w:cs="Arial"/>
          <w:sz w:val="22"/>
          <w:szCs w:val="22"/>
          <w:lang w:val="en-US"/>
        </w:rPr>
      </w:pPr>
      <w:r>
        <w:rPr>
          <w:rFonts w:ascii="Arial" w:hAnsi="Arial" w:cs="Arial"/>
          <w:sz w:val="22"/>
          <w:szCs w:val="22"/>
          <w:lang w:val="en-US"/>
        </w:rPr>
        <w:t xml:space="preserve"> </w:t>
      </w:r>
    </w:p>
    <w:p w14:paraId="32D7315D" w14:textId="77777777" w:rsidR="002F0257" w:rsidRDefault="002F0257" w:rsidP="00D66E69">
      <w:pPr>
        <w:tabs>
          <w:tab w:val="left" w:pos="567"/>
          <w:tab w:val="left" w:pos="8364"/>
        </w:tabs>
        <w:ind w:left="992" w:hanging="992"/>
        <w:rPr>
          <w:rFonts w:ascii="Arial" w:hAnsi="Arial" w:cs="Arial"/>
          <w:b/>
          <w:sz w:val="22"/>
          <w:szCs w:val="22"/>
        </w:rPr>
      </w:pPr>
    </w:p>
    <w:p w14:paraId="47BE3F73" w14:textId="77777777" w:rsidR="002F0257" w:rsidRDefault="002F0257" w:rsidP="00D66E69">
      <w:pPr>
        <w:tabs>
          <w:tab w:val="left" w:pos="567"/>
          <w:tab w:val="left" w:pos="8364"/>
        </w:tabs>
        <w:ind w:left="992" w:hanging="992"/>
        <w:rPr>
          <w:rFonts w:ascii="Arial" w:hAnsi="Arial" w:cs="Arial"/>
          <w:b/>
          <w:sz w:val="22"/>
          <w:szCs w:val="22"/>
        </w:rPr>
      </w:pPr>
    </w:p>
    <w:p w14:paraId="38573CF2" w14:textId="77777777" w:rsidR="002F0257" w:rsidRDefault="002F0257" w:rsidP="00D66E69">
      <w:pPr>
        <w:tabs>
          <w:tab w:val="left" w:pos="567"/>
          <w:tab w:val="left" w:pos="8364"/>
        </w:tabs>
        <w:ind w:left="992" w:hanging="992"/>
        <w:rPr>
          <w:rFonts w:ascii="Arial" w:hAnsi="Arial" w:cs="Arial"/>
          <w:b/>
          <w:sz w:val="22"/>
          <w:szCs w:val="22"/>
        </w:rPr>
      </w:pPr>
    </w:p>
    <w:p w14:paraId="2FC2CFA5" w14:textId="77777777" w:rsidR="002F0257" w:rsidRDefault="002F0257" w:rsidP="00D66E69">
      <w:pPr>
        <w:tabs>
          <w:tab w:val="left" w:pos="567"/>
          <w:tab w:val="left" w:pos="8364"/>
        </w:tabs>
        <w:ind w:left="992" w:hanging="992"/>
        <w:rPr>
          <w:rFonts w:ascii="Arial" w:hAnsi="Arial" w:cs="Arial"/>
          <w:b/>
          <w:sz w:val="22"/>
          <w:szCs w:val="22"/>
        </w:rPr>
      </w:pPr>
    </w:p>
    <w:p w14:paraId="4FEEF261" w14:textId="77777777" w:rsidR="002F0257" w:rsidRDefault="002F0257" w:rsidP="00D66E69">
      <w:pPr>
        <w:tabs>
          <w:tab w:val="left" w:pos="567"/>
          <w:tab w:val="left" w:pos="8364"/>
        </w:tabs>
        <w:ind w:left="992" w:hanging="992"/>
        <w:rPr>
          <w:rFonts w:ascii="Arial" w:hAnsi="Arial" w:cs="Arial"/>
          <w:b/>
          <w:sz w:val="22"/>
          <w:szCs w:val="22"/>
        </w:rPr>
      </w:pPr>
    </w:p>
    <w:p w14:paraId="3E3FC6D6" w14:textId="77777777" w:rsidR="002F0257" w:rsidRDefault="002F0257" w:rsidP="00D66E69">
      <w:pPr>
        <w:tabs>
          <w:tab w:val="left" w:pos="567"/>
          <w:tab w:val="left" w:pos="8364"/>
        </w:tabs>
        <w:ind w:left="992" w:hanging="992"/>
        <w:rPr>
          <w:rFonts w:ascii="Arial" w:hAnsi="Arial" w:cs="Arial"/>
          <w:b/>
          <w:sz w:val="22"/>
          <w:szCs w:val="22"/>
        </w:rPr>
      </w:pPr>
    </w:p>
    <w:p w14:paraId="5132E1DB" w14:textId="77777777" w:rsidR="002F0257" w:rsidRDefault="002F0257" w:rsidP="00D66E69">
      <w:pPr>
        <w:tabs>
          <w:tab w:val="left" w:pos="567"/>
          <w:tab w:val="left" w:pos="8364"/>
        </w:tabs>
        <w:ind w:left="992" w:hanging="992"/>
        <w:rPr>
          <w:rFonts w:ascii="Arial" w:hAnsi="Arial" w:cs="Arial"/>
          <w:b/>
          <w:sz w:val="22"/>
          <w:szCs w:val="22"/>
        </w:rPr>
      </w:pPr>
    </w:p>
    <w:p w14:paraId="749D4646" w14:textId="77777777" w:rsidR="002F0257" w:rsidRDefault="002F0257" w:rsidP="00D66E69">
      <w:pPr>
        <w:tabs>
          <w:tab w:val="left" w:pos="567"/>
          <w:tab w:val="left" w:pos="8364"/>
        </w:tabs>
        <w:ind w:left="992" w:hanging="992"/>
        <w:rPr>
          <w:rFonts w:ascii="Arial" w:hAnsi="Arial" w:cs="Arial"/>
          <w:b/>
          <w:sz w:val="22"/>
          <w:szCs w:val="22"/>
        </w:rPr>
      </w:pPr>
    </w:p>
    <w:p w14:paraId="51B0E246" w14:textId="77777777" w:rsidR="002F0257" w:rsidRDefault="002F0257" w:rsidP="00D66E69">
      <w:pPr>
        <w:tabs>
          <w:tab w:val="left" w:pos="567"/>
          <w:tab w:val="left" w:pos="8364"/>
        </w:tabs>
        <w:ind w:left="992" w:hanging="992"/>
        <w:rPr>
          <w:rFonts w:ascii="Arial" w:hAnsi="Arial" w:cs="Arial"/>
          <w:b/>
          <w:sz w:val="22"/>
          <w:szCs w:val="22"/>
        </w:rPr>
      </w:pPr>
    </w:p>
    <w:p w14:paraId="3A5FE6C3" w14:textId="7DDD1CE7" w:rsidR="00D66E69" w:rsidRPr="00215ABB" w:rsidRDefault="00D66E69" w:rsidP="00D66E69">
      <w:pPr>
        <w:tabs>
          <w:tab w:val="left" w:pos="567"/>
          <w:tab w:val="left" w:pos="8364"/>
        </w:tabs>
        <w:ind w:left="992" w:hanging="992"/>
        <w:rPr>
          <w:rFonts w:ascii="Arial" w:hAnsi="Arial" w:cs="Arial"/>
          <w:sz w:val="22"/>
          <w:szCs w:val="22"/>
        </w:rPr>
      </w:pPr>
      <w:r w:rsidRPr="00215ABB">
        <w:rPr>
          <w:rFonts w:ascii="Arial" w:hAnsi="Arial" w:cs="Arial"/>
          <w:b/>
          <w:sz w:val="22"/>
          <w:szCs w:val="22"/>
        </w:rPr>
        <w:lastRenderedPageBreak/>
        <w:t xml:space="preserve">Question </w:t>
      </w:r>
      <w:r>
        <w:rPr>
          <w:rFonts w:ascii="Arial" w:hAnsi="Arial" w:cs="Arial"/>
          <w:b/>
          <w:sz w:val="22"/>
          <w:szCs w:val="22"/>
        </w:rPr>
        <w:t xml:space="preserve">31 </w:t>
      </w:r>
      <w:r>
        <w:rPr>
          <w:rFonts w:ascii="Arial" w:hAnsi="Arial" w:cs="Arial"/>
          <w:b/>
          <w:sz w:val="22"/>
          <w:szCs w:val="22"/>
        </w:rPr>
        <w:tab/>
      </w:r>
      <w:r w:rsidRPr="00215ABB">
        <w:rPr>
          <w:rFonts w:ascii="Arial" w:hAnsi="Arial" w:cs="Arial"/>
          <w:b/>
          <w:sz w:val="22"/>
          <w:szCs w:val="22"/>
        </w:rPr>
        <w:t>(20 marks)</w:t>
      </w:r>
    </w:p>
    <w:p w14:paraId="2DC59EB0" w14:textId="1165857B" w:rsidR="00D66E69" w:rsidRDefault="00D66E69" w:rsidP="00F968CC">
      <w:pPr>
        <w:rPr>
          <w:rFonts w:ascii="Arial" w:hAnsi="Arial" w:cs="Arial"/>
          <w:sz w:val="22"/>
          <w:szCs w:val="22"/>
          <w:lang w:val="en-US"/>
        </w:rPr>
      </w:pPr>
    </w:p>
    <w:p w14:paraId="6B82BB7F" w14:textId="0477B2D6" w:rsidR="00D66E69" w:rsidRDefault="00D66E69" w:rsidP="00D66E69">
      <w:pPr>
        <w:autoSpaceDE w:val="0"/>
        <w:autoSpaceDN w:val="0"/>
        <w:adjustRightInd w:val="0"/>
        <w:rPr>
          <w:rFonts w:ascii="Arial" w:eastAsiaTheme="minorEastAsia" w:hAnsi="Arial" w:cs="Arial"/>
          <w:sz w:val="22"/>
          <w:szCs w:val="22"/>
          <w:lang w:val="en-GB" w:eastAsia="ja-JP"/>
        </w:rPr>
      </w:pPr>
      <w:r>
        <w:rPr>
          <w:rFonts w:ascii="Arial" w:eastAsiaTheme="minorEastAsia" w:hAnsi="Arial" w:cs="Arial"/>
          <w:sz w:val="22"/>
          <w:szCs w:val="22"/>
          <w:lang w:val="en-GB" w:eastAsia="ja-JP"/>
        </w:rPr>
        <w:t xml:space="preserve">Discuss the current fiscal policy setting of the Government with reference to the business cycle and evaluate its effectiveness in achieving the government’s economic objectives. Use </w:t>
      </w:r>
      <w:r w:rsidR="00B225C6">
        <w:rPr>
          <w:rFonts w:ascii="Arial" w:eastAsiaTheme="minorEastAsia" w:hAnsi="Arial" w:cs="Arial"/>
          <w:sz w:val="22"/>
          <w:szCs w:val="22"/>
          <w:lang w:val="en-GB" w:eastAsia="ja-JP"/>
        </w:rPr>
        <w:t xml:space="preserve">the aggregate </w:t>
      </w:r>
      <w:r w:rsidR="00982D73">
        <w:rPr>
          <w:rFonts w:ascii="Arial" w:eastAsiaTheme="minorEastAsia" w:hAnsi="Arial" w:cs="Arial"/>
          <w:sz w:val="22"/>
          <w:szCs w:val="22"/>
          <w:lang w:val="en-GB" w:eastAsia="ja-JP"/>
        </w:rPr>
        <w:t>d</w:t>
      </w:r>
      <w:r w:rsidR="00B225C6">
        <w:rPr>
          <w:rFonts w:ascii="Arial" w:eastAsiaTheme="minorEastAsia" w:hAnsi="Arial" w:cs="Arial"/>
          <w:sz w:val="22"/>
          <w:szCs w:val="22"/>
          <w:lang w:val="en-GB" w:eastAsia="ja-JP"/>
        </w:rPr>
        <w:t xml:space="preserve">emand/aggregate supply </w:t>
      </w:r>
      <w:r w:rsidR="00F968CC">
        <w:rPr>
          <w:rFonts w:ascii="Arial" w:eastAsiaTheme="minorEastAsia" w:hAnsi="Arial" w:cs="Arial"/>
          <w:sz w:val="22"/>
          <w:szCs w:val="22"/>
          <w:lang w:val="en-GB" w:eastAsia="ja-JP"/>
        </w:rPr>
        <w:t xml:space="preserve">(AD/AS) </w:t>
      </w:r>
      <w:r w:rsidR="00B225C6">
        <w:rPr>
          <w:rFonts w:ascii="Arial" w:eastAsiaTheme="minorEastAsia" w:hAnsi="Arial" w:cs="Arial"/>
          <w:sz w:val="22"/>
          <w:szCs w:val="22"/>
          <w:lang w:val="en-GB" w:eastAsia="ja-JP"/>
        </w:rPr>
        <w:t>model</w:t>
      </w:r>
      <w:r>
        <w:rPr>
          <w:rFonts w:ascii="Arial" w:eastAsiaTheme="minorEastAsia" w:hAnsi="Arial" w:cs="Arial"/>
          <w:sz w:val="22"/>
          <w:szCs w:val="22"/>
          <w:lang w:val="en-GB" w:eastAsia="ja-JP"/>
        </w:rPr>
        <w:t xml:space="preserve"> to support your answer.</w:t>
      </w:r>
    </w:p>
    <w:p w14:paraId="7EBE745B" w14:textId="472633A4" w:rsidR="00D66E69" w:rsidRDefault="00D66E69" w:rsidP="00DC3BD7">
      <w:pPr>
        <w:spacing w:before="120"/>
        <w:rPr>
          <w:rFonts w:ascii="Arial" w:hAnsi="Arial" w:cs="Arial"/>
          <w:sz w:val="22"/>
          <w:szCs w:val="22"/>
          <w:lang w:val="en-US"/>
        </w:rPr>
      </w:pPr>
    </w:p>
    <w:tbl>
      <w:tblPr>
        <w:tblStyle w:val="TableGrid"/>
        <w:tblW w:w="0" w:type="auto"/>
        <w:tblInd w:w="137" w:type="dxa"/>
        <w:tblLayout w:type="fixed"/>
        <w:tblLook w:val="04A0" w:firstRow="1" w:lastRow="0" w:firstColumn="1" w:lastColumn="0" w:noHBand="0" w:noVBand="1"/>
      </w:tblPr>
      <w:tblGrid>
        <w:gridCol w:w="8080"/>
        <w:gridCol w:w="1417"/>
      </w:tblGrid>
      <w:tr w:rsidR="00B225C6" w:rsidRPr="00CF1382" w14:paraId="3F08D505" w14:textId="77777777" w:rsidTr="00353CAC">
        <w:trPr>
          <w:trHeight w:val="2708"/>
        </w:trPr>
        <w:tc>
          <w:tcPr>
            <w:tcW w:w="8080" w:type="dxa"/>
          </w:tcPr>
          <w:p w14:paraId="212FB993" w14:textId="2EC3C36A" w:rsidR="00B225C6" w:rsidRDefault="00B225C6" w:rsidP="002C19C5">
            <w:pPr>
              <w:pStyle w:val="Default"/>
              <w:spacing w:before="60"/>
              <w:rPr>
                <w:sz w:val="22"/>
                <w:szCs w:val="22"/>
              </w:rPr>
            </w:pPr>
            <w:r>
              <w:rPr>
                <w:sz w:val="22"/>
                <w:szCs w:val="22"/>
              </w:rPr>
              <w:t>Current fiscal policy (1-</w:t>
            </w:r>
            <w:r w:rsidR="00B453A5">
              <w:rPr>
                <w:sz w:val="22"/>
                <w:szCs w:val="22"/>
              </w:rPr>
              <w:t>4</w:t>
            </w:r>
            <w:r>
              <w:rPr>
                <w:sz w:val="22"/>
                <w:szCs w:val="22"/>
              </w:rPr>
              <w:t xml:space="preserve"> marks)</w:t>
            </w:r>
          </w:p>
          <w:p w14:paraId="7CAD936E" w14:textId="6A260BA0" w:rsidR="00B453A5" w:rsidRDefault="00B453A5" w:rsidP="00B453A5">
            <w:pPr>
              <w:pStyle w:val="Default"/>
              <w:numPr>
                <w:ilvl w:val="0"/>
                <w:numId w:val="17"/>
              </w:numPr>
              <w:spacing w:before="60"/>
              <w:rPr>
                <w:sz w:val="22"/>
                <w:szCs w:val="22"/>
              </w:rPr>
            </w:pPr>
            <w:r>
              <w:rPr>
                <w:sz w:val="22"/>
                <w:szCs w:val="22"/>
              </w:rPr>
              <w:t>Current fiscal policy: govt has introduced a number of stimulus policies to support private demand, both consumption &amp; investment</w:t>
            </w:r>
          </w:p>
          <w:p w14:paraId="5098F3C9" w14:textId="0AE5F3B2" w:rsidR="00B453A5" w:rsidRDefault="00B453A5" w:rsidP="00353CAC">
            <w:pPr>
              <w:pStyle w:val="Default"/>
              <w:numPr>
                <w:ilvl w:val="0"/>
                <w:numId w:val="17"/>
              </w:numPr>
              <w:spacing w:before="60"/>
              <w:ind w:left="714" w:hanging="357"/>
              <w:rPr>
                <w:sz w:val="22"/>
                <w:szCs w:val="22"/>
              </w:rPr>
            </w:pPr>
            <w:r>
              <w:rPr>
                <w:sz w:val="22"/>
                <w:szCs w:val="22"/>
              </w:rPr>
              <w:t xml:space="preserve">Increased jobseeker, introduced </w:t>
            </w:r>
            <w:proofErr w:type="spellStart"/>
            <w:r>
              <w:rPr>
                <w:sz w:val="22"/>
                <w:szCs w:val="22"/>
              </w:rPr>
              <w:t>jobkeeper</w:t>
            </w:r>
            <w:proofErr w:type="spellEnd"/>
            <w:r>
              <w:rPr>
                <w:sz w:val="22"/>
                <w:szCs w:val="22"/>
              </w:rPr>
              <w:t>, direct income payments to low income households &amp; small business sector</w:t>
            </w:r>
          </w:p>
          <w:p w14:paraId="32C2AC3C" w14:textId="6ACB96C5" w:rsidR="00B453A5" w:rsidRDefault="00B453A5" w:rsidP="00353CAC">
            <w:pPr>
              <w:pStyle w:val="Default"/>
              <w:numPr>
                <w:ilvl w:val="0"/>
                <w:numId w:val="17"/>
              </w:numPr>
              <w:spacing w:before="60"/>
              <w:ind w:left="714" w:hanging="357"/>
              <w:rPr>
                <w:sz w:val="22"/>
                <w:szCs w:val="22"/>
              </w:rPr>
            </w:pPr>
            <w:r>
              <w:rPr>
                <w:sz w:val="22"/>
                <w:szCs w:val="22"/>
              </w:rPr>
              <w:t>Size of stimulus approx. $200bn (10% of GDP)</w:t>
            </w:r>
          </w:p>
          <w:p w14:paraId="7356F5A0" w14:textId="77777777" w:rsidR="00EF55E6" w:rsidRDefault="00B453A5" w:rsidP="00353CAC">
            <w:pPr>
              <w:pStyle w:val="Default"/>
              <w:numPr>
                <w:ilvl w:val="0"/>
                <w:numId w:val="17"/>
              </w:numPr>
              <w:spacing w:before="60"/>
              <w:ind w:left="714" w:hanging="357"/>
              <w:rPr>
                <w:sz w:val="22"/>
                <w:szCs w:val="22"/>
              </w:rPr>
            </w:pPr>
            <w:r>
              <w:rPr>
                <w:sz w:val="22"/>
                <w:szCs w:val="22"/>
              </w:rPr>
              <w:t>Result will be a massive increase in the budget deficit</w:t>
            </w:r>
          </w:p>
          <w:p w14:paraId="4317C5E8" w14:textId="3CCD4BF7" w:rsidR="00353CAC" w:rsidRPr="005A17F3" w:rsidRDefault="00353CAC" w:rsidP="00353CAC">
            <w:pPr>
              <w:pStyle w:val="Default"/>
              <w:numPr>
                <w:ilvl w:val="0"/>
                <w:numId w:val="17"/>
              </w:numPr>
              <w:spacing w:before="60"/>
              <w:ind w:left="714" w:hanging="357"/>
              <w:rPr>
                <w:sz w:val="22"/>
                <w:szCs w:val="22"/>
              </w:rPr>
            </w:pPr>
            <w:r>
              <w:rPr>
                <w:sz w:val="22"/>
                <w:szCs w:val="22"/>
              </w:rPr>
              <w:t>Stimulus designed to increase AD to offset the large negative shock</w:t>
            </w:r>
          </w:p>
        </w:tc>
        <w:tc>
          <w:tcPr>
            <w:tcW w:w="1417" w:type="dxa"/>
          </w:tcPr>
          <w:p w14:paraId="0210326C" w14:textId="77777777" w:rsidR="00B225C6" w:rsidRPr="00B56166" w:rsidRDefault="00B225C6" w:rsidP="002C19C5">
            <w:pPr>
              <w:rPr>
                <w:rFonts w:ascii="Arial" w:hAnsi="Arial" w:cs="Arial"/>
                <w:sz w:val="22"/>
                <w:szCs w:val="22"/>
              </w:rPr>
            </w:pPr>
          </w:p>
          <w:p w14:paraId="426B043E" w14:textId="0C067F8E" w:rsidR="00B225C6" w:rsidRDefault="00B225C6" w:rsidP="002C19C5">
            <w:pPr>
              <w:spacing w:before="120"/>
              <w:rPr>
                <w:rFonts w:ascii="Arial" w:hAnsi="Arial" w:cs="Arial"/>
                <w:sz w:val="22"/>
                <w:szCs w:val="22"/>
              </w:rPr>
            </w:pPr>
            <w:r w:rsidRPr="00B56166">
              <w:rPr>
                <w:rFonts w:ascii="Arial" w:hAnsi="Arial" w:cs="Arial"/>
                <w:sz w:val="22"/>
                <w:szCs w:val="22"/>
              </w:rPr>
              <w:t>1-</w:t>
            </w:r>
            <w:r w:rsidR="00AC03B2">
              <w:rPr>
                <w:rFonts w:ascii="Arial" w:hAnsi="Arial" w:cs="Arial"/>
                <w:sz w:val="22"/>
                <w:szCs w:val="22"/>
              </w:rPr>
              <w:t>4</w:t>
            </w:r>
            <w:r w:rsidRPr="00B56166">
              <w:rPr>
                <w:rFonts w:ascii="Arial" w:hAnsi="Arial" w:cs="Arial"/>
                <w:sz w:val="22"/>
                <w:szCs w:val="22"/>
              </w:rPr>
              <w:t xml:space="preserve"> marks</w:t>
            </w:r>
          </w:p>
          <w:p w14:paraId="1E8EA268" w14:textId="77777777" w:rsidR="00B225C6" w:rsidRDefault="00B225C6" w:rsidP="002C19C5">
            <w:pPr>
              <w:spacing w:before="120"/>
              <w:rPr>
                <w:rFonts w:ascii="Arial" w:hAnsi="Arial" w:cs="Arial"/>
                <w:sz w:val="22"/>
                <w:szCs w:val="22"/>
              </w:rPr>
            </w:pPr>
          </w:p>
          <w:p w14:paraId="54F7BC8A" w14:textId="5AA877BD" w:rsidR="00B225C6" w:rsidRPr="00CF1382" w:rsidRDefault="00B225C6" w:rsidP="002C19C5">
            <w:pPr>
              <w:spacing w:before="120"/>
              <w:rPr>
                <w:rFonts w:ascii="Arial" w:hAnsi="Arial" w:cs="Arial"/>
                <w:sz w:val="22"/>
                <w:szCs w:val="22"/>
              </w:rPr>
            </w:pPr>
          </w:p>
        </w:tc>
      </w:tr>
      <w:tr w:rsidR="00EF55E6" w:rsidRPr="00CF1382" w14:paraId="3E1B5328" w14:textId="77777777" w:rsidTr="00353CAC">
        <w:trPr>
          <w:trHeight w:val="2123"/>
        </w:trPr>
        <w:tc>
          <w:tcPr>
            <w:tcW w:w="8080" w:type="dxa"/>
          </w:tcPr>
          <w:p w14:paraId="6C5D9824" w14:textId="77777777" w:rsidR="00EF55E6" w:rsidRDefault="00EF55E6" w:rsidP="00EF55E6">
            <w:pPr>
              <w:pStyle w:val="Default"/>
              <w:spacing w:before="60"/>
              <w:rPr>
                <w:sz w:val="22"/>
                <w:szCs w:val="22"/>
              </w:rPr>
            </w:pPr>
            <w:r>
              <w:rPr>
                <w:sz w:val="22"/>
                <w:szCs w:val="22"/>
              </w:rPr>
              <w:t>Reference to the business cycle (1-4 marks)</w:t>
            </w:r>
          </w:p>
          <w:p w14:paraId="5DA28620" w14:textId="013EC8FA" w:rsidR="00EF55E6" w:rsidRDefault="00EF55E6" w:rsidP="00EF55E6">
            <w:pPr>
              <w:pStyle w:val="Default"/>
              <w:numPr>
                <w:ilvl w:val="0"/>
                <w:numId w:val="18"/>
              </w:numPr>
              <w:spacing w:before="60"/>
              <w:rPr>
                <w:sz w:val="22"/>
                <w:szCs w:val="22"/>
              </w:rPr>
            </w:pPr>
            <w:r>
              <w:rPr>
                <w:sz w:val="22"/>
                <w:szCs w:val="22"/>
              </w:rPr>
              <w:t>Coronavirus has pushed the economy into a recession – the first since 1991</w:t>
            </w:r>
            <w:r w:rsidR="00353CAC">
              <w:rPr>
                <w:sz w:val="22"/>
                <w:szCs w:val="22"/>
              </w:rPr>
              <w:t xml:space="preserve"> &amp; the biggest contraction since the Great Depression of the 1930s</w:t>
            </w:r>
          </w:p>
          <w:p w14:paraId="7FE316AE" w14:textId="55476051" w:rsidR="00EF55E6" w:rsidRPr="00353CAC" w:rsidRDefault="00EF55E6" w:rsidP="002C19C5">
            <w:pPr>
              <w:pStyle w:val="Default"/>
              <w:numPr>
                <w:ilvl w:val="0"/>
                <w:numId w:val="18"/>
              </w:numPr>
              <w:spacing w:before="60"/>
              <w:rPr>
                <w:sz w:val="22"/>
                <w:szCs w:val="22"/>
              </w:rPr>
            </w:pPr>
            <w:r>
              <w:rPr>
                <w:sz w:val="22"/>
                <w:szCs w:val="22"/>
              </w:rPr>
              <w:t xml:space="preserve">March </w:t>
            </w:r>
            <w:proofErr w:type="spellStart"/>
            <w:r>
              <w:rPr>
                <w:sz w:val="22"/>
                <w:szCs w:val="22"/>
              </w:rPr>
              <w:t>qrt</w:t>
            </w:r>
            <w:proofErr w:type="spellEnd"/>
            <w:r>
              <w:rPr>
                <w:sz w:val="22"/>
                <w:szCs w:val="22"/>
              </w:rPr>
              <w:t xml:space="preserve"> GDP</w:t>
            </w:r>
            <w:r w:rsidR="00353CAC">
              <w:rPr>
                <w:sz w:val="22"/>
                <w:szCs w:val="22"/>
              </w:rPr>
              <w:t xml:space="preserve"> growth rate</w:t>
            </w:r>
            <w:r>
              <w:rPr>
                <w:sz w:val="22"/>
                <w:szCs w:val="22"/>
              </w:rPr>
              <w:t xml:space="preserve"> fell by 0.3%; </w:t>
            </w:r>
            <w:r w:rsidR="00353CAC">
              <w:rPr>
                <w:sz w:val="22"/>
                <w:szCs w:val="22"/>
              </w:rPr>
              <w:t xml:space="preserve">June </w:t>
            </w:r>
            <w:proofErr w:type="spellStart"/>
            <w:r w:rsidR="00353CAC">
              <w:rPr>
                <w:sz w:val="22"/>
                <w:szCs w:val="22"/>
              </w:rPr>
              <w:t>qrt</w:t>
            </w:r>
            <w:proofErr w:type="spellEnd"/>
            <w:r w:rsidR="00353CAC">
              <w:rPr>
                <w:sz w:val="22"/>
                <w:szCs w:val="22"/>
              </w:rPr>
              <w:t xml:space="preserve"> expected to be even larger contraction; </w:t>
            </w:r>
            <w:r>
              <w:rPr>
                <w:sz w:val="22"/>
                <w:szCs w:val="22"/>
              </w:rPr>
              <w:t>unemployment rate increased to over 7%</w:t>
            </w:r>
            <w:r w:rsidR="00353CAC">
              <w:rPr>
                <w:sz w:val="22"/>
                <w:szCs w:val="22"/>
              </w:rPr>
              <w:t xml:space="preserve"> &amp; expected to rise to 10%</w:t>
            </w:r>
            <w:r>
              <w:rPr>
                <w:sz w:val="22"/>
                <w:szCs w:val="22"/>
              </w:rPr>
              <w:t xml:space="preserve">; C &amp; I both decreased; annual inflation fallen to around 1% (March </w:t>
            </w:r>
            <w:proofErr w:type="spellStart"/>
            <w:r>
              <w:rPr>
                <w:sz w:val="22"/>
                <w:szCs w:val="22"/>
              </w:rPr>
              <w:t>qrt</w:t>
            </w:r>
            <w:proofErr w:type="spellEnd"/>
            <w:r>
              <w:rPr>
                <w:sz w:val="22"/>
                <w:szCs w:val="22"/>
              </w:rPr>
              <w:t xml:space="preserve"> negative)</w:t>
            </w:r>
          </w:p>
        </w:tc>
        <w:tc>
          <w:tcPr>
            <w:tcW w:w="1417" w:type="dxa"/>
          </w:tcPr>
          <w:p w14:paraId="0459D258"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45EA0700" w14:textId="77777777" w:rsidR="00EF55E6" w:rsidRPr="00B56166" w:rsidRDefault="00EF55E6" w:rsidP="002C19C5">
            <w:pPr>
              <w:rPr>
                <w:rFonts w:ascii="Arial" w:hAnsi="Arial" w:cs="Arial"/>
                <w:sz w:val="22"/>
                <w:szCs w:val="22"/>
              </w:rPr>
            </w:pPr>
          </w:p>
        </w:tc>
      </w:tr>
      <w:tr w:rsidR="00EF55E6" w:rsidRPr="00CF1382" w14:paraId="25B0CE00" w14:textId="77777777" w:rsidTr="00353CAC">
        <w:trPr>
          <w:trHeight w:val="2820"/>
        </w:trPr>
        <w:tc>
          <w:tcPr>
            <w:tcW w:w="8080" w:type="dxa"/>
          </w:tcPr>
          <w:p w14:paraId="797E1639" w14:textId="2CEBF3B0" w:rsidR="00EF55E6" w:rsidRDefault="00EF55E6" w:rsidP="00EF55E6">
            <w:pPr>
              <w:pStyle w:val="Default"/>
              <w:spacing w:before="60"/>
              <w:rPr>
                <w:sz w:val="22"/>
                <w:szCs w:val="22"/>
              </w:rPr>
            </w:pPr>
            <w:r>
              <w:rPr>
                <w:sz w:val="22"/>
                <w:szCs w:val="22"/>
              </w:rPr>
              <w:t>Govt’s economic objectives (</w:t>
            </w:r>
            <w:r w:rsidR="00AC03B2">
              <w:rPr>
                <w:sz w:val="22"/>
                <w:szCs w:val="22"/>
              </w:rPr>
              <w:t>1-</w:t>
            </w:r>
            <w:r>
              <w:rPr>
                <w:sz w:val="22"/>
                <w:szCs w:val="22"/>
              </w:rPr>
              <w:t>4 marks)</w:t>
            </w:r>
          </w:p>
          <w:p w14:paraId="718D4C76" w14:textId="7014E994" w:rsidR="00EF55E6" w:rsidRDefault="00353CAC" w:rsidP="00353CAC">
            <w:pPr>
              <w:pStyle w:val="Default"/>
              <w:numPr>
                <w:ilvl w:val="0"/>
                <w:numId w:val="19"/>
              </w:numPr>
              <w:spacing w:before="60"/>
              <w:rPr>
                <w:sz w:val="22"/>
                <w:szCs w:val="22"/>
              </w:rPr>
            </w:pPr>
            <w:r>
              <w:rPr>
                <w:sz w:val="22"/>
                <w:szCs w:val="22"/>
              </w:rPr>
              <w:t>Econ growth – target is around 3-3½%, but this will not be achieved this year; economy likely to record negative annual GDP growth</w:t>
            </w:r>
          </w:p>
          <w:p w14:paraId="19C8244A" w14:textId="77777777" w:rsidR="00353CAC" w:rsidRDefault="00353CAC" w:rsidP="00353CAC">
            <w:pPr>
              <w:pStyle w:val="Default"/>
              <w:numPr>
                <w:ilvl w:val="0"/>
                <w:numId w:val="19"/>
              </w:numPr>
              <w:spacing w:before="60"/>
              <w:rPr>
                <w:sz w:val="22"/>
                <w:szCs w:val="22"/>
              </w:rPr>
            </w:pPr>
            <w:r>
              <w:rPr>
                <w:sz w:val="22"/>
                <w:szCs w:val="22"/>
              </w:rPr>
              <w:t>Full employment – target is around 4½%, but this will not be achieved this year; U rate will continue to rise through the year &amp; approach 10%</w:t>
            </w:r>
          </w:p>
          <w:p w14:paraId="4475C695" w14:textId="77777777" w:rsidR="00353CAC" w:rsidRDefault="00353CAC" w:rsidP="00353CAC">
            <w:pPr>
              <w:pStyle w:val="Default"/>
              <w:numPr>
                <w:ilvl w:val="0"/>
                <w:numId w:val="19"/>
              </w:numPr>
              <w:spacing w:before="60"/>
              <w:rPr>
                <w:sz w:val="22"/>
                <w:szCs w:val="22"/>
              </w:rPr>
            </w:pPr>
            <w:r>
              <w:rPr>
                <w:sz w:val="22"/>
                <w:szCs w:val="22"/>
              </w:rPr>
              <w:t xml:space="preserve">U rate has been kept artificially low due to </w:t>
            </w:r>
            <w:proofErr w:type="spellStart"/>
            <w:r>
              <w:rPr>
                <w:sz w:val="22"/>
                <w:szCs w:val="22"/>
              </w:rPr>
              <w:t>jobkeeper</w:t>
            </w:r>
            <w:proofErr w:type="spellEnd"/>
            <w:r>
              <w:rPr>
                <w:sz w:val="22"/>
                <w:szCs w:val="22"/>
              </w:rPr>
              <w:t xml:space="preserve"> scheme</w:t>
            </w:r>
          </w:p>
          <w:p w14:paraId="734A41B0" w14:textId="56AF3F1B" w:rsidR="00353CAC" w:rsidRDefault="00353CAC" w:rsidP="00353CAC">
            <w:pPr>
              <w:pStyle w:val="Default"/>
              <w:numPr>
                <w:ilvl w:val="0"/>
                <w:numId w:val="19"/>
              </w:numPr>
              <w:spacing w:before="60"/>
              <w:rPr>
                <w:sz w:val="22"/>
                <w:szCs w:val="22"/>
              </w:rPr>
            </w:pPr>
            <w:r>
              <w:rPr>
                <w:sz w:val="22"/>
                <w:szCs w:val="22"/>
              </w:rPr>
              <w:t>Inflation – target is around 2-3%, but this will not be achieved this year; currently annual rate just over 1% &amp; expected to remain low due to lack of spending &amp; demand</w:t>
            </w:r>
          </w:p>
        </w:tc>
        <w:tc>
          <w:tcPr>
            <w:tcW w:w="1417" w:type="dxa"/>
          </w:tcPr>
          <w:p w14:paraId="04E71B64"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02C6F4FA" w14:textId="77777777" w:rsidR="00EF55E6" w:rsidRPr="00B56166" w:rsidRDefault="00EF55E6" w:rsidP="002C19C5">
            <w:pPr>
              <w:rPr>
                <w:rFonts w:ascii="Arial" w:hAnsi="Arial" w:cs="Arial"/>
                <w:sz w:val="22"/>
                <w:szCs w:val="22"/>
              </w:rPr>
            </w:pPr>
          </w:p>
        </w:tc>
      </w:tr>
      <w:tr w:rsidR="00EF55E6" w:rsidRPr="00CF1382" w14:paraId="701DE3FC" w14:textId="77777777" w:rsidTr="00353CAC">
        <w:trPr>
          <w:trHeight w:val="1130"/>
        </w:trPr>
        <w:tc>
          <w:tcPr>
            <w:tcW w:w="8080" w:type="dxa"/>
          </w:tcPr>
          <w:p w14:paraId="06915D6E" w14:textId="0B30B604" w:rsidR="00EF55E6" w:rsidRDefault="00EF55E6" w:rsidP="00EF55E6">
            <w:pPr>
              <w:pStyle w:val="Default"/>
              <w:spacing w:before="60"/>
              <w:rPr>
                <w:sz w:val="22"/>
                <w:szCs w:val="22"/>
              </w:rPr>
            </w:pPr>
            <w:r>
              <w:rPr>
                <w:sz w:val="22"/>
                <w:szCs w:val="22"/>
              </w:rPr>
              <w:t>Effectiveness of fiscal policy (</w:t>
            </w:r>
            <w:r w:rsidR="00AC03B2">
              <w:rPr>
                <w:sz w:val="22"/>
                <w:szCs w:val="22"/>
              </w:rPr>
              <w:t>1-</w:t>
            </w:r>
            <w:r>
              <w:rPr>
                <w:sz w:val="22"/>
                <w:szCs w:val="22"/>
              </w:rPr>
              <w:t>4 marks)</w:t>
            </w:r>
          </w:p>
          <w:p w14:paraId="46F41A92" w14:textId="64A034B0" w:rsidR="00EF55E6" w:rsidRDefault="00353CAC" w:rsidP="00353CAC">
            <w:pPr>
              <w:pStyle w:val="Default"/>
              <w:numPr>
                <w:ilvl w:val="0"/>
                <w:numId w:val="21"/>
              </w:numPr>
              <w:spacing w:before="60"/>
              <w:rPr>
                <w:sz w:val="22"/>
                <w:szCs w:val="22"/>
              </w:rPr>
            </w:pPr>
            <w:r>
              <w:rPr>
                <w:sz w:val="22"/>
                <w:szCs w:val="22"/>
              </w:rPr>
              <w:t>Fiscal policy is far more effective than monetary policy when the economy is in a recession – this is because G is a direct component of AD</w:t>
            </w:r>
            <w:r w:rsidR="00AC03B2">
              <w:rPr>
                <w:sz w:val="22"/>
                <w:szCs w:val="22"/>
              </w:rPr>
              <w:t xml:space="preserve"> (AE)</w:t>
            </w:r>
            <w:r>
              <w:rPr>
                <w:sz w:val="22"/>
                <w:szCs w:val="22"/>
              </w:rPr>
              <w:t xml:space="preserve"> &amp; so increases in G will have immediate &amp; multiplier effects throughout the economy</w:t>
            </w:r>
          </w:p>
          <w:p w14:paraId="71122C76" w14:textId="337A172F" w:rsidR="00AC03B2" w:rsidRDefault="00AC03B2" w:rsidP="00353CAC">
            <w:pPr>
              <w:pStyle w:val="Default"/>
              <w:numPr>
                <w:ilvl w:val="0"/>
                <w:numId w:val="21"/>
              </w:numPr>
              <w:spacing w:before="60"/>
              <w:rPr>
                <w:sz w:val="22"/>
                <w:szCs w:val="22"/>
              </w:rPr>
            </w:pPr>
            <w:r>
              <w:rPr>
                <w:sz w:val="22"/>
                <w:szCs w:val="22"/>
              </w:rPr>
              <w:t xml:space="preserve">The effect lag is very short for fiscal policy </w:t>
            </w:r>
          </w:p>
          <w:p w14:paraId="3157D915" w14:textId="77777777" w:rsidR="00353CAC" w:rsidRDefault="00353CAC" w:rsidP="00353CAC">
            <w:pPr>
              <w:pStyle w:val="Default"/>
              <w:numPr>
                <w:ilvl w:val="0"/>
                <w:numId w:val="21"/>
              </w:numPr>
              <w:spacing w:before="60"/>
              <w:rPr>
                <w:sz w:val="22"/>
                <w:szCs w:val="22"/>
              </w:rPr>
            </w:pPr>
            <w:r>
              <w:rPr>
                <w:sz w:val="22"/>
                <w:szCs w:val="22"/>
              </w:rPr>
              <w:t>The govt can open a spending tap &amp; target spending to specific sectors &amp; income groups if necessary</w:t>
            </w:r>
          </w:p>
          <w:p w14:paraId="37C0663C" w14:textId="77777777" w:rsidR="00AC03B2" w:rsidRDefault="00AC03B2" w:rsidP="00353CAC">
            <w:pPr>
              <w:pStyle w:val="Default"/>
              <w:numPr>
                <w:ilvl w:val="0"/>
                <w:numId w:val="21"/>
              </w:numPr>
              <w:spacing w:before="60"/>
              <w:rPr>
                <w:sz w:val="22"/>
                <w:szCs w:val="22"/>
              </w:rPr>
            </w:pPr>
            <w:r>
              <w:rPr>
                <w:sz w:val="22"/>
                <w:szCs w:val="22"/>
              </w:rPr>
              <w:t>The govt can quickly raise funding (finance its budget deficit) through the selling of govt bonds either to domestic or foreign residents</w:t>
            </w:r>
          </w:p>
          <w:p w14:paraId="233AC64E" w14:textId="77777777" w:rsidR="00AC03B2" w:rsidRDefault="00AC03B2" w:rsidP="00353CAC">
            <w:pPr>
              <w:pStyle w:val="Default"/>
              <w:numPr>
                <w:ilvl w:val="0"/>
                <w:numId w:val="21"/>
              </w:numPr>
              <w:spacing w:before="60"/>
              <w:rPr>
                <w:sz w:val="22"/>
                <w:szCs w:val="22"/>
              </w:rPr>
            </w:pPr>
            <w:r>
              <w:rPr>
                <w:sz w:val="22"/>
                <w:szCs w:val="22"/>
              </w:rPr>
              <w:t>The multiplier effect is likely to be stronger when the economy is in recession since inflation is very weak</w:t>
            </w:r>
          </w:p>
          <w:p w14:paraId="42B1DA92" w14:textId="2C14562D" w:rsidR="00AC03B2" w:rsidRDefault="00AC03B2" w:rsidP="00AC03B2">
            <w:pPr>
              <w:pStyle w:val="Default"/>
              <w:spacing w:before="60"/>
              <w:ind w:left="720"/>
              <w:rPr>
                <w:sz w:val="22"/>
                <w:szCs w:val="22"/>
              </w:rPr>
            </w:pPr>
          </w:p>
        </w:tc>
        <w:tc>
          <w:tcPr>
            <w:tcW w:w="1417" w:type="dxa"/>
          </w:tcPr>
          <w:p w14:paraId="31128CE9"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3C1AEDB4" w14:textId="77777777" w:rsidR="00EF55E6" w:rsidRPr="00B56166" w:rsidRDefault="00EF55E6" w:rsidP="002C19C5">
            <w:pPr>
              <w:rPr>
                <w:rFonts w:ascii="Arial" w:hAnsi="Arial" w:cs="Arial"/>
                <w:sz w:val="22"/>
                <w:szCs w:val="22"/>
              </w:rPr>
            </w:pPr>
          </w:p>
        </w:tc>
      </w:tr>
      <w:tr w:rsidR="00EF55E6" w:rsidRPr="00CF1382" w14:paraId="55C2365F" w14:textId="77777777" w:rsidTr="00353CAC">
        <w:trPr>
          <w:trHeight w:val="61"/>
        </w:trPr>
        <w:tc>
          <w:tcPr>
            <w:tcW w:w="8080" w:type="dxa"/>
          </w:tcPr>
          <w:p w14:paraId="7FE26A48" w14:textId="3DF19084" w:rsidR="00EF55E6" w:rsidRDefault="00EF55E6" w:rsidP="00EF55E6">
            <w:pPr>
              <w:pStyle w:val="Default"/>
              <w:spacing w:before="60"/>
              <w:rPr>
                <w:color w:val="313131"/>
                <w:sz w:val="22"/>
                <w:szCs w:val="22"/>
                <w:shd w:val="clear" w:color="auto" w:fill="FFFFFF"/>
              </w:rPr>
            </w:pPr>
            <w:r>
              <w:rPr>
                <w:color w:val="313131"/>
                <w:sz w:val="22"/>
                <w:szCs w:val="22"/>
                <w:shd w:val="clear" w:color="auto" w:fill="FFFFFF"/>
              </w:rPr>
              <w:lastRenderedPageBreak/>
              <w:t xml:space="preserve">Use of the AD/AS </w:t>
            </w:r>
            <w:r w:rsidR="00AC03B2">
              <w:rPr>
                <w:color w:val="313131"/>
                <w:sz w:val="22"/>
                <w:szCs w:val="22"/>
                <w:shd w:val="clear" w:color="auto" w:fill="FFFFFF"/>
              </w:rPr>
              <w:t>m</w:t>
            </w:r>
            <w:r>
              <w:rPr>
                <w:color w:val="313131"/>
                <w:sz w:val="22"/>
                <w:szCs w:val="22"/>
                <w:shd w:val="clear" w:color="auto" w:fill="FFFFFF"/>
              </w:rPr>
              <w:t xml:space="preserve">odel </w:t>
            </w:r>
            <w:r w:rsidR="00AC03B2">
              <w:rPr>
                <w:color w:val="313131"/>
                <w:sz w:val="22"/>
                <w:szCs w:val="22"/>
                <w:shd w:val="clear" w:color="auto" w:fill="FFFFFF"/>
              </w:rPr>
              <w:t>(1-</w:t>
            </w:r>
            <w:r>
              <w:rPr>
                <w:color w:val="313131"/>
                <w:sz w:val="22"/>
                <w:szCs w:val="22"/>
                <w:shd w:val="clear" w:color="auto" w:fill="FFFFFF"/>
              </w:rPr>
              <w:t>4 marks)</w:t>
            </w:r>
          </w:p>
          <w:p w14:paraId="7741E7D3" w14:textId="7779C678" w:rsidR="00AC03B2"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Correctly labelled AD/AS model showing the economy initially below potential GDP (to the left of the LRAS curve)</w:t>
            </w:r>
          </w:p>
          <w:p w14:paraId="15BFE30E" w14:textId="5B585F6F" w:rsidR="00982D73"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Show effect of Coronavirus as large decrease in AD; can also show a decrease in AS but the main effect is the AD shock</w:t>
            </w:r>
          </w:p>
          <w:p w14:paraId="6851FBCA" w14:textId="1BE5C236" w:rsidR="00982D73"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Show effect of shock(s) on real GDP &amp; price level – decreases in both (&amp; increase in U rate)</w:t>
            </w:r>
          </w:p>
          <w:p w14:paraId="585855BA" w14:textId="1B7CC5F6" w:rsidR="00982D73" w:rsidRDefault="00982D73" w:rsidP="00AC03B2">
            <w:pPr>
              <w:pStyle w:val="Default"/>
              <w:numPr>
                <w:ilvl w:val="0"/>
                <w:numId w:val="22"/>
              </w:numPr>
              <w:spacing w:before="60"/>
              <w:rPr>
                <w:color w:val="313131"/>
                <w:sz w:val="22"/>
                <w:szCs w:val="22"/>
                <w:shd w:val="clear" w:color="auto" w:fill="FFFFFF"/>
              </w:rPr>
            </w:pPr>
            <w:r>
              <w:rPr>
                <w:color w:val="313131"/>
                <w:sz w:val="22"/>
                <w:szCs w:val="22"/>
                <w:shd w:val="clear" w:color="auto" w:fill="FFFFFF"/>
              </w:rPr>
              <w:t>Explain that purpose of fiscal policy stimulus is to stop the AD curve from further decreasing &amp; hopefully shift the AD curve back towards potential GDP.</w:t>
            </w:r>
          </w:p>
          <w:p w14:paraId="0CED8001" w14:textId="3F998725" w:rsidR="00AC03B2" w:rsidRDefault="00AC03B2" w:rsidP="00EF55E6">
            <w:pPr>
              <w:pStyle w:val="Default"/>
              <w:spacing w:before="60"/>
              <w:rPr>
                <w:sz w:val="22"/>
                <w:szCs w:val="22"/>
              </w:rPr>
            </w:pPr>
          </w:p>
        </w:tc>
        <w:tc>
          <w:tcPr>
            <w:tcW w:w="1417" w:type="dxa"/>
          </w:tcPr>
          <w:p w14:paraId="2FB4962A" w14:textId="77777777" w:rsidR="00AC03B2" w:rsidRDefault="00AC03B2" w:rsidP="00AC03B2">
            <w:pPr>
              <w:spacing w:before="120"/>
              <w:rPr>
                <w:rFonts w:ascii="Arial" w:hAnsi="Arial" w:cs="Arial"/>
                <w:sz w:val="22"/>
                <w:szCs w:val="22"/>
              </w:rPr>
            </w:pPr>
            <w:r w:rsidRPr="00B56166">
              <w:rPr>
                <w:rFonts w:ascii="Arial" w:hAnsi="Arial" w:cs="Arial"/>
                <w:sz w:val="22"/>
                <w:szCs w:val="22"/>
              </w:rPr>
              <w:t>1-</w:t>
            </w:r>
            <w:r>
              <w:rPr>
                <w:rFonts w:ascii="Arial" w:hAnsi="Arial" w:cs="Arial"/>
                <w:sz w:val="22"/>
                <w:szCs w:val="22"/>
              </w:rPr>
              <w:t>4</w:t>
            </w:r>
            <w:r w:rsidRPr="00B56166">
              <w:rPr>
                <w:rFonts w:ascii="Arial" w:hAnsi="Arial" w:cs="Arial"/>
                <w:sz w:val="22"/>
                <w:szCs w:val="22"/>
              </w:rPr>
              <w:t xml:space="preserve"> marks</w:t>
            </w:r>
          </w:p>
          <w:p w14:paraId="0E545EB6" w14:textId="77777777" w:rsidR="00EF55E6" w:rsidRPr="00B56166" w:rsidRDefault="00EF55E6" w:rsidP="002C19C5">
            <w:pPr>
              <w:rPr>
                <w:rFonts w:ascii="Arial" w:hAnsi="Arial" w:cs="Arial"/>
                <w:sz w:val="22"/>
                <w:szCs w:val="22"/>
              </w:rPr>
            </w:pPr>
          </w:p>
        </w:tc>
      </w:tr>
    </w:tbl>
    <w:p w14:paraId="1F97E4C2" w14:textId="77777777" w:rsidR="00B225C6" w:rsidRPr="00DC3BD7" w:rsidRDefault="00B225C6" w:rsidP="00DC3BD7">
      <w:pPr>
        <w:spacing w:before="120"/>
        <w:rPr>
          <w:rFonts w:ascii="Arial" w:hAnsi="Arial" w:cs="Arial"/>
          <w:sz w:val="22"/>
          <w:szCs w:val="22"/>
          <w:lang w:val="en-US"/>
        </w:rPr>
      </w:pPr>
    </w:p>
    <w:sectPr w:rsidR="00B225C6" w:rsidRPr="00DC3BD7" w:rsidSect="007945D0">
      <w:headerReference w:type="even" r:id="rId8"/>
      <w:headerReference w:type="default" r:id="rId9"/>
      <w:headerReference w:type="first" r:id="rId10"/>
      <w:pgSz w:w="12240" w:h="15840"/>
      <w:pgMar w:top="1191" w:right="1191" w:bottom="1191"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BB6DD" w14:textId="77777777" w:rsidR="0032796B" w:rsidRDefault="0032796B" w:rsidP="00E84A3B">
      <w:r>
        <w:separator/>
      </w:r>
    </w:p>
  </w:endnote>
  <w:endnote w:type="continuationSeparator" w:id="0">
    <w:p w14:paraId="35DC062A" w14:textId="77777777" w:rsidR="0032796B" w:rsidRDefault="0032796B"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EFCE2" w14:textId="77777777" w:rsidR="0032796B" w:rsidRDefault="0032796B" w:rsidP="00E84A3B">
      <w:r>
        <w:separator/>
      </w:r>
    </w:p>
  </w:footnote>
  <w:footnote w:type="continuationSeparator" w:id="0">
    <w:p w14:paraId="09675AEB" w14:textId="77777777" w:rsidR="0032796B" w:rsidRDefault="0032796B"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78317500"/>
      <w:docPartObj>
        <w:docPartGallery w:val="Page Numbers (Top of Page)"/>
        <w:docPartUnique/>
      </w:docPartObj>
    </w:sdtPr>
    <w:sdtEndPr>
      <w:rPr>
        <w:rStyle w:val="PageNumber"/>
      </w:rPr>
    </w:sdtEndPr>
    <w:sdtContent>
      <w:p w14:paraId="5B213EE8" w14:textId="6ADBFAF4" w:rsidR="003B78E5" w:rsidRDefault="003B78E5"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3B78E5" w:rsidRDefault="003B78E5"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3B78E5" w:rsidRDefault="003B7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439E2838" w:rsidR="003B78E5" w:rsidRPr="00E84A3B" w:rsidRDefault="003B78E5"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00B13DFC">
          <w:rPr>
            <w:rStyle w:val="PageNumber"/>
            <w:rFonts w:ascii="Tahoma" w:hAnsi="Tahoma" w:cs="Tahoma"/>
            <w:noProof/>
            <w:sz w:val="20"/>
            <w:szCs w:val="20"/>
          </w:rPr>
          <w:t>9</w:t>
        </w:r>
        <w:r w:rsidRPr="00E84A3B">
          <w:rPr>
            <w:rStyle w:val="PageNumber"/>
            <w:rFonts w:ascii="Tahoma" w:hAnsi="Tahoma" w:cs="Tahoma"/>
            <w:sz w:val="20"/>
            <w:szCs w:val="20"/>
          </w:rPr>
          <w:fldChar w:fldCharType="end"/>
        </w:r>
      </w:p>
    </w:sdtContent>
  </w:sdt>
  <w:p w14:paraId="4FB2FF47" w14:textId="069B41E8" w:rsidR="003B78E5" w:rsidRPr="00E84A3B" w:rsidRDefault="00B13DFC" w:rsidP="00E84A3B">
    <w:pPr>
      <w:tabs>
        <w:tab w:val="left" w:pos="4773"/>
      </w:tabs>
      <w:rPr>
        <w:lang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3B78E5">
          <w:rPr>
            <w:rFonts w:ascii="Tahoma" w:hAnsi="Tahoma" w:cs="Tahoma"/>
            <w:i/>
            <w:sz w:val="20"/>
            <w:szCs w:val="20"/>
          </w:rPr>
          <w:t>Year 12 ATAR Economics</w:t>
        </w:r>
      </w:sdtContent>
    </w:sdt>
    <w:r w:rsidR="003B78E5" w:rsidRPr="00E84A3B">
      <w:rPr>
        <w:noProof/>
        <w:lang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3B78E5" w:rsidRPr="00E84A3B">
      <w:rPr>
        <w:rFonts w:ascii="Tahoma" w:hAnsi="Tahoma" w:cs="Tahoma"/>
        <w:i/>
        <w:sz w:val="20"/>
        <w:szCs w:val="20"/>
        <w:lang w:eastAsia="en-AU"/>
      </w:rPr>
      <w:tab/>
    </w:r>
  </w:p>
  <w:p w14:paraId="24A7E0D1" w14:textId="77777777" w:rsidR="003B78E5" w:rsidRDefault="003B78E5">
    <w:pPr>
      <w:pStyle w:val="Header"/>
    </w:pPr>
  </w:p>
  <w:p w14:paraId="7FF4A924" w14:textId="77777777" w:rsidR="003B78E5" w:rsidRDefault="003B78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02B60" w14:textId="7E8A0EE5" w:rsidR="003B78E5" w:rsidRDefault="003B78E5" w:rsidP="00E84A3B">
    <w:pPr>
      <w:pStyle w:val="Header"/>
      <w:framePr w:wrap="notBeside" w:vAnchor="text" w:hAnchor="margin" w:xAlign="center" w:y="1"/>
      <w:rPr>
        <w:rStyle w:val="PageNumber"/>
      </w:rPr>
    </w:pPr>
  </w:p>
  <w:p w14:paraId="54ED56C5" w14:textId="03CED5CC" w:rsidR="003B78E5" w:rsidRDefault="003B78E5" w:rsidP="00E84A3B">
    <w:pPr>
      <w:pStyle w:val="Header"/>
      <w:tabs>
        <w:tab w:val="clear" w:pos="4513"/>
        <w:tab w:val="clear" w:pos="9026"/>
        <w:tab w:val="left" w:pos="3800"/>
      </w:tabs>
    </w:pPr>
    <w:r>
      <w:tab/>
    </w:r>
  </w:p>
  <w:p w14:paraId="4CCA5339" w14:textId="77777777" w:rsidR="003B78E5" w:rsidRDefault="003B78E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A49"/>
    <w:multiLevelType w:val="hybridMultilevel"/>
    <w:tmpl w:val="8E6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105EB"/>
    <w:multiLevelType w:val="hybridMultilevel"/>
    <w:tmpl w:val="BBD43288"/>
    <w:lvl w:ilvl="0" w:tplc="73423E2E">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3559E"/>
    <w:multiLevelType w:val="hybridMultilevel"/>
    <w:tmpl w:val="8EA85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CA581C"/>
    <w:multiLevelType w:val="hybridMultilevel"/>
    <w:tmpl w:val="238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3807"/>
    <w:multiLevelType w:val="hybridMultilevel"/>
    <w:tmpl w:val="2722A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396718"/>
    <w:multiLevelType w:val="hybridMultilevel"/>
    <w:tmpl w:val="97F2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3737F"/>
    <w:multiLevelType w:val="hybridMultilevel"/>
    <w:tmpl w:val="28EC450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9" w15:restartNumberingAfterBreak="0">
    <w:nsid w:val="235D5DC7"/>
    <w:multiLevelType w:val="hybridMultilevel"/>
    <w:tmpl w:val="D1ECE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C469C"/>
    <w:multiLevelType w:val="hybridMultilevel"/>
    <w:tmpl w:val="5544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2A46FE"/>
    <w:multiLevelType w:val="hybridMultilevel"/>
    <w:tmpl w:val="9F78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673AFD"/>
    <w:multiLevelType w:val="hybridMultilevel"/>
    <w:tmpl w:val="8E165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90DB6"/>
    <w:multiLevelType w:val="hybridMultilevel"/>
    <w:tmpl w:val="86726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B31B27"/>
    <w:multiLevelType w:val="hybridMultilevel"/>
    <w:tmpl w:val="C4F8F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E680A"/>
    <w:multiLevelType w:val="hybridMultilevel"/>
    <w:tmpl w:val="4A6C6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20276"/>
    <w:multiLevelType w:val="hybridMultilevel"/>
    <w:tmpl w:val="4F8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3"/>
  </w:num>
  <w:num w:numId="4">
    <w:abstractNumId w:val="15"/>
  </w:num>
  <w:num w:numId="5">
    <w:abstractNumId w:val="20"/>
  </w:num>
  <w:num w:numId="6">
    <w:abstractNumId w:val="5"/>
  </w:num>
  <w:num w:numId="7">
    <w:abstractNumId w:val="17"/>
  </w:num>
  <w:num w:numId="8">
    <w:abstractNumId w:val="21"/>
  </w:num>
  <w:num w:numId="9">
    <w:abstractNumId w:val="7"/>
  </w:num>
  <w:num w:numId="10">
    <w:abstractNumId w:val="10"/>
  </w:num>
  <w:num w:numId="11">
    <w:abstractNumId w:val="4"/>
  </w:num>
  <w:num w:numId="12">
    <w:abstractNumId w:val="1"/>
  </w:num>
  <w:num w:numId="13">
    <w:abstractNumId w:val="0"/>
  </w:num>
  <w:num w:numId="14">
    <w:abstractNumId w:val="11"/>
  </w:num>
  <w:num w:numId="15">
    <w:abstractNumId w:val="8"/>
  </w:num>
  <w:num w:numId="16">
    <w:abstractNumId w:val="13"/>
  </w:num>
  <w:num w:numId="17">
    <w:abstractNumId w:val="9"/>
  </w:num>
  <w:num w:numId="18">
    <w:abstractNumId w:val="19"/>
  </w:num>
  <w:num w:numId="19">
    <w:abstractNumId w:val="14"/>
  </w:num>
  <w:num w:numId="20">
    <w:abstractNumId w:val="2"/>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131078" w:nlCheck="1" w:checkStyle="1"/>
  <w:activeWritingStyle w:appName="MSWord" w:lang="en-GB" w:vendorID="64" w:dllVersion="131078" w:nlCheck="1" w:checkStyle="1"/>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98"/>
    <w:rsid w:val="00005250"/>
    <w:rsid w:val="000072D4"/>
    <w:rsid w:val="000074EB"/>
    <w:rsid w:val="00013132"/>
    <w:rsid w:val="0001453B"/>
    <w:rsid w:val="00016638"/>
    <w:rsid w:val="00021985"/>
    <w:rsid w:val="000221B0"/>
    <w:rsid w:val="0003148D"/>
    <w:rsid w:val="000318BC"/>
    <w:rsid w:val="00035955"/>
    <w:rsid w:val="00045DF9"/>
    <w:rsid w:val="00061D4B"/>
    <w:rsid w:val="0006272D"/>
    <w:rsid w:val="00062B70"/>
    <w:rsid w:val="00071173"/>
    <w:rsid w:val="00071734"/>
    <w:rsid w:val="000731D3"/>
    <w:rsid w:val="00073EB2"/>
    <w:rsid w:val="00073F27"/>
    <w:rsid w:val="00074FFE"/>
    <w:rsid w:val="00077943"/>
    <w:rsid w:val="00080C89"/>
    <w:rsid w:val="000820D6"/>
    <w:rsid w:val="000838BB"/>
    <w:rsid w:val="0009185F"/>
    <w:rsid w:val="0009572B"/>
    <w:rsid w:val="0009636D"/>
    <w:rsid w:val="00096A3F"/>
    <w:rsid w:val="000A5B9F"/>
    <w:rsid w:val="000A7206"/>
    <w:rsid w:val="000A7410"/>
    <w:rsid w:val="000B0D86"/>
    <w:rsid w:val="000B5880"/>
    <w:rsid w:val="000B69DE"/>
    <w:rsid w:val="000C1BBD"/>
    <w:rsid w:val="000C37D9"/>
    <w:rsid w:val="000C6103"/>
    <w:rsid w:val="000D05D9"/>
    <w:rsid w:val="000D0EAA"/>
    <w:rsid w:val="000E6282"/>
    <w:rsid w:val="000E6DBE"/>
    <w:rsid w:val="000E741A"/>
    <w:rsid w:val="000F0734"/>
    <w:rsid w:val="00100FB1"/>
    <w:rsid w:val="001011B7"/>
    <w:rsid w:val="00107AC5"/>
    <w:rsid w:val="001135D6"/>
    <w:rsid w:val="0011389F"/>
    <w:rsid w:val="00113BD9"/>
    <w:rsid w:val="00114457"/>
    <w:rsid w:val="00115ACC"/>
    <w:rsid w:val="00116A80"/>
    <w:rsid w:val="0012096C"/>
    <w:rsid w:val="00120DEA"/>
    <w:rsid w:val="00121493"/>
    <w:rsid w:val="00124239"/>
    <w:rsid w:val="00126B7A"/>
    <w:rsid w:val="00126E30"/>
    <w:rsid w:val="00127041"/>
    <w:rsid w:val="00131289"/>
    <w:rsid w:val="0015534F"/>
    <w:rsid w:val="00160F4F"/>
    <w:rsid w:val="001620C7"/>
    <w:rsid w:val="0017567F"/>
    <w:rsid w:val="001761E8"/>
    <w:rsid w:val="00176294"/>
    <w:rsid w:val="00184392"/>
    <w:rsid w:val="00184F93"/>
    <w:rsid w:val="001870E7"/>
    <w:rsid w:val="00187B42"/>
    <w:rsid w:val="001944A1"/>
    <w:rsid w:val="00194E2C"/>
    <w:rsid w:val="001A559C"/>
    <w:rsid w:val="001A5856"/>
    <w:rsid w:val="001A7DEE"/>
    <w:rsid w:val="001A7FA4"/>
    <w:rsid w:val="001B56CE"/>
    <w:rsid w:val="001B5EAB"/>
    <w:rsid w:val="001B7212"/>
    <w:rsid w:val="001C1CBE"/>
    <w:rsid w:val="001C4437"/>
    <w:rsid w:val="001C6B24"/>
    <w:rsid w:val="001D3F1D"/>
    <w:rsid w:val="001E3B3B"/>
    <w:rsid w:val="001E3BC8"/>
    <w:rsid w:val="001E4333"/>
    <w:rsid w:val="001E50F2"/>
    <w:rsid w:val="001F2D56"/>
    <w:rsid w:val="001F6DC8"/>
    <w:rsid w:val="00203AE4"/>
    <w:rsid w:val="002100FE"/>
    <w:rsid w:val="002131B8"/>
    <w:rsid w:val="002231AB"/>
    <w:rsid w:val="002239D0"/>
    <w:rsid w:val="00224820"/>
    <w:rsid w:val="0023122D"/>
    <w:rsid w:val="00240C5C"/>
    <w:rsid w:val="002430D2"/>
    <w:rsid w:val="002434D1"/>
    <w:rsid w:val="0024660E"/>
    <w:rsid w:val="002540CD"/>
    <w:rsid w:val="00255194"/>
    <w:rsid w:val="00256ECF"/>
    <w:rsid w:val="00262835"/>
    <w:rsid w:val="0027502A"/>
    <w:rsid w:val="00275659"/>
    <w:rsid w:val="002763EB"/>
    <w:rsid w:val="00277F72"/>
    <w:rsid w:val="00280162"/>
    <w:rsid w:val="002846F4"/>
    <w:rsid w:val="002863A2"/>
    <w:rsid w:val="00287336"/>
    <w:rsid w:val="002873CA"/>
    <w:rsid w:val="002876D4"/>
    <w:rsid w:val="00292218"/>
    <w:rsid w:val="00295016"/>
    <w:rsid w:val="00295840"/>
    <w:rsid w:val="00297943"/>
    <w:rsid w:val="00297B2A"/>
    <w:rsid w:val="002A204C"/>
    <w:rsid w:val="002A48C0"/>
    <w:rsid w:val="002B09D2"/>
    <w:rsid w:val="002B3128"/>
    <w:rsid w:val="002B391A"/>
    <w:rsid w:val="002B4CE3"/>
    <w:rsid w:val="002B6066"/>
    <w:rsid w:val="002B6B34"/>
    <w:rsid w:val="002C5186"/>
    <w:rsid w:val="002C5A73"/>
    <w:rsid w:val="002D2F6A"/>
    <w:rsid w:val="002E0492"/>
    <w:rsid w:val="002E140B"/>
    <w:rsid w:val="002F0257"/>
    <w:rsid w:val="002F14DC"/>
    <w:rsid w:val="002F1F13"/>
    <w:rsid w:val="002F7FA6"/>
    <w:rsid w:val="003037B3"/>
    <w:rsid w:val="00304675"/>
    <w:rsid w:val="00304EBE"/>
    <w:rsid w:val="003050FB"/>
    <w:rsid w:val="003061F5"/>
    <w:rsid w:val="00307172"/>
    <w:rsid w:val="00312107"/>
    <w:rsid w:val="0031682F"/>
    <w:rsid w:val="00320095"/>
    <w:rsid w:val="00325270"/>
    <w:rsid w:val="003262D8"/>
    <w:rsid w:val="0032796B"/>
    <w:rsid w:val="003301FF"/>
    <w:rsid w:val="00331F89"/>
    <w:rsid w:val="00333500"/>
    <w:rsid w:val="00334E3D"/>
    <w:rsid w:val="00337E97"/>
    <w:rsid w:val="003440E0"/>
    <w:rsid w:val="0035241A"/>
    <w:rsid w:val="00353CAC"/>
    <w:rsid w:val="00356FBA"/>
    <w:rsid w:val="0035735D"/>
    <w:rsid w:val="00362023"/>
    <w:rsid w:val="003647BF"/>
    <w:rsid w:val="003651AD"/>
    <w:rsid w:val="00365423"/>
    <w:rsid w:val="00366424"/>
    <w:rsid w:val="00372A87"/>
    <w:rsid w:val="00383FB6"/>
    <w:rsid w:val="0038595C"/>
    <w:rsid w:val="003864E6"/>
    <w:rsid w:val="00387E81"/>
    <w:rsid w:val="0039289E"/>
    <w:rsid w:val="00394F5E"/>
    <w:rsid w:val="00396A66"/>
    <w:rsid w:val="003A0A7E"/>
    <w:rsid w:val="003A47CB"/>
    <w:rsid w:val="003A48A5"/>
    <w:rsid w:val="003A6AA5"/>
    <w:rsid w:val="003B78E5"/>
    <w:rsid w:val="003C050C"/>
    <w:rsid w:val="003C688F"/>
    <w:rsid w:val="003C70D1"/>
    <w:rsid w:val="003D0514"/>
    <w:rsid w:val="003D29F4"/>
    <w:rsid w:val="003D79D9"/>
    <w:rsid w:val="003E3515"/>
    <w:rsid w:val="003E62DF"/>
    <w:rsid w:val="003F0905"/>
    <w:rsid w:val="003F175C"/>
    <w:rsid w:val="003F18F2"/>
    <w:rsid w:val="003F4A1E"/>
    <w:rsid w:val="00403F90"/>
    <w:rsid w:val="00404EA0"/>
    <w:rsid w:val="00405770"/>
    <w:rsid w:val="004127CC"/>
    <w:rsid w:val="00413371"/>
    <w:rsid w:val="004135A9"/>
    <w:rsid w:val="004212DA"/>
    <w:rsid w:val="00422DA1"/>
    <w:rsid w:val="0042682F"/>
    <w:rsid w:val="00437891"/>
    <w:rsid w:val="004401F5"/>
    <w:rsid w:val="00441352"/>
    <w:rsid w:val="004422E7"/>
    <w:rsid w:val="0044402B"/>
    <w:rsid w:val="00444659"/>
    <w:rsid w:val="004465D8"/>
    <w:rsid w:val="00457989"/>
    <w:rsid w:val="00460981"/>
    <w:rsid w:val="00463887"/>
    <w:rsid w:val="00466ADE"/>
    <w:rsid w:val="0047136B"/>
    <w:rsid w:val="00483B38"/>
    <w:rsid w:val="00483E63"/>
    <w:rsid w:val="00487F97"/>
    <w:rsid w:val="004915C7"/>
    <w:rsid w:val="00493691"/>
    <w:rsid w:val="00494650"/>
    <w:rsid w:val="004A03A5"/>
    <w:rsid w:val="004A144D"/>
    <w:rsid w:val="004A767E"/>
    <w:rsid w:val="004A7999"/>
    <w:rsid w:val="004B0465"/>
    <w:rsid w:val="004B0C02"/>
    <w:rsid w:val="004B1ACD"/>
    <w:rsid w:val="004B2036"/>
    <w:rsid w:val="004B2906"/>
    <w:rsid w:val="004B3807"/>
    <w:rsid w:val="004C4818"/>
    <w:rsid w:val="004C4E29"/>
    <w:rsid w:val="004C7F2B"/>
    <w:rsid w:val="004D2A53"/>
    <w:rsid w:val="004D3734"/>
    <w:rsid w:val="004D58E4"/>
    <w:rsid w:val="004D7802"/>
    <w:rsid w:val="004E0DD4"/>
    <w:rsid w:val="004E1E1F"/>
    <w:rsid w:val="004E6BFF"/>
    <w:rsid w:val="004E76CE"/>
    <w:rsid w:val="004F57B1"/>
    <w:rsid w:val="004F74E0"/>
    <w:rsid w:val="004F7E95"/>
    <w:rsid w:val="00500264"/>
    <w:rsid w:val="0051136F"/>
    <w:rsid w:val="00516B66"/>
    <w:rsid w:val="0052407F"/>
    <w:rsid w:val="00530112"/>
    <w:rsid w:val="00532795"/>
    <w:rsid w:val="00533BD2"/>
    <w:rsid w:val="0053771D"/>
    <w:rsid w:val="00543982"/>
    <w:rsid w:val="0054502C"/>
    <w:rsid w:val="005572BF"/>
    <w:rsid w:val="00565B29"/>
    <w:rsid w:val="00577CA7"/>
    <w:rsid w:val="00581A60"/>
    <w:rsid w:val="00581EF6"/>
    <w:rsid w:val="00586A7E"/>
    <w:rsid w:val="005A17F3"/>
    <w:rsid w:val="005A2ACD"/>
    <w:rsid w:val="005A6B36"/>
    <w:rsid w:val="005A7982"/>
    <w:rsid w:val="005B06E7"/>
    <w:rsid w:val="005B085F"/>
    <w:rsid w:val="005B4C0B"/>
    <w:rsid w:val="005B689F"/>
    <w:rsid w:val="005B7697"/>
    <w:rsid w:val="005C195E"/>
    <w:rsid w:val="005C23B1"/>
    <w:rsid w:val="005C603C"/>
    <w:rsid w:val="005C6454"/>
    <w:rsid w:val="005C665F"/>
    <w:rsid w:val="005D0929"/>
    <w:rsid w:val="005D1069"/>
    <w:rsid w:val="005D7AC6"/>
    <w:rsid w:val="005E1F8F"/>
    <w:rsid w:val="005F2AAC"/>
    <w:rsid w:val="005F69A3"/>
    <w:rsid w:val="0060318E"/>
    <w:rsid w:val="00604CDD"/>
    <w:rsid w:val="00604EA2"/>
    <w:rsid w:val="00611F5F"/>
    <w:rsid w:val="00613C17"/>
    <w:rsid w:val="00617937"/>
    <w:rsid w:val="00617A0F"/>
    <w:rsid w:val="00620F83"/>
    <w:rsid w:val="00621B30"/>
    <w:rsid w:val="00623D91"/>
    <w:rsid w:val="00624121"/>
    <w:rsid w:val="00624FF5"/>
    <w:rsid w:val="006335ED"/>
    <w:rsid w:val="00633FC4"/>
    <w:rsid w:val="00640EC9"/>
    <w:rsid w:val="00641C95"/>
    <w:rsid w:val="006424BA"/>
    <w:rsid w:val="00645966"/>
    <w:rsid w:val="006461A2"/>
    <w:rsid w:val="00650191"/>
    <w:rsid w:val="00661903"/>
    <w:rsid w:val="00667A67"/>
    <w:rsid w:val="00672A69"/>
    <w:rsid w:val="006769F8"/>
    <w:rsid w:val="006800DA"/>
    <w:rsid w:val="0068263E"/>
    <w:rsid w:val="00686E72"/>
    <w:rsid w:val="006873BD"/>
    <w:rsid w:val="00687FF4"/>
    <w:rsid w:val="00691E18"/>
    <w:rsid w:val="006A294C"/>
    <w:rsid w:val="006B50AE"/>
    <w:rsid w:val="006B5B92"/>
    <w:rsid w:val="006C45CB"/>
    <w:rsid w:val="006C7D02"/>
    <w:rsid w:val="006D6C17"/>
    <w:rsid w:val="006D7D11"/>
    <w:rsid w:val="006E05AD"/>
    <w:rsid w:val="006E0EB6"/>
    <w:rsid w:val="006E5DBB"/>
    <w:rsid w:val="006E6557"/>
    <w:rsid w:val="006E6EFF"/>
    <w:rsid w:val="006E78B5"/>
    <w:rsid w:val="006F0E09"/>
    <w:rsid w:val="006F1D02"/>
    <w:rsid w:val="006F74DD"/>
    <w:rsid w:val="006F7F46"/>
    <w:rsid w:val="00701375"/>
    <w:rsid w:val="00701918"/>
    <w:rsid w:val="0070217F"/>
    <w:rsid w:val="00704F81"/>
    <w:rsid w:val="00722488"/>
    <w:rsid w:val="00724BE9"/>
    <w:rsid w:val="007268D5"/>
    <w:rsid w:val="00736C3B"/>
    <w:rsid w:val="00740289"/>
    <w:rsid w:val="00750EEA"/>
    <w:rsid w:val="00754150"/>
    <w:rsid w:val="00756016"/>
    <w:rsid w:val="007569DB"/>
    <w:rsid w:val="00761640"/>
    <w:rsid w:val="00762F9E"/>
    <w:rsid w:val="007646CB"/>
    <w:rsid w:val="007673B7"/>
    <w:rsid w:val="00767929"/>
    <w:rsid w:val="0077195A"/>
    <w:rsid w:val="00775C87"/>
    <w:rsid w:val="00777B7A"/>
    <w:rsid w:val="00780793"/>
    <w:rsid w:val="00781027"/>
    <w:rsid w:val="00783CFA"/>
    <w:rsid w:val="007902BD"/>
    <w:rsid w:val="00791C41"/>
    <w:rsid w:val="007945D0"/>
    <w:rsid w:val="00797311"/>
    <w:rsid w:val="007A1B0D"/>
    <w:rsid w:val="007A4212"/>
    <w:rsid w:val="007A4DCD"/>
    <w:rsid w:val="007A55B9"/>
    <w:rsid w:val="007A604D"/>
    <w:rsid w:val="007A67C2"/>
    <w:rsid w:val="007B0E9E"/>
    <w:rsid w:val="007B0F89"/>
    <w:rsid w:val="007B2952"/>
    <w:rsid w:val="007B562B"/>
    <w:rsid w:val="007C361B"/>
    <w:rsid w:val="007C5B54"/>
    <w:rsid w:val="007D174B"/>
    <w:rsid w:val="007D26E5"/>
    <w:rsid w:val="007F4930"/>
    <w:rsid w:val="007F5F76"/>
    <w:rsid w:val="00801B2F"/>
    <w:rsid w:val="00801C9A"/>
    <w:rsid w:val="00801F33"/>
    <w:rsid w:val="00803998"/>
    <w:rsid w:val="008077A5"/>
    <w:rsid w:val="008111CC"/>
    <w:rsid w:val="00813EF7"/>
    <w:rsid w:val="00821D61"/>
    <w:rsid w:val="00834549"/>
    <w:rsid w:val="00841286"/>
    <w:rsid w:val="008416BC"/>
    <w:rsid w:val="008423BA"/>
    <w:rsid w:val="00847115"/>
    <w:rsid w:val="00850BAE"/>
    <w:rsid w:val="00852D48"/>
    <w:rsid w:val="00853A41"/>
    <w:rsid w:val="00857F86"/>
    <w:rsid w:val="00862132"/>
    <w:rsid w:val="008654D6"/>
    <w:rsid w:val="008654ED"/>
    <w:rsid w:val="00866379"/>
    <w:rsid w:val="008744BA"/>
    <w:rsid w:val="008825D5"/>
    <w:rsid w:val="0088337D"/>
    <w:rsid w:val="00883B11"/>
    <w:rsid w:val="00893FB8"/>
    <w:rsid w:val="0089500B"/>
    <w:rsid w:val="00895090"/>
    <w:rsid w:val="008A2F9D"/>
    <w:rsid w:val="008A60C4"/>
    <w:rsid w:val="008B18DF"/>
    <w:rsid w:val="008B1D65"/>
    <w:rsid w:val="008B2F7B"/>
    <w:rsid w:val="008C3D11"/>
    <w:rsid w:val="008C4CC7"/>
    <w:rsid w:val="008C7EAF"/>
    <w:rsid w:val="008D0D7E"/>
    <w:rsid w:val="008D1982"/>
    <w:rsid w:val="008E13DD"/>
    <w:rsid w:val="008E1E69"/>
    <w:rsid w:val="008E20A9"/>
    <w:rsid w:val="008E3D7D"/>
    <w:rsid w:val="008E573D"/>
    <w:rsid w:val="008E77EE"/>
    <w:rsid w:val="008F020A"/>
    <w:rsid w:val="008F0824"/>
    <w:rsid w:val="008F53E0"/>
    <w:rsid w:val="00911584"/>
    <w:rsid w:val="00912E30"/>
    <w:rsid w:val="009147B8"/>
    <w:rsid w:val="009206F2"/>
    <w:rsid w:val="00921834"/>
    <w:rsid w:val="009233F0"/>
    <w:rsid w:val="0092397E"/>
    <w:rsid w:val="00924FB3"/>
    <w:rsid w:val="009415BE"/>
    <w:rsid w:val="0094401E"/>
    <w:rsid w:val="009453BA"/>
    <w:rsid w:val="009466CF"/>
    <w:rsid w:val="00946E43"/>
    <w:rsid w:val="00950F67"/>
    <w:rsid w:val="009542E2"/>
    <w:rsid w:val="00955F8C"/>
    <w:rsid w:val="00960FDE"/>
    <w:rsid w:val="00971B48"/>
    <w:rsid w:val="009749FA"/>
    <w:rsid w:val="009753B1"/>
    <w:rsid w:val="009777C5"/>
    <w:rsid w:val="009804FA"/>
    <w:rsid w:val="00982D73"/>
    <w:rsid w:val="00987336"/>
    <w:rsid w:val="009917DC"/>
    <w:rsid w:val="00991E23"/>
    <w:rsid w:val="0099362C"/>
    <w:rsid w:val="00996249"/>
    <w:rsid w:val="009A4179"/>
    <w:rsid w:val="009B1B65"/>
    <w:rsid w:val="009B5A3C"/>
    <w:rsid w:val="009B600C"/>
    <w:rsid w:val="009B7A67"/>
    <w:rsid w:val="009C0001"/>
    <w:rsid w:val="009C259F"/>
    <w:rsid w:val="009C57A9"/>
    <w:rsid w:val="009C6F57"/>
    <w:rsid w:val="009D5A9B"/>
    <w:rsid w:val="009E35BD"/>
    <w:rsid w:val="009F2561"/>
    <w:rsid w:val="00A003FE"/>
    <w:rsid w:val="00A05EAD"/>
    <w:rsid w:val="00A0692B"/>
    <w:rsid w:val="00A20D23"/>
    <w:rsid w:val="00A227EE"/>
    <w:rsid w:val="00A27A4B"/>
    <w:rsid w:val="00A41C8C"/>
    <w:rsid w:val="00A45E7D"/>
    <w:rsid w:val="00A535C9"/>
    <w:rsid w:val="00A565E0"/>
    <w:rsid w:val="00A6042B"/>
    <w:rsid w:val="00A60DBD"/>
    <w:rsid w:val="00A63EA2"/>
    <w:rsid w:val="00A6423C"/>
    <w:rsid w:val="00A655B1"/>
    <w:rsid w:val="00A709F5"/>
    <w:rsid w:val="00A72210"/>
    <w:rsid w:val="00A7351E"/>
    <w:rsid w:val="00A73D9F"/>
    <w:rsid w:val="00A73F58"/>
    <w:rsid w:val="00A74B1B"/>
    <w:rsid w:val="00A814FB"/>
    <w:rsid w:val="00A86FE8"/>
    <w:rsid w:val="00A87D81"/>
    <w:rsid w:val="00A9111E"/>
    <w:rsid w:val="00A933AF"/>
    <w:rsid w:val="00AA04B2"/>
    <w:rsid w:val="00AA1681"/>
    <w:rsid w:val="00AA27D7"/>
    <w:rsid w:val="00AA4A2D"/>
    <w:rsid w:val="00AA5755"/>
    <w:rsid w:val="00AA5D96"/>
    <w:rsid w:val="00AB7C35"/>
    <w:rsid w:val="00AB7D3D"/>
    <w:rsid w:val="00AC03B2"/>
    <w:rsid w:val="00AD5845"/>
    <w:rsid w:val="00AD5E03"/>
    <w:rsid w:val="00AD5E21"/>
    <w:rsid w:val="00AD759B"/>
    <w:rsid w:val="00AE0EF6"/>
    <w:rsid w:val="00AE3720"/>
    <w:rsid w:val="00AE5A6D"/>
    <w:rsid w:val="00AE75C6"/>
    <w:rsid w:val="00AF014F"/>
    <w:rsid w:val="00AF05E5"/>
    <w:rsid w:val="00AF0851"/>
    <w:rsid w:val="00AF384F"/>
    <w:rsid w:val="00AF40E4"/>
    <w:rsid w:val="00B04120"/>
    <w:rsid w:val="00B12272"/>
    <w:rsid w:val="00B12436"/>
    <w:rsid w:val="00B12CE2"/>
    <w:rsid w:val="00B13DFC"/>
    <w:rsid w:val="00B150F3"/>
    <w:rsid w:val="00B22012"/>
    <w:rsid w:val="00B225C6"/>
    <w:rsid w:val="00B246BB"/>
    <w:rsid w:val="00B25FC6"/>
    <w:rsid w:val="00B26297"/>
    <w:rsid w:val="00B34744"/>
    <w:rsid w:val="00B3600E"/>
    <w:rsid w:val="00B436D8"/>
    <w:rsid w:val="00B453A5"/>
    <w:rsid w:val="00B45B36"/>
    <w:rsid w:val="00B47C02"/>
    <w:rsid w:val="00B5306B"/>
    <w:rsid w:val="00B559D9"/>
    <w:rsid w:val="00B56166"/>
    <w:rsid w:val="00B61325"/>
    <w:rsid w:val="00B65A24"/>
    <w:rsid w:val="00B70213"/>
    <w:rsid w:val="00B75B75"/>
    <w:rsid w:val="00B77593"/>
    <w:rsid w:val="00B82D4D"/>
    <w:rsid w:val="00B8498D"/>
    <w:rsid w:val="00B9368A"/>
    <w:rsid w:val="00B952D0"/>
    <w:rsid w:val="00B978A7"/>
    <w:rsid w:val="00BA1D58"/>
    <w:rsid w:val="00BB119B"/>
    <w:rsid w:val="00BC7F26"/>
    <w:rsid w:val="00BD0322"/>
    <w:rsid w:val="00BD2687"/>
    <w:rsid w:val="00BD50F5"/>
    <w:rsid w:val="00BD57CB"/>
    <w:rsid w:val="00BE276D"/>
    <w:rsid w:val="00BE4BCC"/>
    <w:rsid w:val="00BE64B0"/>
    <w:rsid w:val="00BE736A"/>
    <w:rsid w:val="00BF20E8"/>
    <w:rsid w:val="00BF25D6"/>
    <w:rsid w:val="00BF3822"/>
    <w:rsid w:val="00BF4D40"/>
    <w:rsid w:val="00BF5F9F"/>
    <w:rsid w:val="00C02BC1"/>
    <w:rsid w:val="00C06684"/>
    <w:rsid w:val="00C14357"/>
    <w:rsid w:val="00C26EFB"/>
    <w:rsid w:val="00C32669"/>
    <w:rsid w:val="00C34FFA"/>
    <w:rsid w:val="00C36233"/>
    <w:rsid w:val="00C37B0C"/>
    <w:rsid w:val="00C41B71"/>
    <w:rsid w:val="00C4566D"/>
    <w:rsid w:val="00C45843"/>
    <w:rsid w:val="00C4643D"/>
    <w:rsid w:val="00C4729F"/>
    <w:rsid w:val="00C54007"/>
    <w:rsid w:val="00C543E8"/>
    <w:rsid w:val="00C6297E"/>
    <w:rsid w:val="00C64DE9"/>
    <w:rsid w:val="00C651CC"/>
    <w:rsid w:val="00C66B2F"/>
    <w:rsid w:val="00C7010E"/>
    <w:rsid w:val="00C71B96"/>
    <w:rsid w:val="00C73ED6"/>
    <w:rsid w:val="00C81154"/>
    <w:rsid w:val="00C828E5"/>
    <w:rsid w:val="00C829DE"/>
    <w:rsid w:val="00C90185"/>
    <w:rsid w:val="00C90E82"/>
    <w:rsid w:val="00C927B8"/>
    <w:rsid w:val="00C93A27"/>
    <w:rsid w:val="00C9559B"/>
    <w:rsid w:val="00C95DCF"/>
    <w:rsid w:val="00CA2B98"/>
    <w:rsid w:val="00CB7E36"/>
    <w:rsid w:val="00CC1BA7"/>
    <w:rsid w:val="00CC2D43"/>
    <w:rsid w:val="00CC37FB"/>
    <w:rsid w:val="00CC4095"/>
    <w:rsid w:val="00CC429D"/>
    <w:rsid w:val="00CC4340"/>
    <w:rsid w:val="00CD1F48"/>
    <w:rsid w:val="00CD4111"/>
    <w:rsid w:val="00CD5D00"/>
    <w:rsid w:val="00CD6705"/>
    <w:rsid w:val="00CE68AB"/>
    <w:rsid w:val="00CE7760"/>
    <w:rsid w:val="00CF08FB"/>
    <w:rsid w:val="00CF1382"/>
    <w:rsid w:val="00CF29CC"/>
    <w:rsid w:val="00CF3161"/>
    <w:rsid w:val="00CF6322"/>
    <w:rsid w:val="00D01009"/>
    <w:rsid w:val="00D042E4"/>
    <w:rsid w:val="00D07D3C"/>
    <w:rsid w:val="00D10C13"/>
    <w:rsid w:val="00D136C4"/>
    <w:rsid w:val="00D14372"/>
    <w:rsid w:val="00D17D87"/>
    <w:rsid w:val="00D22667"/>
    <w:rsid w:val="00D24104"/>
    <w:rsid w:val="00D24D97"/>
    <w:rsid w:val="00D263C3"/>
    <w:rsid w:val="00D26B6C"/>
    <w:rsid w:val="00D277EC"/>
    <w:rsid w:val="00D31F12"/>
    <w:rsid w:val="00D32A5A"/>
    <w:rsid w:val="00D33837"/>
    <w:rsid w:val="00D349BB"/>
    <w:rsid w:val="00D35155"/>
    <w:rsid w:val="00D3590D"/>
    <w:rsid w:val="00D35AF9"/>
    <w:rsid w:val="00D402DD"/>
    <w:rsid w:val="00D42FB7"/>
    <w:rsid w:val="00D45FA9"/>
    <w:rsid w:val="00D47DFF"/>
    <w:rsid w:val="00D5340C"/>
    <w:rsid w:val="00D60F2D"/>
    <w:rsid w:val="00D63B8E"/>
    <w:rsid w:val="00D66E00"/>
    <w:rsid w:val="00D66E69"/>
    <w:rsid w:val="00D67703"/>
    <w:rsid w:val="00D73219"/>
    <w:rsid w:val="00D77373"/>
    <w:rsid w:val="00D87022"/>
    <w:rsid w:val="00D90F39"/>
    <w:rsid w:val="00D94130"/>
    <w:rsid w:val="00D9556F"/>
    <w:rsid w:val="00DA04FA"/>
    <w:rsid w:val="00DA1EC3"/>
    <w:rsid w:val="00DA4CA4"/>
    <w:rsid w:val="00DA7471"/>
    <w:rsid w:val="00DB6A3C"/>
    <w:rsid w:val="00DB735F"/>
    <w:rsid w:val="00DC2BDE"/>
    <w:rsid w:val="00DC2D69"/>
    <w:rsid w:val="00DC30A5"/>
    <w:rsid w:val="00DC3BD7"/>
    <w:rsid w:val="00DC7651"/>
    <w:rsid w:val="00DD075C"/>
    <w:rsid w:val="00DD67BF"/>
    <w:rsid w:val="00DE0489"/>
    <w:rsid w:val="00DE3E8D"/>
    <w:rsid w:val="00DE40C8"/>
    <w:rsid w:val="00DF177D"/>
    <w:rsid w:val="00DF37D2"/>
    <w:rsid w:val="00DF5047"/>
    <w:rsid w:val="00DF6E8A"/>
    <w:rsid w:val="00E00B4D"/>
    <w:rsid w:val="00E01ECB"/>
    <w:rsid w:val="00E058AD"/>
    <w:rsid w:val="00E05AC4"/>
    <w:rsid w:val="00E117C6"/>
    <w:rsid w:val="00E13BEA"/>
    <w:rsid w:val="00E15842"/>
    <w:rsid w:val="00E167E8"/>
    <w:rsid w:val="00E169F7"/>
    <w:rsid w:val="00E16CC8"/>
    <w:rsid w:val="00E2196B"/>
    <w:rsid w:val="00E2650D"/>
    <w:rsid w:val="00E267A8"/>
    <w:rsid w:val="00E30BF6"/>
    <w:rsid w:val="00E47AA4"/>
    <w:rsid w:val="00E50582"/>
    <w:rsid w:val="00E54058"/>
    <w:rsid w:val="00E552B4"/>
    <w:rsid w:val="00E55D3E"/>
    <w:rsid w:val="00E564C8"/>
    <w:rsid w:val="00E57353"/>
    <w:rsid w:val="00E61223"/>
    <w:rsid w:val="00E65826"/>
    <w:rsid w:val="00E66E76"/>
    <w:rsid w:val="00E7041D"/>
    <w:rsid w:val="00E724BD"/>
    <w:rsid w:val="00E730C4"/>
    <w:rsid w:val="00E818EB"/>
    <w:rsid w:val="00E828E6"/>
    <w:rsid w:val="00E82B88"/>
    <w:rsid w:val="00E84A3B"/>
    <w:rsid w:val="00E87158"/>
    <w:rsid w:val="00E90EE4"/>
    <w:rsid w:val="00E94343"/>
    <w:rsid w:val="00EA3B08"/>
    <w:rsid w:val="00EA3D75"/>
    <w:rsid w:val="00EA6D1F"/>
    <w:rsid w:val="00EB249E"/>
    <w:rsid w:val="00EB2675"/>
    <w:rsid w:val="00EB666C"/>
    <w:rsid w:val="00EC0308"/>
    <w:rsid w:val="00EC3539"/>
    <w:rsid w:val="00ED20CB"/>
    <w:rsid w:val="00ED30D8"/>
    <w:rsid w:val="00ED5A30"/>
    <w:rsid w:val="00ED6811"/>
    <w:rsid w:val="00EE6D12"/>
    <w:rsid w:val="00EF4B76"/>
    <w:rsid w:val="00EF55E6"/>
    <w:rsid w:val="00F107D5"/>
    <w:rsid w:val="00F10E63"/>
    <w:rsid w:val="00F15603"/>
    <w:rsid w:val="00F27F44"/>
    <w:rsid w:val="00F304F5"/>
    <w:rsid w:val="00F30D41"/>
    <w:rsid w:val="00F329FC"/>
    <w:rsid w:val="00F354E5"/>
    <w:rsid w:val="00F35671"/>
    <w:rsid w:val="00F37E41"/>
    <w:rsid w:val="00F4298F"/>
    <w:rsid w:val="00F51136"/>
    <w:rsid w:val="00F51DDE"/>
    <w:rsid w:val="00F5367F"/>
    <w:rsid w:val="00F5699B"/>
    <w:rsid w:val="00F60017"/>
    <w:rsid w:val="00F60A1E"/>
    <w:rsid w:val="00F66A79"/>
    <w:rsid w:val="00F6762B"/>
    <w:rsid w:val="00F7199B"/>
    <w:rsid w:val="00F822B8"/>
    <w:rsid w:val="00F8478B"/>
    <w:rsid w:val="00F85FAC"/>
    <w:rsid w:val="00F87C29"/>
    <w:rsid w:val="00F92AF7"/>
    <w:rsid w:val="00F93D3C"/>
    <w:rsid w:val="00F956E8"/>
    <w:rsid w:val="00F968CC"/>
    <w:rsid w:val="00F96A0F"/>
    <w:rsid w:val="00F97FAB"/>
    <w:rsid w:val="00FA0120"/>
    <w:rsid w:val="00FA10E8"/>
    <w:rsid w:val="00FA2828"/>
    <w:rsid w:val="00FB2A80"/>
    <w:rsid w:val="00FB7B94"/>
    <w:rsid w:val="00FC2CFB"/>
    <w:rsid w:val="00FC692E"/>
    <w:rsid w:val="00FC6FF8"/>
    <w:rsid w:val="00FC7D45"/>
    <w:rsid w:val="00FD1C92"/>
    <w:rsid w:val="00FD2F04"/>
    <w:rsid w:val="00FD387E"/>
    <w:rsid w:val="00FD4C05"/>
    <w:rsid w:val="00FE350C"/>
    <w:rsid w:val="00FE4B3C"/>
    <w:rsid w:val="00FE7C09"/>
    <w:rsid w:val="00FF2D89"/>
    <w:rsid w:val="00FF4601"/>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25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lang w:val="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hAnsi="Verdana"/>
      <w:iCs/>
      <w:sz w:val="22"/>
      <w:szCs w:val="22"/>
    </w:rPr>
  </w:style>
  <w:style w:type="paragraph" w:customStyle="1" w:styleId="MCQstem">
    <w:name w:val="MCQ stem"/>
    <w:basedOn w:val="Normal"/>
    <w:rsid w:val="0094401E"/>
    <w:pPr>
      <w:tabs>
        <w:tab w:val="left" w:pos="709"/>
      </w:tabs>
    </w:pPr>
    <w:rPr>
      <w:b/>
      <w:szCs w:val="20"/>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customStyle="1" w:styleId="UnresolvedMention">
    <w:name w:val="Unresolved Mention"/>
    <w:basedOn w:val="DefaultParagraphFont"/>
    <w:uiPriority w:val="99"/>
    <w:rsid w:val="00C95DCF"/>
    <w:rPr>
      <w:color w:val="605E5C"/>
      <w:shd w:val="clear" w:color="auto" w:fill="E1DFDD"/>
    </w:rPr>
  </w:style>
  <w:style w:type="paragraph" w:customStyle="1" w:styleId="Default">
    <w:name w:val="Default"/>
    <w:rsid w:val="002F0257"/>
    <w:pPr>
      <w:autoSpaceDE w:val="0"/>
      <w:autoSpaceDN w:val="0"/>
      <w:adjustRightInd w:val="0"/>
      <w:spacing w:after="0"/>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249967687">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6322705">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698549659">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959992156">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081759721">
      <w:bodyDiv w:val="1"/>
      <w:marLeft w:val="0"/>
      <w:marRight w:val="0"/>
      <w:marTop w:val="0"/>
      <w:marBottom w:val="0"/>
      <w:divBdr>
        <w:top w:val="none" w:sz="0" w:space="0" w:color="auto"/>
        <w:left w:val="none" w:sz="0" w:space="0" w:color="auto"/>
        <w:bottom w:val="none" w:sz="0" w:space="0" w:color="auto"/>
        <w:right w:val="none" w:sz="0" w:space="0" w:color="auto"/>
      </w:divBdr>
    </w:div>
    <w:div w:id="1088235728">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250314967">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3854890">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4292526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696887549">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32848941">
      <w:bodyDiv w:val="1"/>
      <w:marLeft w:val="0"/>
      <w:marRight w:val="0"/>
      <w:marTop w:val="0"/>
      <w:marBottom w:val="0"/>
      <w:divBdr>
        <w:top w:val="none" w:sz="0" w:space="0" w:color="auto"/>
        <w:left w:val="none" w:sz="0" w:space="0" w:color="auto"/>
        <w:bottom w:val="none" w:sz="0" w:space="0" w:color="auto"/>
        <w:right w:val="none" w:sz="0" w:space="0" w:color="auto"/>
      </w:divBdr>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2149</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Andrew Dawson</cp:lastModifiedBy>
  <cp:revision>2</cp:revision>
  <cp:lastPrinted>2015-08-30T15:57:00Z</cp:lastPrinted>
  <dcterms:created xsi:type="dcterms:W3CDTF">2020-09-07T06:45:00Z</dcterms:created>
  <dcterms:modified xsi:type="dcterms:W3CDTF">2020-09-07T06:45:00Z</dcterms:modified>
</cp:coreProperties>
</file>