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6628" w14:textId="61652464" w:rsidR="000C6702" w:rsidRPr="00BC2A74" w:rsidRDefault="000C6702" w:rsidP="00487BAB">
      <w:pPr>
        <w:jc w:val="center"/>
        <w:rPr>
          <w:b/>
          <w:bCs/>
          <w:sz w:val="32"/>
          <w:szCs w:val="32"/>
        </w:rPr>
      </w:pPr>
      <w:r w:rsidRPr="00BC2A74">
        <w:rPr>
          <w:b/>
          <w:bCs/>
          <w:sz w:val="32"/>
          <w:szCs w:val="32"/>
        </w:rPr>
        <w:t>Proposed Initiative</w:t>
      </w:r>
      <w:r w:rsidR="00487BAB" w:rsidRPr="00BC2A74">
        <w:rPr>
          <w:b/>
          <w:bCs/>
          <w:sz w:val="32"/>
          <w:szCs w:val="32"/>
        </w:rPr>
        <w:t xml:space="preserve"> 2026-081</w:t>
      </w:r>
      <w:r w:rsidRPr="00BC2A74">
        <w:rPr>
          <w:b/>
          <w:bCs/>
          <w:sz w:val="32"/>
          <w:szCs w:val="32"/>
        </w:rPr>
        <w:t>:</w:t>
      </w:r>
      <w:r w:rsidR="00487BAB" w:rsidRPr="00BC2A74">
        <w:rPr>
          <w:b/>
          <w:bCs/>
          <w:sz w:val="32"/>
          <w:szCs w:val="32"/>
        </w:rPr>
        <w:t xml:space="preserve">  </w:t>
      </w:r>
      <w:r w:rsidRPr="00BC2A74">
        <w:rPr>
          <w:b/>
          <w:bCs/>
          <w:sz w:val="32"/>
          <w:szCs w:val="32"/>
        </w:rPr>
        <w:t xml:space="preserve">The Oregon Detention Facility Oversight </w:t>
      </w:r>
      <w:r w:rsidR="005D17F8" w:rsidRPr="00BC2A74">
        <w:rPr>
          <w:b/>
          <w:bCs/>
          <w:sz w:val="32"/>
          <w:szCs w:val="32"/>
        </w:rPr>
        <w:t>Commission</w:t>
      </w:r>
    </w:p>
    <w:p w14:paraId="11BFEE17" w14:textId="77777777" w:rsidR="000C6702" w:rsidRPr="00BC2A74" w:rsidRDefault="000C6702" w:rsidP="000C6702">
      <w:pPr>
        <w:rPr>
          <w:sz w:val="32"/>
          <w:szCs w:val="32"/>
        </w:rPr>
      </w:pPr>
      <w:r w:rsidRPr="00BC2A74">
        <w:rPr>
          <w:b/>
          <w:bCs/>
          <w:sz w:val="32"/>
          <w:szCs w:val="32"/>
        </w:rPr>
        <w:t>Be It Enacted by the People of the State of Oregon:</w:t>
      </w:r>
    </w:p>
    <w:p w14:paraId="0B1DAEDE" w14:textId="77777777" w:rsidR="000C6702" w:rsidRPr="00BC2A74" w:rsidRDefault="000C6702" w:rsidP="000C6702">
      <w:pPr>
        <w:rPr>
          <w:b/>
          <w:bCs/>
          <w:sz w:val="32"/>
          <w:szCs w:val="32"/>
        </w:rPr>
      </w:pPr>
      <w:r w:rsidRPr="00BC2A74">
        <w:rPr>
          <w:b/>
          <w:bCs/>
          <w:sz w:val="32"/>
          <w:szCs w:val="32"/>
        </w:rPr>
        <w:t>Section 1. Findings and Declaration of Intent</w:t>
      </w:r>
    </w:p>
    <w:p w14:paraId="7745D6DE" w14:textId="77777777" w:rsidR="006B2116" w:rsidRPr="00BC2A74" w:rsidRDefault="000C6702" w:rsidP="006B2116">
      <w:pPr>
        <w:rPr>
          <w:rFonts w:asciiTheme="majorHAnsi" w:eastAsiaTheme="minorEastAsia" w:hAnsiTheme="majorHAnsi" w:cstheme="majorEastAsia"/>
          <w:sz w:val="32"/>
          <w:szCs w:val="32"/>
        </w:rPr>
      </w:pPr>
      <w:r w:rsidRPr="00BC2A74">
        <w:rPr>
          <w:sz w:val="32"/>
          <w:szCs w:val="32"/>
        </w:rPr>
        <w:t xml:space="preserve">(1) </w:t>
      </w:r>
      <w:r w:rsidR="006B2116" w:rsidRPr="00BC2A74">
        <w:rPr>
          <w:rFonts w:eastAsiaTheme="minorEastAsia" w:cstheme="minorHAnsi"/>
          <w:sz w:val="32"/>
          <w:szCs w:val="32"/>
        </w:rPr>
        <w:t xml:space="preserve">The People of Oregon find that ensuring the basic human rights, safety, and health of all individuals held within detention facilities in this state—including those operated by federal agencies or private contractors—is a matter of urgent public concern. Recent reports of systemic failures, including medical neglect and sexual abuse, necessitate transparent, independent oversight. </w:t>
      </w:r>
    </w:p>
    <w:p w14:paraId="42E83857" w14:textId="77777777" w:rsidR="000C6702" w:rsidRPr="00BC2A74" w:rsidRDefault="000C6702" w:rsidP="000C6702">
      <w:pPr>
        <w:rPr>
          <w:sz w:val="32"/>
          <w:szCs w:val="32"/>
        </w:rPr>
      </w:pPr>
      <w:r w:rsidRPr="00BC2A74">
        <w:rPr>
          <w:sz w:val="32"/>
          <w:szCs w:val="32"/>
        </w:rPr>
        <w:t xml:space="preserve">(2) </w:t>
      </w:r>
      <w:r w:rsidRPr="00BC2A74">
        <w:rPr>
          <w:b/>
          <w:bCs/>
          <w:sz w:val="32"/>
          <w:szCs w:val="32"/>
        </w:rPr>
        <w:t>Grassroots Origin:</w:t>
      </w:r>
      <w:r w:rsidRPr="00BC2A74">
        <w:rPr>
          <w:sz w:val="32"/>
          <w:szCs w:val="32"/>
        </w:rPr>
        <w:t xml:space="preserve"> This Act is a direct result of a citizen-led movement. The People acknowledge the efforts of the Lead Petitioner, who personally organized the gathering of signatures and sponsorship to bring this measure to the ballot as an act of public service. </w:t>
      </w:r>
    </w:p>
    <w:p w14:paraId="61C64243" w14:textId="5F69EC66" w:rsidR="000C6702" w:rsidRPr="00BC2A74" w:rsidRDefault="000C6702" w:rsidP="000C6702">
      <w:pPr>
        <w:rPr>
          <w:sz w:val="32"/>
          <w:szCs w:val="32"/>
        </w:rPr>
      </w:pPr>
      <w:r w:rsidRPr="00BC2A74">
        <w:rPr>
          <w:sz w:val="32"/>
          <w:szCs w:val="32"/>
        </w:rPr>
        <w:t xml:space="preserve">(3) </w:t>
      </w:r>
      <w:r w:rsidRPr="00BC2A74">
        <w:rPr>
          <w:b/>
          <w:bCs/>
          <w:sz w:val="32"/>
          <w:szCs w:val="32"/>
        </w:rPr>
        <w:t>The Petitioner’s Pledge:</w:t>
      </w:r>
      <w:r w:rsidRPr="00BC2A74">
        <w:rPr>
          <w:sz w:val="32"/>
          <w:szCs w:val="32"/>
        </w:rPr>
        <w:t xml:space="preserve"> The People of Oregon adopt this Act with the intent of fulfilling the following pledge: </w:t>
      </w:r>
      <w:r w:rsidRPr="00BC2A74">
        <w:rPr>
          <w:i/>
          <w:iCs/>
          <w:sz w:val="32"/>
          <w:szCs w:val="32"/>
        </w:rPr>
        <w:t>“To ensure that the light of transparency reaches the darkest corners of our detention system, that no child or adult is abused in silence, and that every resident of these facilities is treated with the dignity required by human rights and the law.”</w:t>
      </w:r>
    </w:p>
    <w:p w14:paraId="40235482" w14:textId="77777777" w:rsidR="009B4DC1" w:rsidRPr="00BC2A74" w:rsidRDefault="009B4DC1" w:rsidP="009B4DC1">
      <w:pPr>
        <w:rPr>
          <w:b/>
          <w:bCs/>
          <w:sz w:val="32"/>
          <w:szCs w:val="32"/>
        </w:rPr>
      </w:pPr>
    </w:p>
    <w:p w14:paraId="27F09488" w14:textId="77777777" w:rsidR="006D2C84" w:rsidRPr="00BC2A74" w:rsidRDefault="006D2C84" w:rsidP="006D2C84">
      <w:pPr>
        <w:rPr>
          <w:b/>
          <w:bCs/>
          <w:sz w:val="32"/>
          <w:szCs w:val="32"/>
        </w:rPr>
      </w:pPr>
      <w:r w:rsidRPr="00BC2A74">
        <w:rPr>
          <w:b/>
          <w:bCs/>
          <w:sz w:val="32"/>
          <w:szCs w:val="32"/>
        </w:rPr>
        <w:t>Section 2. Composition and Leadership of the Commission</w:t>
      </w:r>
    </w:p>
    <w:p w14:paraId="3C94813C" w14:textId="77777777" w:rsidR="006D2C84" w:rsidRPr="00BC2A74" w:rsidRDefault="006D2C84" w:rsidP="006D2C84">
      <w:pPr>
        <w:rPr>
          <w:b/>
          <w:bCs/>
          <w:sz w:val="32"/>
          <w:szCs w:val="32"/>
        </w:rPr>
      </w:pPr>
      <w:r w:rsidRPr="00BC2A74">
        <w:rPr>
          <w:b/>
          <w:bCs/>
          <w:sz w:val="32"/>
          <w:szCs w:val="32"/>
        </w:rPr>
        <w:t xml:space="preserve">(1) Establishment: </w:t>
      </w:r>
      <w:r w:rsidRPr="00BC2A74">
        <w:rPr>
          <w:sz w:val="32"/>
          <w:szCs w:val="32"/>
        </w:rPr>
        <w:t>The Oregon Detention Facility Oversight Commission is hereby established as an independent state body</w:t>
      </w:r>
      <w:r w:rsidRPr="00BC2A74">
        <w:rPr>
          <w:b/>
          <w:bCs/>
          <w:sz w:val="32"/>
          <w:szCs w:val="32"/>
        </w:rPr>
        <w:t xml:space="preserve">. </w:t>
      </w:r>
    </w:p>
    <w:p w14:paraId="537EF8F3" w14:textId="24197446" w:rsidR="006D2C84" w:rsidRPr="00BC2A74" w:rsidRDefault="006D2C84" w:rsidP="006D2C84">
      <w:pPr>
        <w:rPr>
          <w:b/>
          <w:bCs/>
          <w:sz w:val="32"/>
          <w:szCs w:val="32"/>
        </w:rPr>
      </w:pPr>
      <w:r w:rsidRPr="00BC2A74">
        <w:rPr>
          <w:b/>
          <w:bCs/>
          <w:sz w:val="32"/>
          <w:szCs w:val="32"/>
        </w:rPr>
        <w:lastRenderedPageBreak/>
        <w:t xml:space="preserve">(2) Membership: </w:t>
      </w:r>
      <w:r w:rsidRPr="00BC2A74">
        <w:rPr>
          <w:sz w:val="32"/>
          <w:szCs w:val="32"/>
        </w:rPr>
        <w:t>The Commission shall consist of exactly three 3 members, each representing a specific field of expertise</w:t>
      </w:r>
      <w:r w:rsidRPr="00BC2A74">
        <w:rPr>
          <w:b/>
          <w:bCs/>
          <w:sz w:val="32"/>
          <w:szCs w:val="32"/>
        </w:rPr>
        <w:t>:</w:t>
      </w:r>
    </w:p>
    <w:p w14:paraId="4921706C" w14:textId="77777777" w:rsidR="006D2C84" w:rsidRPr="00BC2A74" w:rsidRDefault="006D2C84" w:rsidP="006D2C84">
      <w:pPr>
        <w:numPr>
          <w:ilvl w:val="0"/>
          <w:numId w:val="6"/>
        </w:numPr>
        <w:rPr>
          <w:b/>
          <w:bCs/>
          <w:sz w:val="32"/>
          <w:szCs w:val="32"/>
        </w:rPr>
      </w:pPr>
      <w:r w:rsidRPr="00BC2A74">
        <w:rPr>
          <w:b/>
          <w:bCs/>
          <w:sz w:val="32"/>
          <w:szCs w:val="32"/>
        </w:rPr>
        <w:t xml:space="preserve">The Chairperson: </w:t>
      </w:r>
      <w:r w:rsidRPr="00BC2A74">
        <w:rPr>
          <w:sz w:val="32"/>
          <w:szCs w:val="32"/>
        </w:rPr>
        <w:t>To ensure the Commission is founded according to the grassroots intent of this Act, the individual who served as the Primary Chief Petitioner of this initiative shall be designated as the Initial Founding Chair for a term of two years.</w:t>
      </w:r>
    </w:p>
    <w:p w14:paraId="22E2B986" w14:textId="77777777" w:rsidR="006D2C84" w:rsidRPr="00BC2A74" w:rsidRDefault="006D2C84" w:rsidP="006D2C84">
      <w:pPr>
        <w:numPr>
          <w:ilvl w:val="0"/>
          <w:numId w:val="6"/>
        </w:numPr>
        <w:rPr>
          <w:b/>
          <w:bCs/>
          <w:sz w:val="32"/>
          <w:szCs w:val="32"/>
        </w:rPr>
      </w:pPr>
      <w:r w:rsidRPr="00BC2A74">
        <w:rPr>
          <w:b/>
          <w:bCs/>
          <w:sz w:val="32"/>
          <w:szCs w:val="32"/>
        </w:rPr>
        <w:t xml:space="preserve">The Investigative Member: </w:t>
      </w:r>
      <w:r w:rsidRPr="00BC2A74">
        <w:rPr>
          <w:sz w:val="32"/>
          <w:szCs w:val="32"/>
        </w:rPr>
        <w:t>One member shall be a professional journalist with a background in investigative reporting, tasked with ensuring the clarity and public accessibility of Commission findings</w:t>
      </w:r>
      <w:r w:rsidRPr="00BC2A74">
        <w:rPr>
          <w:b/>
          <w:bCs/>
          <w:sz w:val="32"/>
          <w:szCs w:val="32"/>
        </w:rPr>
        <w:t>.</w:t>
      </w:r>
    </w:p>
    <w:p w14:paraId="173E81B3" w14:textId="77777777" w:rsidR="006D2C84" w:rsidRPr="00BC2A74" w:rsidRDefault="006D2C84" w:rsidP="006D2C84">
      <w:pPr>
        <w:numPr>
          <w:ilvl w:val="0"/>
          <w:numId w:val="6"/>
        </w:numPr>
        <w:rPr>
          <w:b/>
          <w:bCs/>
          <w:sz w:val="32"/>
          <w:szCs w:val="32"/>
        </w:rPr>
      </w:pPr>
      <w:r w:rsidRPr="00BC2A74">
        <w:rPr>
          <w:b/>
          <w:bCs/>
          <w:sz w:val="32"/>
          <w:szCs w:val="32"/>
        </w:rPr>
        <w:t xml:space="preserve">The Medical Member: </w:t>
      </w:r>
      <w:r w:rsidRPr="00BC2A74">
        <w:rPr>
          <w:sz w:val="32"/>
          <w:szCs w:val="32"/>
        </w:rPr>
        <w:t>One member shall be a licensed medical professional (Physician, Registered Nurse, or Emergency Medical Technician) with experience in institutional or emergency care, tasked with overseeing medical and "Tender Care" standards.</w:t>
      </w:r>
      <w:r w:rsidRPr="00BC2A74">
        <w:rPr>
          <w:b/>
          <w:bCs/>
          <w:sz w:val="32"/>
          <w:szCs w:val="32"/>
        </w:rPr>
        <w:t xml:space="preserve"> </w:t>
      </w:r>
    </w:p>
    <w:p w14:paraId="75A62642" w14:textId="77777777" w:rsidR="006D2C84" w:rsidRPr="00BC2A74" w:rsidRDefault="006D2C84" w:rsidP="006D2C84">
      <w:pPr>
        <w:ind w:left="720"/>
        <w:rPr>
          <w:b/>
          <w:bCs/>
          <w:sz w:val="32"/>
          <w:szCs w:val="32"/>
        </w:rPr>
      </w:pPr>
    </w:p>
    <w:p w14:paraId="6EF41ECC" w14:textId="7F8E757F" w:rsidR="006D2C84" w:rsidRPr="00BC2A74" w:rsidRDefault="006D2C84" w:rsidP="006D2C84">
      <w:pPr>
        <w:rPr>
          <w:b/>
          <w:bCs/>
          <w:sz w:val="32"/>
          <w:szCs w:val="32"/>
        </w:rPr>
      </w:pPr>
      <w:r w:rsidRPr="00BC2A74">
        <w:rPr>
          <w:sz w:val="32"/>
          <w:szCs w:val="32"/>
        </w:rPr>
        <w:t>(3)</w:t>
      </w:r>
      <w:r w:rsidRPr="00BC2A74">
        <w:rPr>
          <w:b/>
          <w:bCs/>
          <w:sz w:val="32"/>
          <w:szCs w:val="32"/>
        </w:rPr>
        <w:t xml:space="preserve"> Selection Process: </w:t>
      </w:r>
      <w:r w:rsidRPr="00BC2A74">
        <w:rPr>
          <w:sz w:val="32"/>
          <w:szCs w:val="32"/>
        </w:rPr>
        <w:t>Vacancies for the Investigative and Medical roles shall be filled via joint appointment by the Governor and Attorney General. Alternatively, a qualified resident may qualify for these seats via a Self-Petition supported by 100 signatures of registered Oregon voters, provided they meet the professional requirements of the seat.</w:t>
      </w:r>
    </w:p>
    <w:p w14:paraId="09FD5D33" w14:textId="77777777" w:rsidR="009B4DC1" w:rsidRPr="00BC2A74" w:rsidRDefault="009B4DC1" w:rsidP="00CD702E">
      <w:pPr>
        <w:rPr>
          <w:b/>
          <w:bCs/>
          <w:sz w:val="32"/>
          <w:szCs w:val="32"/>
        </w:rPr>
      </w:pPr>
    </w:p>
    <w:p w14:paraId="51B871D0" w14:textId="00A661AA" w:rsidR="00CD702E" w:rsidRPr="00BC2A74" w:rsidRDefault="00CD702E" w:rsidP="00CD702E">
      <w:pPr>
        <w:rPr>
          <w:b/>
          <w:bCs/>
          <w:sz w:val="32"/>
          <w:szCs w:val="32"/>
        </w:rPr>
      </w:pPr>
      <w:r w:rsidRPr="00BC2A74">
        <w:rPr>
          <w:b/>
          <w:bCs/>
          <w:sz w:val="32"/>
          <w:szCs w:val="32"/>
        </w:rPr>
        <w:t xml:space="preserve">Section 3. Purpose and Jurisdiction </w:t>
      </w:r>
    </w:p>
    <w:p w14:paraId="48A11DE9" w14:textId="77777777" w:rsidR="00CD702E" w:rsidRPr="00BC2A74" w:rsidRDefault="00CD702E" w:rsidP="00CD702E">
      <w:pPr>
        <w:rPr>
          <w:sz w:val="32"/>
          <w:szCs w:val="32"/>
        </w:rPr>
      </w:pPr>
      <w:r w:rsidRPr="00BC2A74">
        <w:rPr>
          <w:sz w:val="32"/>
          <w:szCs w:val="32"/>
        </w:rPr>
        <w:t xml:space="preserve">(1) </w:t>
      </w:r>
      <w:r w:rsidRPr="00BC2A74">
        <w:rPr>
          <w:b/>
          <w:bCs/>
          <w:sz w:val="32"/>
          <w:szCs w:val="32"/>
        </w:rPr>
        <w:t>Primary Purpose:</w:t>
      </w:r>
      <w:r w:rsidRPr="00BC2A74">
        <w:rPr>
          <w:sz w:val="32"/>
          <w:szCs w:val="32"/>
        </w:rPr>
        <w:t xml:space="preserve"> The Commission is established for the primary purpose of investigating and monitoring the conditions of confinement, </w:t>
      </w:r>
      <w:r w:rsidRPr="00BC2A74">
        <w:rPr>
          <w:sz w:val="32"/>
          <w:szCs w:val="32"/>
        </w:rPr>
        <w:lastRenderedPageBreak/>
        <w:t xml:space="preserve">medical care standards, and the protection of human rights within all detention facilities operating in the State of Oregon. </w:t>
      </w:r>
    </w:p>
    <w:p w14:paraId="4BAD34C1" w14:textId="77777777" w:rsidR="004C2E42" w:rsidRPr="00BC2A74" w:rsidRDefault="004C2E42" w:rsidP="004C2E42">
      <w:pPr>
        <w:rPr>
          <w:sz w:val="32"/>
          <w:szCs w:val="32"/>
        </w:rPr>
      </w:pPr>
      <w:r w:rsidRPr="00BC2A74">
        <w:rPr>
          <w:sz w:val="32"/>
          <w:szCs w:val="32"/>
        </w:rPr>
        <w:t xml:space="preserve">(2) </w:t>
      </w:r>
      <w:r w:rsidRPr="00BC2A74">
        <w:rPr>
          <w:b/>
          <w:bCs/>
          <w:sz w:val="32"/>
          <w:szCs w:val="32"/>
        </w:rPr>
        <w:t>Jurisdiction:</w:t>
      </w:r>
      <w:r w:rsidRPr="00BC2A74">
        <w:rPr>
          <w:sz w:val="32"/>
          <w:szCs w:val="32"/>
        </w:rPr>
        <w:t xml:space="preserve"> The Commission’s authority extends to all State, Federal, and Private facilities. </w:t>
      </w:r>
    </w:p>
    <w:p w14:paraId="518532C6" w14:textId="1B9F5C86" w:rsidR="004C2E42" w:rsidRPr="00BC2A74" w:rsidRDefault="004C2E42" w:rsidP="004C2E42">
      <w:pPr>
        <w:rPr>
          <w:sz w:val="32"/>
          <w:szCs w:val="32"/>
        </w:rPr>
      </w:pPr>
      <w:r w:rsidRPr="00BC2A74">
        <w:rPr>
          <w:sz w:val="32"/>
          <w:szCs w:val="32"/>
        </w:rPr>
        <w:t xml:space="preserve">(3) </w:t>
      </w:r>
      <w:r w:rsidRPr="00BC2A74">
        <w:rPr>
          <w:b/>
          <w:bCs/>
          <w:sz w:val="32"/>
          <w:szCs w:val="32"/>
        </w:rPr>
        <w:t>Federal Agency Focus:</w:t>
      </w:r>
      <w:r w:rsidRPr="00BC2A74">
        <w:rPr>
          <w:sz w:val="32"/>
          <w:szCs w:val="32"/>
        </w:rPr>
        <w:t xml:space="preserve"> The Commission shall maintain a specific and priority focus on facilities and temporary holding sites managed by or for:</w:t>
      </w:r>
    </w:p>
    <w:p w14:paraId="7DF9B47C" w14:textId="77777777" w:rsidR="004C2E42" w:rsidRPr="00BC2A74" w:rsidRDefault="004C2E42" w:rsidP="004C2E42">
      <w:pPr>
        <w:numPr>
          <w:ilvl w:val="0"/>
          <w:numId w:val="7"/>
        </w:numPr>
        <w:rPr>
          <w:sz w:val="32"/>
          <w:szCs w:val="32"/>
        </w:rPr>
      </w:pPr>
      <w:r w:rsidRPr="00BC2A74">
        <w:rPr>
          <w:b/>
          <w:bCs/>
          <w:sz w:val="32"/>
          <w:szCs w:val="32"/>
        </w:rPr>
        <w:t>U.S. Immigration and Customs Enforcement (I.C.E.)</w:t>
      </w:r>
      <w:r w:rsidRPr="00BC2A74">
        <w:rPr>
          <w:sz w:val="32"/>
          <w:szCs w:val="32"/>
        </w:rPr>
        <w:t>; and</w:t>
      </w:r>
    </w:p>
    <w:p w14:paraId="445F5768" w14:textId="77777777" w:rsidR="004C2E42" w:rsidRPr="00BC2A74" w:rsidRDefault="004C2E42" w:rsidP="004C2E42">
      <w:pPr>
        <w:numPr>
          <w:ilvl w:val="0"/>
          <w:numId w:val="7"/>
        </w:numPr>
        <w:rPr>
          <w:sz w:val="32"/>
          <w:szCs w:val="32"/>
        </w:rPr>
      </w:pPr>
      <w:r w:rsidRPr="00BC2A74">
        <w:rPr>
          <w:b/>
          <w:bCs/>
          <w:sz w:val="32"/>
          <w:szCs w:val="32"/>
        </w:rPr>
        <w:t>U.S. Customs and Border Protection (CBP), including the U.S. Border Patrol.</w:t>
      </w:r>
      <w:r w:rsidRPr="00BC2A74">
        <w:rPr>
          <w:sz w:val="32"/>
          <w:szCs w:val="32"/>
        </w:rPr>
        <w:t xml:space="preserve"> </w:t>
      </w:r>
    </w:p>
    <w:p w14:paraId="6F8E0217" w14:textId="18A90202" w:rsidR="004C2E42" w:rsidRPr="00BC2A74" w:rsidRDefault="004C2E42" w:rsidP="004C2E42">
      <w:pPr>
        <w:rPr>
          <w:sz w:val="32"/>
          <w:szCs w:val="32"/>
        </w:rPr>
      </w:pPr>
      <w:r w:rsidRPr="00BC2A74">
        <w:rPr>
          <w:sz w:val="32"/>
          <w:szCs w:val="32"/>
        </w:rPr>
        <w:t xml:space="preserve">(4) </w:t>
      </w:r>
      <w:r w:rsidRPr="00BC2A74">
        <w:rPr>
          <w:b/>
          <w:bCs/>
          <w:sz w:val="32"/>
          <w:szCs w:val="32"/>
        </w:rPr>
        <w:t>Scope of Facilities:</w:t>
      </w:r>
      <w:r w:rsidRPr="00BC2A74">
        <w:rPr>
          <w:sz w:val="32"/>
          <w:szCs w:val="32"/>
        </w:rPr>
        <w:t xml:space="preserve"> This jurisdiction includes, but is not limited to, permanent processing centers, "Tender Care" facilities, short-term hold rooms, and "soft-sided" or temporary containment structures (tents) located on federal, state, or private land.</w:t>
      </w:r>
    </w:p>
    <w:p w14:paraId="5AC53280" w14:textId="77777777" w:rsidR="00CD702E" w:rsidRPr="00BC2A74" w:rsidRDefault="00CD702E" w:rsidP="000C6702">
      <w:pPr>
        <w:rPr>
          <w:sz w:val="32"/>
          <w:szCs w:val="32"/>
        </w:rPr>
      </w:pPr>
    </w:p>
    <w:p w14:paraId="0B5E7E09" w14:textId="2A5DEF95" w:rsidR="000C6702" w:rsidRPr="00BC2A74" w:rsidRDefault="000C6702" w:rsidP="000C6702">
      <w:pPr>
        <w:rPr>
          <w:b/>
          <w:bCs/>
          <w:sz w:val="32"/>
          <w:szCs w:val="32"/>
        </w:rPr>
      </w:pPr>
      <w:r w:rsidRPr="00BC2A74">
        <w:rPr>
          <w:b/>
          <w:bCs/>
          <w:sz w:val="32"/>
          <w:szCs w:val="32"/>
        </w:rPr>
        <w:t xml:space="preserve">Section </w:t>
      </w:r>
      <w:r w:rsidR="00CD702E" w:rsidRPr="00BC2A74">
        <w:rPr>
          <w:b/>
          <w:bCs/>
          <w:sz w:val="32"/>
          <w:szCs w:val="32"/>
        </w:rPr>
        <w:t>4</w:t>
      </w:r>
      <w:r w:rsidRPr="00BC2A74">
        <w:rPr>
          <w:b/>
          <w:bCs/>
          <w:sz w:val="32"/>
          <w:szCs w:val="32"/>
        </w:rPr>
        <w:t>. Inspections</w:t>
      </w:r>
      <w:r w:rsidR="00CD702E" w:rsidRPr="00BC2A74">
        <w:rPr>
          <w:b/>
          <w:bCs/>
          <w:sz w:val="32"/>
          <w:szCs w:val="32"/>
        </w:rPr>
        <w:t>,</w:t>
      </w:r>
      <w:r w:rsidRPr="00BC2A74">
        <w:rPr>
          <w:b/>
          <w:bCs/>
          <w:sz w:val="32"/>
          <w:szCs w:val="32"/>
        </w:rPr>
        <w:t xml:space="preserve"> </w:t>
      </w:r>
      <w:r w:rsidR="00CD702E" w:rsidRPr="00BC2A74">
        <w:rPr>
          <w:b/>
          <w:bCs/>
          <w:sz w:val="32"/>
          <w:szCs w:val="32"/>
        </w:rPr>
        <w:t xml:space="preserve">Transparency, and Respect to </w:t>
      </w:r>
      <w:r w:rsidRPr="00BC2A74">
        <w:rPr>
          <w:b/>
          <w:bCs/>
          <w:sz w:val="32"/>
          <w:szCs w:val="32"/>
        </w:rPr>
        <w:t>Privacy</w:t>
      </w:r>
    </w:p>
    <w:p w14:paraId="4315C46F" w14:textId="07097385" w:rsidR="000C6702" w:rsidRPr="00BC2A74" w:rsidRDefault="000C6702" w:rsidP="000C6702">
      <w:pPr>
        <w:rPr>
          <w:sz w:val="32"/>
          <w:szCs w:val="32"/>
        </w:rPr>
      </w:pPr>
      <w:r w:rsidRPr="00BC2A74">
        <w:rPr>
          <w:sz w:val="32"/>
          <w:szCs w:val="32"/>
        </w:rPr>
        <w:t xml:space="preserve">(1) </w:t>
      </w:r>
      <w:r w:rsidR="001E6A72" w:rsidRPr="00BC2A74">
        <w:rPr>
          <w:b/>
          <w:bCs/>
          <w:sz w:val="32"/>
          <w:szCs w:val="32"/>
        </w:rPr>
        <w:t>Transparency:</w:t>
      </w:r>
      <w:r w:rsidR="001E6A72" w:rsidRPr="00BC2A74">
        <w:rPr>
          <w:sz w:val="32"/>
          <w:szCs w:val="32"/>
        </w:rPr>
        <w:t xml:space="preserve"> </w:t>
      </w:r>
      <w:r w:rsidRPr="00BC2A74">
        <w:rPr>
          <w:sz w:val="32"/>
          <w:szCs w:val="32"/>
        </w:rPr>
        <w:t xml:space="preserve">The Commission shall conduct unannounced inspections with a live public video feed. </w:t>
      </w:r>
    </w:p>
    <w:p w14:paraId="72CB69E3" w14:textId="77777777" w:rsidR="00CD702E" w:rsidRPr="00BC2A74" w:rsidRDefault="000C6702" w:rsidP="00CD702E">
      <w:pPr>
        <w:rPr>
          <w:sz w:val="32"/>
          <w:szCs w:val="32"/>
        </w:rPr>
      </w:pPr>
      <w:r w:rsidRPr="00BC2A74">
        <w:rPr>
          <w:sz w:val="32"/>
          <w:szCs w:val="32"/>
        </w:rPr>
        <w:t xml:space="preserve">(2) </w:t>
      </w:r>
      <w:r w:rsidRPr="00BC2A74">
        <w:rPr>
          <w:b/>
          <w:bCs/>
          <w:sz w:val="32"/>
          <w:szCs w:val="32"/>
        </w:rPr>
        <w:t>Privacy Protections:</w:t>
      </w:r>
      <w:r w:rsidRPr="00BC2A74">
        <w:rPr>
          <w:sz w:val="32"/>
          <w:szCs w:val="32"/>
        </w:rPr>
        <w:t xml:space="preserve"> All feeds must comply with </w:t>
      </w:r>
      <w:r w:rsidRPr="00BC2A74">
        <w:rPr>
          <w:b/>
          <w:bCs/>
          <w:sz w:val="32"/>
          <w:szCs w:val="32"/>
        </w:rPr>
        <w:t>HIPAA</w:t>
      </w:r>
      <w:r w:rsidRPr="00BC2A74">
        <w:rPr>
          <w:sz w:val="32"/>
          <w:szCs w:val="32"/>
        </w:rPr>
        <w:t xml:space="preserve"> and </w:t>
      </w:r>
      <w:r w:rsidRPr="00BC2A74">
        <w:rPr>
          <w:b/>
          <w:bCs/>
          <w:sz w:val="32"/>
          <w:szCs w:val="32"/>
        </w:rPr>
        <w:t>Oregon Individual Detainee Privacy Rights</w:t>
      </w:r>
      <w:r w:rsidRPr="00BC2A74">
        <w:rPr>
          <w:sz w:val="32"/>
          <w:szCs w:val="32"/>
        </w:rPr>
        <w:t xml:space="preserve"> (ORS 179.495). The Commission is mandated to use real-time blurring technology to protect the identities of those detained while maintaining total transparency of the facility conditions.</w:t>
      </w:r>
    </w:p>
    <w:p w14:paraId="1AEBC225" w14:textId="53DC6511" w:rsidR="00CD702E" w:rsidRPr="00BC2A74" w:rsidRDefault="00CD702E" w:rsidP="00CD702E">
      <w:pPr>
        <w:rPr>
          <w:sz w:val="32"/>
          <w:szCs w:val="32"/>
        </w:rPr>
      </w:pPr>
      <w:r w:rsidRPr="00BC2A74">
        <w:rPr>
          <w:rFonts w:eastAsiaTheme="minorEastAsia" w:cstheme="minorHAnsi"/>
          <w:sz w:val="32"/>
          <w:szCs w:val="32"/>
        </w:rPr>
        <w:t xml:space="preserve">(3) </w:t>
      </w:r>
      <w:r w:rsidRPr="00BC2A74">
        <w:rPr>
          <w:rFonts w:eastAsiaTheme="minorEastAsia" w:cstheme="minorHAnsi"/>
          <w:b/>
          <w:bCs/>
          <w:sz w:val="32"/>
          <w:szCs w:val="32"/>
        </w:rPr>
        <w:t>Public Reporting:</w:t>
      </w:r>
      <w:r w:rsidRPr="00BC2A74">
        <w:rPr>
          <w:rFonts w:eastAsiaTheme="minorEastAsia" w:cstheme="minorHAnsi"/>
          <w:sz w:val="32"/>
          <w:szCs w:val="32"/>
        </w:rPr>
        <w:t xml:space="preserve"> Within 30 days of an inspection, the Commission must publish its full conclusions and findings for public review.</w:t>
      </w:r>
      <w:r w:rsidR="00E612B0" w:rsidRPr="00BC2A74">
        <w:rPr>
          <w:rFonts w:eastAsiaTheme="minorEastAsia" w:cstheme="minorHAnsi"/>
          <w:sz w:val="32"/>
          <w:szCs w:val="32"/>
        </w:rPr>
        <w:t xml:space="preserve"> </w:t>
      </w:r>
    </w:p>
    <w:p w14:paraId="599742D5" w14:textId="77777777" w:rsidR="00CD702E" w:rsidRPr="00BC2A74" w:rsidRDefault="00CD702E" w:rsidP="000C6702">
      <w:pPr>
        <w:rPr>
          <w:sz w:val="32"/>
          <w:szCs w:val="32"/>
        </w:rPr>
      </w:pPr>
    </w:p>
    <w:p w14:paraId="112E31D6" w14:textId="15889210" w:rsidR="003A4A96" w:rsidRPr="00BC2A74" w:rsidRDefault="003A4A96" w:rsidP="003A4A96">
      <w:pPr>
        <w:rPr>
          <w:b/>
          <w:bCs/>
          <w:sz w:val="32"/>
          <w:szCs w:val="32"/>
        </w:rPr>
      </w:pPr>
      <w:r w:rsidRPr="00BC2A74">
        <w:rPr>
          <w:b/>
          <w:bCs/>
          <w:sz w:val="32"/>
          <w:szCs w:val="32"/>
        </w:rPr>
        <w:t xml:space="preserve">Section 5. Evidence Protection and Secure Transfer </w:t>
      </w:r>
    </w:p>
    <w:p w14:paraId="5FD9FCEE" w14:textId="77777777" w:rsidR="003A4A96" w:rsidRPr="00BC2A74" w:rsidRDefault="003A4A96" w:rsidP="003A4A96">
      <w:pPr>
        <w:rPr>
          <w:sz w:val="32"/>
          <w:szCs w:val="32"/>
        </w:rPr>
      </w:pPr>
      <w:r w:rsidRPr="00BC2A74">
        <w:rPr>
          <w:b/>
          <w:bCs/>
          <w:sz w:val="32"/>
          <w:szCs w:val="32"/>
        </w:rPr>
        <w:t xml:space="preserve">(1) Mandatory Cooperation: </w:t>
      </w:r>
      <w:r w:rsidRPr="00BC2A74">
        <w:rPr>
          <w:sz w:val="32"/>
          <w:szCs w:val="32"/>
        </w:rPr>
        <w:t xml:space="preserve">State and local law enforcement agencies shall cooperate with the Commission to ensure the safety of commissioners and the preservation of all findings. </w:t>
      </w:r>
    </w:p>
    <w:p w14:paraId="343A961E" w14:textId="565040FD" w:rsidR="003A4A96" w:rsidRPr="00BC2A74" w:rsidRDefault="003A4A96" w:rsidP="003A4A96">
      <w:pPr>
        <w:rPr>
          <w:b/>
          <w:bCs/>
          <w:sz w:val="32"/>
          <w:szCs w:val="32"/>
        </w:rPr>
      </w:pPr>
      <w:r w:rsidRPr="00BC2A74">
        <w:rPr>
          <w:sz w:val="32"/>
          <w:szCs w:val="32"/>
        </w:rPr>
        <w:t xml:space="preserve">(2) </w:t>
      </w:r>
      <w:r w:rsidRPr="00BC2A74">
        <w:rPr>
          <w:b/>
          <w:bCs/>
          <w:sz w:val="32"/>
          <w:szCs w:val="32"/>
        </w:rPr>
        <w:t>Secure Transfer of Evidence</w:t>
      </w:r>
      <w:r w:rsidRPr="00BC2A74">
        <w:rPr>
          <w:sz w:val="32"/>
          <w:szCs w:val="32"/>
        </w:rPr>
        <w:t>: Upon identifying potential criminal conduct, systemic medical neglect, or human rights abuses, the Commission shall immediately secure all relevant physical and digital evidence. To ensure a proper chain of custody and legal accountability, the Commission is mandated to transfer such evidence to the appropriate authorities, including</w:t>
      </w:r>
      <w:r w:rsidRPr="00BC2A74">
        <w:rPr>
          <w:b/>
          <w:bCs/>
          <w:sz w:val="32"/>
          <w:szCs w:val="32"/>
        </w:rPr>
        <w:t>:</w:t>
      </w:r>
    </w:p>
    <w:p w14:paraId="469DB94A" w14:textId="77777777" w:rsidR="003A4A96" w:rsidRPr="00BC2A74" w:rsidRDefault="003A4A96" w:rsidP="003A4A96">
      <w:pPr>
        <w:numPr>
          <w:ilvl w:val="0"/>
          <w:numId w:val="3"/>
        </w:numPr>
        <w:rPr>
          <w:b/>
          <w:bCs/>
          <w:sz w:val="32"/>
          <w:szCs w:val="32"/>
        </w:rPr>
      </w:pPr>
      <w:r w:rsidRPr="00BC2A74">
        <w:rPr>
          <w:b/>
          <w:bCs/>
          <w:sz w:val="32"/>
          <w:szCs w:val="32"/>
        </w:rPr>
        <w:t>The local Police Department or County Sheriff’s Office with jurisdiction over the facility;</w:t>
      </w:r>
    </w:p>
    <w:p w14:paraId="2BDA3529" w14:textId="77777777" w:rsidR="003A4A96" w:rsidRPr="00BC2A74" w:rsidRDefault="003A4A96" w:rsidP="003A4A96">
      <w:pPr>
        <w:numPr>
          <w:ilvl w:val="0"/>
          <w:numId w:val="3"/>
        </w:numPr>
        <w:rPr>
          <w:b/>
          <w:bCs/>
          <w:sz w:val="32"/>
          <w:szCs w:val="32"/>
        </w:rPr>
      </w:pPr>
      <w:r w:rsidRPr="00BC2A74">
        <w:rPr>
          <w:b/>
          <w:bCs/>
          <w:sz w:val="32"/>
          <w:szCs w:val="32"/>
        </w:rPr>
        <w:t>The Oregon State Police; or</w:t>
      </w:r>
    </w:p>
    <w:p w14:paraId="7481B6AA" w14:textId="77777777" w:rsidR="003A4A96" w:rsidRPr="00BC2A74" w:rsidRDefault="003A4A96" w:rsidP="003A4A96">
      <w:pPr>
        <w:numPr>
          <w:ilvl w:val="0"/>
          <w:numId w:val="3"/>
        </w:numPr>
        <w:rPr>
          <w:b/>
          <w:bCs/>
          <w:sz w:val="32"/>
          <w:szCs w:val="32"/>
        </w:rPr>
      </w:pPr>
      <w:r w:rsidRPr="00BC2A74">
        <w:rPr>
          <w:b/>
          <w:bCs/>
          <w:sz w:val="32"/>
          <w:szCs w:val="32"/>
        </w:rPr>
        <w:t>A Presiding Judge of the Oregon Circuit Court for the purpose of seeking emergency injunctive relief or initiating a grand jury investigation.</w:t>
      </w:r>
    </w:p>
    <w:p w14:paraId="31B43404" w14:textId="77777777" w:rsidR="003A4A96" w:rsidRPr="00BC2A74" w:rsidRDefault="003A4A96" w:rsidP="003A4A96">
      <w:pPr>
        <w:rPr>
          <w:b/>
          <w:bCs/>
          <w:sz w:val="32"/>
          <w:szCs w:val="32"/>
        </w:rPr>
      </w:pPr>
    </w:p>
    <w:p w14:paraId="6D36213C" w14:textId="2F497FAF" w:rsidR="003A4A96" w:rsidRPr="00BC2A74" w:rsidRDefault="003A4A96" w:rsidP="003A4A96">
      <w:pPr>
        <w:rPr>
          <w:sz w:val="32"/>
          <w:szCs w:val="32"/>
        </w:rPr>
      </w:pPr>
      <w:r w:rsidRPr="00BC2A74">
        <w:rPr>
          <w:b/>
          <w:bCs/>
          <w:sz w:val="32"/>
          <w:szCs w:val="32"/>
        </w:rPr>
        <w:t xml:space="preserve">(3) Prevention of Suppression: </w:t>
      </w:r>
      <w:r w:rsidRPr="00BC2A74">
        <w:rPr>
          <w:sz w:val="32"/>
          <w:szCs w:val="32"/>
        </w:rPr>
        <w:t>Any attempt by facility management, staff, or contractors to suppress, hide, or destroy evidence before it can be considered by a court of law shall be subject to maximum penalties under Oregon law, including prosecution for tampering with physical evidence.</w:t>
      </w:r>
    </w:p>
    <w:p w14:paraId="59809EA3" w14:textId="77777777" w:rsidR="00733440" w:rsidRPr="00BC2A74" w:rsidRDefault="00733440" w:rsidP="003A4A96">
      <w:pPr>
        <w:rPr>
          <w:sz w:val="32"/>
          <w:szCs w:val="32"/>
        </w:rPr>
      </w:pPr>
    </w:p>
    <w:p w14:paraId="44CF6335" w14:textId="77777777" w:rsidR="00BC2A74" w:rsidRDefault="00BC2A74" w:rsidP="00733440">
      <w:pPr>
        <w:rPr>
          <w:b/>
          <w:bCs/>
          <w:sz w:val="32"/>
          <w:szCs w:val="32"/>
        </w:rPr>
      </w:pPr>
    </w:p>
    <w:p w14:paraId="4A3F4F22" w14:textId="7B4C9A7B" w:rsidR="00733440" w:rsidRPr="00BC2A74" w:rsidRDefault="00733440" w:rsidP="00733440">
      <w:pPr>
        <w:rPr>
          <w:b/>
          <w:bCs/>
          <w:sz w:val="32"/>
          <w:szCs w:val="32"/>
        </w:rPr>
      </w:pPr>
      <w:r w:rsidRPr="00BC2A74">
        <w:rPr>
          <w:b/>
          <w:bCs/>
          <w:sz w:val="32"/>
          <w:szCs w:val="32"/>
        </w:rPr>
        <w:lastRenderedPageBreak/>
        <w:t>Section 6. Funding and Commissioner Compensation</w:t>
      </w:r>
    </w:p>
    <w:p w14:paraId="79CBA3D7" w14:textId="77777777" w:rsidR="00733440" w:rsidRPr="00BC2A74" w:rsidRDefault="00733440" w:rsidP="00733440">
      <w:pPr>
        <w:rPr>
          <w:sz w:val="32"/>
          <w:szCs w:val="32"/>
        </w:rPr>
      </w:pPr>
      <w:r w:rsidRPr="00BC2A74">
        <w:rPr>
          <w:b/>
          <w:bCs/>
          <w:sz w:val="32"/>
          <w:szCs w:val="32"/>
        </w:rPr>
        <w:t>(1) Commissioner Compensation:</w:t>
      </w:r>
      <w:r w:rsidRPr="00BC2A74">
        <w:rPr>
          <w:sz w:val="32"/>
          <w:szCs w:val="32"/>
        </w:rPr>
        <w:t xml:space="preserve"> Each member of the Containment Facilities Oversight Commission shall receive a per diem stipend for each day spent on Commission business, including inspections, public hearings, and report drafting. This stipend shall be equal to the per diem rate established for members of the Oregon Legislative Assembly. Commissioners shall also be reimbursed for all actual and necessary travel expenses incurred in the performance of their duties.</w:t>
      </w:r>
    </w:p>
    <w:p w14:paraId="14595CCE" w14:textId="77777777" w:rsidR="00733440" w:rsidRPr="00BC2A74" w:rsidRDefault="00733440" w:rsidP="00733440">
      <w:pPr>
        <w:rPr>
          <w:sz w:val="32"/>
          <w:szCs w:val="32"/>
        </w:rPr>
      </w:pPr>
      <w:r w:rsidRPr="00BC2A74">
        <w:rPr>
          <w:b/>
          <w:bCs/>
          <w:sz w:val="32"/>
          <w:szCs w:val="32"/>
        </w:rPr>
        <w:t>(2) Establishment of Oversight Fees:</w:t>
      </w:r>
      <w:r w:rsidRPr="00BC2A74">
        <w:rPr>
          <w:sz w:val="32"/>
          <w:szCs w:val="32"/>
        </w:rPr>
        <w:t xml:space="preserve"> The Oregon Department of Administrative Services (DAS) is hereby mandated to establish an </w:t>
      </w:r>
      <w:r w:rsidRPr="00BC2A74">
        <w:rPr>
          <w:b/>
          <w:bCs/>
          <w:sz w:val="32"/>
          <w:szCs w:val="32"/>
        </w:rPr>
        <w:t>"Intergovernmental Oversight and Health Compliance Fee."</w:t>
      </w:r>
      <w:r w:rsidRPr="00BC2A74">
        <w:rPr>
          <w:sz w:val="32"/>
          <w:szCs w:val="32"/>
        </w:rPr>
        <w:t xml:space="preserve"> This fee shall be levied against any entity, whether private corporation or federal agency, that operates a detention or containment facility within the boundaries of the State of Oregon.</w:t>
      </w:r>
    </w:p>
    <w:p w14:paraId="4349FB51" w14:textId="77777777" w:rsidR="00733440" w:rsidRPr="00BC2A74" w:rsidRDefault="00733440" w:rsidP="00733440">
      <w:pPr>
        <w:numPr>
          <w:ilvl w:val="0"/>
          <w:numId w:val="4"/>
        </w:numPr>
        <w:rPr>
          <w:sz w:val="32"/>
          <w:szCs w:val="32"/>
        </w:rPr>
      </w:pPr>
      <w:r w:rsidRPr="00BC2A74">
        <w:rPr>
          <w:b/>
          <w:bCs/>
          <w:sz w:val="32"/>
          <w:szCs w:val="32"/>
        </w:rPr>
        <w:t>Purpose:</w:t>
      </w:r>
      <w:r w:rsidRPr="00BC2A74">
        <w:rPr>
          <w:sz w:val="32"/>
          <w:szCs w:val="32"/>
        </w:rPr>
        <w:t xml:space="preserve"> The fee shall be calculated to cover the total operational costs of the Commission, including member stipends, travel, independent medical consultants, and the maintenance of the public live-feed technology.</w:t>
      </w:r>
    </w:p>
    <w:p w14:paraId="083B19E9" w14:textId="77777777" w:rsidR="00733440" w:rsidRPr="00BC2A74" w:rsidRDefault="00733440" w:rsidP="00733440">
      <w:pPr>
        <w:rPr>
          <w:sz w:val="32"/>
          <w:szCs w:val="32"/>
        </w:rPr>
      </w:pPr>
      <w:r w:rsidRPr="00BC2A74">
        <w:rPr>
          <w:b/>
          <w:bCs/>
          <w:sz w:val="32"/>
          <w:szCs w:val="32"/>
        </w:rPr>
        <w:t>(3) Mandated Federal Reimbursement:</w:t>
      </w:r>
      <w:r w:rsidRPr="00BC2A74">
        <w:rPr>
          <w:sz w:val="32"/>
          <w:szCs w:val="32"/>
        </w:rPr>
        <w:t xml:space="preserve"> The Governor of Oregon and the Director of the Department of Administrative Services are hereby directed to apply for and secure federal funds for the Commission's operations through the following channels:</w:t>
      </w:r>
    </w:p>
    <w:p w14:paraId="5E5DBE0F" w14:textId="77777777" w:rsidR="00733440" w:rsidRPr="00BC2A74" w:rsidRDefault="00733440" w:rsidP="00733440">
      <w:pPr>
        <w:numPr>
          <w:ilvl w:val="0"/>
          <w:numId w:val="5"/>
        </w:numPr>
        <w:rPr>
          <w:sz w:val="32"/>
          <w:szCs w:val="32"/>
        </w:rPr>
      </w:pPr>
      <w:r w:rsidRPr="00BC2A74">
        <w:rPr>
          <w:b/>
          <w:bCs/>
          <w:sz w:val="32"/>
          <w:szCs w:val="32"/>
        </w:rPr>
        <w:t>The OBBBA State Reimbursement Fund:</w:t>
      </w:r>
      <w:r w:rsidRPr="00BC2A74">
        <w:rPr>
          <w:sz w:val="32"/>
          <w:szCs w:val="32"/>
        </w:rPr>
        <w:t xml:space="preserve"> Seeking a portion of the $3.5 billion allocated under the federal </w:t>
      </w:r>
      <w:r w:rsidRPr="00BC2A74">
        <w:rPr>
          <w:i/>
          <w:iCs/>
          <w:sz w:val="32"/>
          <w:szCs w:val="32"/>
        </w:rPr>
        <w:t>One Big Beautiful Bill Act of 2025</w:t>
      </w:r>
      <w:r w:rsidRPr="00BC2A74">
        <w:rPr>
          <w:sz w:val="32"/>
          <w:szCs w:val="32"/>
        </w:rPr>
        <w:t xml:space="preserve"> for state-level detention-related costs.</w:t>
      </w:r>
    </w:p>
    <w:p w14:paraId="4D512B0D" w14:textId="77777777" w:rsidR="00733440" w:rsidRPr="00BC2A74" w:rsidRDefault="00733440" w:rsidP="00733440">
      <w:pPr>
        <w:numPr>
          <w:ilvl w:val="0"/>
          <w:numId w:val="5"/>
        </w:numPr>
        <w:rPr>
          <w:sz w:val="32"/>
          <w:szCs w:val="32"/>
        </w:rPr>
      </w:pPr>
      <w:r w:rsidRPr="00BC2A74">
        <w:rPr>
          <w:b/>
          <w:bCs/>
          <w:sz w:val="32"/>
          <w:szCs w:val="32"/>
        </w:rPr>
        <w:lastRenderedPageBreak/>
        <w:t>Intergovernmental Service Agreements (IGSA):</w:t>
      </w:r>
      <w:r w:rsidRPr="00BC2A74">
        <w:rPr>
          <w:sz w:val="32"/>
          <w:szCs w:val="32"/>
        </w:rPr>
        <w:t xml:space="preserve"> Mandating that any future or renewed agreement between the State of Oregon and U.S. Immigration and Customs Enforcement (I.C.E.) includes a line item for "State Health and Safety Compliance Oversight" to be paid by the federal government.</w:t>
      </w:r>
    </w:p>
    <w:p w14:paraId="3DED7740" w14:textId="77777777" w:rsidR="00733440" w:rsidRPr="00BC2A74" w:rsidRDefault="00733440" w:rsidP="00733440">
      <w:pPr>
        <w:rPr>
          <w:sz w:val="32"/>
          <w:szCs w:val="32"/>
        </w:rPr>
      </w:pPr>
      <w:r w:rsidRPr="00BC2A74">
        <w:rPr>
          <w:b/>
          <w:bCs/>
          <w:sz w:val="32"/>
          <w:szCs w:val="32"/>
        </w:rPr>
        <w:t>(4) State General Fund Backstop:</w:t>
      </w:r>
      <w:r w:rsidRPr="00BC2A74">
        <w:rPr>
          <w:sz w:val="32"/>
          <w:szCs w:val="32"/>
        </w:rPr>
        <w:t xml:space="preserve"> Until federal reimbursements or oversight fees are collected, the costs of the Commission shall be advanced from the State General Fund. Any federal reimbursements subsequently received for these purposes shall be returned to the General Fund to ensure the program remains revenue-neutral for the State of Oregon.</w:t>
      </w:r>
    </w:p>
    <w:p w14:paraId="1FEA9F8C" w14:textId="77777777" w:rsidR="00733440" w:rsidRPr="00BC2A74" w:rsidRDefault="00733440" w:rsidP="003A4A96">
      <w:pPr>
        <w:rPr>
          <w:sz w:val="32"/>
          <w:szCs w:val="32"/>
        </w:rPr>
      </w:pPr>
    </w:p>
    <w:p w14:paraId="2068CA0E" w14:textId="77777777" w:rsidR="00733440" w:rsidRPr="00BC2A74" w:rsidRDefault="00733440" w:rsidP="003A4A96">
      <w:pPr>
        <w:rPr>
          <w:sz w:val="32"/>
          <w:szCs w:val="32"/>
        </w:rPr>
      </w:pPr>
    </w:p>
    <w:p w14:paraId="65695B8F" w14:textId="77777777" w:rsidR="00034174" w:rsidRPr="00BC2A74" w:rsidRDefault="00034174">
      <w:pPr>
        <w:rPr>
          <w:sz w:val="32"/>
          <w:szCs w:val="32"/>
        </w:rPr>
      </w:pPr>
    </w:p>
    <w:sectPr w:rsidR="00034174" w:rsidRPr="00BC2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935"/>
    <w:multiLevelType w:val="multilevel"/>
    <w:tmpl w:val="AB1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D2434"/>
    <w:multiLevelType w:val="multilevel"/>
    <w:tmpl w:val="129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E167B"/>
    <w:multiLevelType w:val="multilevel"/>
    <w:tmpl w:val="31BC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E1072"/>
    <w:multiLevelType w:val="multilevel"/>
    <w:tmpl w:val="5338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A4C92"/>
    <w:multiLevelType w:val="multilevel"/>
    <w:tmpl w:val="83E0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55B11"/>
    <w:multiLevelType w:val="multilevel"/>
    <w:tmpl w:val="C412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70802"/>
    <w:multiLevelType w:val="multilevel"/>
    <w:tmpl w:val="C9EC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415103">
    <w:abstractNumId w:val="2"/>
  </w:num>
  <w:num w:numId="2" w16cid:durableId="613294577">
    <w:abstractNumId w:val="0"/>
  </w:num>
  <w:num w:numId="3" w16cid:durableId="1633363072">
    <w:abstractNumId w:val="5"/>
  </w:num>
  <w:num w:numId="4" w16cid:durableId="1278215096">
    <w:abstractNumId w:val="1"/>
  </w:num>
  <w:num w:numId="5" w16cid:durableId="1433863487">
    <w:abstractNumId w:val="6"/>
  </w:num>
  <w:num w:numId="6" w16cid:durableId="846021992">
    <w:abstractNumId w:val="3"/>
  </w:num>
  <w:num w:numId="7" w16cid:durableId="924412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702"/>
    <w:rsid w:val="00034174"/>
    <w:rsid w:val="000C6702"/>
    <w:rsid w:val="001E6A72"/>
    <w:rsid w:val="00227CD1"/>
    <w:rsid w:val="002479DF"/>
    <w:rsid w:val="00261F3F"/>
    <w:rsid w:val="00313B85"/>
    <w:rsid w:val="003A4A96"/>
    <w:rsid w:val="00487BAB"/>
    <w:rsid w:val="004C2E42"/>
    <w:rsid w:val="00535B98"/>
    <w:rsid w:val="005D17F8"/>
    <w:rsid w:val="005E7EBD"/>
    <w:rsid w:val="005F3DE3"/>
    <w:rsid w:val="006B2116"/>
    <w:rsid w:val="006D2C84"/>
    <w:rsid w:val="00733440"/>
    <w:rsid w:val="009B4DC1"/>
    <w:rsid w:val="00B27BA4"/>
    <w:rsid w:val="00BC2A74"/>
    <w:rsid w:val="00C72BBE"/>
    <w:rsid w:val="00CD702E"/>
    <w:rsid w:val="00E61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AF10"/>
  <w15:chartTrackingRefBased/>
  <w15:docId w15:val="{13D97ECA-9CFD-4147-BCA8-18C1522F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702"/>
  </w:style>
  <w:style w:type="paragraph" w:styleId="Heading1">
    <w:name w:val="heading 1"/>
    <w:basedOn w:val="Normal"/>
    <w:next w:val="Normal"/>
    <w:link w:val="Heading1Char"/>
    <w:uiPriority w:val="9"/>
    <w:qFormat/>
    <w:rsid w:val="000C67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7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702"/>
    <w:rPr>
      <w:rFonts w:eastAsiaTheme="majorEastAsia" w:cstheme="majorBidi"/>
      <w:color w:val="272727" w:themeColor="text1" w:themeTint="D8"/>
    </w:rPr>
  </w:style>
  <w:style w:type="paragraph" w:styleId="Title">
    <w:name w:val="Title"/>
    <w:basedOn w:val="Normal"/>
    <w:next w:val="Normal"/>
    <w:link w:val="TitleChar"/>
    <w:uiPriority w:val="10"/>
    <w:qFormat/>
    <w:rsid w:val="000C6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702"/>
    <w:pPr>
      <w:spacing w:before="160"/>
      <w:jc w:val="center"/>
    </w:pPr>
    <w:rPr>
      <w:i/>
      <w:iCs/>
      <w:color w:val="404040" w:themeColor="text1" w:themeTint="BF"/>
    </w:rPr>
  </w:style>
  <w:style w:type="character" w:customStyle="1" w:styleId="QuoteChar">
    <w:name w:val="Quote Char"/>
    <w:basedOn w:val="DefaultParagraphFont"/>
    <w:link w:val="Quote"/>
    <w:uiPriority w:val="29"/>
    <w:rsid w:val="000C6702"/>
    <w:rPr>
      <w:i/>
      <w:iCs/>
      <w:color w:val="404040" w:themeColor="text1" w:themeTint="BF"/>
    </w:rPr>
  </w:style>
  <w:style w:type="paragraph" w:styleId="ListParagraph">
    <w:name w:val="List Paragraph"/>
    <w:basedOn w:val="Normal"/>
    <w:uiPriority w:val="34"/>
    <w:qFormat/>
    <w:rsid w:val="000C6702"/>
    <w:pPr>
      <w:ind w:left="720"/>
      <w:contextualSpacing/>
    </w:pPr>
  </w:style>
  <w:style w:type="character" w:styleId="IntenseEmphasis">
    <w:name w:val="Intense Emphasis"/>
    <w:basedOn w:val="DefaultParagraphFont"/>
    <w:uiPriority w:val="21"/>
    <w:qFormat/>
    <w:rsid w:val="000C6702"/>
    <w:rPr>
      <w:i/>
      <w:iCs/>
      <w:color w:val="2F5496" w:themeColor="accent1" w:themeShade="BF"/>
    </w:rPr>
  </w:style>
  <w:style w:type="paragraph" w:styleId="IntenseQuote">
    <w:name w:val="Intense Quote"/>
    <w:basedOn w:val="Normal"/>
    <w:next w:val="Normal"/>
    <w:link w:val="IntenseQuoteChar"/>
    <w:uiPriority w:val="30"/>
    <w:qFormat/>
    <w:rsid w:val="000C6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702"/>
    <w:rPr>
      <w:i/>
      <w:iCs/>
      <w:color w:val="2F5496" w:themeColor="accent1" w:themeShade="BF"/>
    </w:rPr>
  </w:style>
  <w:style w:type="character" w:styleId="IntenseReference">
    <w:name w:val="Intense Reference"/>
    <w:basedOn w:val="DefaultParagraphFont"/>
    <w:uiPriority w:val="32"/>
    <w:qFormat/>
    <w:rsid w:val="000C67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6</Pages>
  <Words>1107</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dc:creator>
  <cp:keywords/>
  <dc:description/>
  <cp:lastModifiedBy>Shawn M</cp:lastModifiedBy>
  <cp:revision>10</cp:revision>
  <dcterms:created xsi:type="dcterms:W3CDTF">2026-03-16T22:44:00Z</dcterms:created>
  <dcterms:modified xsi:type="dcterms:W3CDTF">2026-03-20T19:23:00Z</dcterms:modified>
</cp:coreProperties>
</file>