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122F" w:rsidRPr="0025122F" w:rsidRDefault="00C37E47" w:rsidP="002512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val="en-US"/>
        </w:rPr>
      </w:pPr>
      <w:r w:rsidRPr="00C37E47">
        <w:rPr>
          <w:b/>
          <w:sz w:val="40"/>
          <w:szCs w:val="40"/>
        </w:rPr>
        <w:t>Superstore Analysis Report</w:t>
      </w:r>
      <w:r w:rsidR="0025122F" w:rsidRPr="0025122F">
        <w:t xml:space="preserve"> </w:t>
      </w:r>
      <w:r w:rsidR="0025122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25122F" w:rsidRPr="0025122F">
        <w:rPr>
          <w:rFonts w:ascii="Times New Roman" w:eastAsia="Times New Roman" w:hAnsi="Times New Roman" w:cs="Times New Roman"/>
          <w:b/>
          <w:sz w:val="40"/>
          <w:szCs w:val="40"/>
          <w:lang w:val="en-US"/>
        </w:rPr>
        <w:t>Member 2</w:t>
      </w:r>
      <w:bookmarkStart w:id="0" w:name="_GoBack"/>
      <w:bookmarkEnd w:id="0"/>
    </w:p>
    <w:p w:rsidR="0097367C" w:rsidRPr="00C37E47" w:rsidRDefault="0097367C">
      <w:pPr>
        <w:rPr>
          <w:b/>
          <w:sz w:val="40"/>
          <w:szCs w:val="40"/>
          <w:lang w:val="en-US"/>
        </w:rPr>
      </w:pPr>
    </w:p>
    <w:p w:rsidR="00C37E47" w:rsidRPr="00C37E47" w:rsidRDefault="00C37E47" w:rsidP="00C37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C37E47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Executive summary</w:t>
      </w:r>
    </w:p>
    <w:p w:rsidR="00C37E47" w:rsidRPr="00C37E47" w:rsidRDefault="00C37E47" w:rsidP="00C37E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37E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Objective:</w:t>
      </w:r>
      <w:r w:rsidRPr="00C37E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Understand sales patterns to inform inventory planning and targeted promotions.</w:t>
      </w:r>
    </w:p>
    <w:p w:rsidR="00C37E47" w:rsidRPr="00C37E47" w:rsidRDefault="00C37E47" w:rsidP="00C37E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37E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Key insights:</w:t>
      </w:r>
      <w:r w:rsidRPr="00C37E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West and East have the highest transaction shares; Office Supplies dominate across regions, while Furniture and Technology vary. Outliers exist and warrant monitoring.</w:t>
      </w:r>
    </w:p>
    <w:p w:rsidR="00C37E47" w:rsidRPr="00C37E47" w:rsidRDefault="00C37E47" w:rsidP="00C37E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37E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Recommendations:</w:t>
      </w:r>
      <w:r w:rsidRPr="00C37E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Prioritize stock and promotions in West/East, tailor Furniture/Technology strategies by region and segment, and review discount policy drivers for outliers.</w:t>
      </w:r>
    </w:p>
    <w:p w:rsidR="00C37E47" w:rsidRPr="00C37E47" w:rsidRDefault="00C37E47" w:rsidP="00F360A6">
      <w:pPr>
        <w:tabs>
          <w:tab w:val="center" w:pos="468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C37E47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Introduction</w:t>
      </w:r>
      <w:r w:rsidR="00F360A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ab/>
      </w:r>
    </w:p>
    <w:p w:rsidR="00C37E47" w:rsidRPr="00C37E47" w:rsidRDefault="00C37E47" w:rsidP="00C37E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37E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Context:</w:t>
      </w:r>
      <w:r w:rsidRPr="00C37E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This report analyzes the Superstore dataset to surface patterns across categories, segments, and regions.</w:t>
      </w:r>
    </w:p>
    <w:p w:rsidR="00C37E47" w:rsidRPr="00C37E47" w:rsidRDefault="00C37E47" w:rsidP="00C37E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37E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Scope:</w:t>
      </w:r>
      <w:r w:rsidRPr="00C37E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We evaluate correlations, identify outliers, and examine distributions and cross</w:t>
      </w:r>
      <w:r w:rsidRPr="00C37E47">
        <w:rPr>
          <w:rFonts w:ascii="Times New Roman" w:eastAsia="Times New Roman" w:hAnsi="Times New Roman" w:cs="Times New Roman"/>
          <w:sz w:val="24"/>
          <w:szCs w:val="24"/>
          <w:lang w:val="en-US"/>
        </w:rPr>
        <w:noBreakHyphen/>
        <w:t>tab relationships to guide operational decisions.</w:t>
      </w:r>
    </w:p>
    <w:p w:rsidR="00C37E47" w:rsidRPr="00C37E47" w:rsidRDefault="00C37E47" w:rsidP="00C37E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37E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Deliverables:</w:t>
      </w:r>
      <w:r w:rsidRPr="00C37E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Cleaned dataset, saved visuals, and actionable recommendations aligned with observed patterns.</w:t>
      </w:r>
    </w:p>
    <w:p w:rsidR="00C37E47" w:rsidRPr="00C37E47" w:rsidRDefault="00C37E47" w:rsidP="00C37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C37E47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Methods</w:t>
      </w:r>
    </w:p>
    <w:p w:rsidR="00C37E47" w:rsidRPr="00C37E47" w:rsidRDefault="00C37E47" w:rsidP="00C37E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37E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Data preparation:</w:t>
      </w:r>
      <w:r w:rsidRPr="00C37E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Loaded, cleaned, and exported the final dataset to the project Data folder for reuse and review.</w:t>
      </w:r>
    </w:p>
    <w:p w:rsidR="00C37E47" w:rsidRPr="00C37E47" w:rsidRDefault="00C37E47" w:rsidP="00C37E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37E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Correlation analysis:</w:t>
      </w:r>
      <w:r w:rsidRPr="00C37E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Computed and visualized numeric feature relationships to identify strong signals and potential risks.</w:t>
      </w:r>
    </w:p>
    <w:p w:rsidR="00C37E47" w:rsidRPr="00C37E47" w:rsidRDefault="00C37E47" w:rsidP="00C37E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37E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Outlier detection:</w:t>
      </w:r>
      <w:r w:rsidRPr="00C37E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Applied the IQR method and inspected boxplots to locate unusual values that may affect decisions.</w:t>
      </w:r>
    </w:p>
    <w:p w:rsidR="00C37E47" w:rsidRPr="00C37E47" w:rsidRDefault="00C37E47" w:rsidP="00C37E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37E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Distribution analysis:</w:t>
      </w:r>
      <w:r w:rsidRPr="00C37E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Measured counts and proportions for Category, Segment, and Region to understand concentration.</w:t>
      </w:r>
    </w:p>
    <w:p w:rsidR="00C37E47" w:rsidRDefault="00C37E47" w:rsidP="00C37E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37E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Cross</w:t>
      </w:r>
      <w:r w:rsidRPr="00C37E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noBreakHyphen/>
        <w:t>tabs:</w:t>
      </w:r>
      <w:r w:rsidRPr="00C37E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Built </w:t>
      </w:r>
      <w:proofErr w:type="spellStart"/>
      <w:r w:rsidRPr="00C37E47">
        <w:rPr>
          <w:rFonts w:ascii="Times New Roman" w:eastAsia="Times New Roman" w:hAnsi="Times New Roman" w:cs="Times New Roman"/>
          <w:sz w:val="24"/>
          <w:szCs w:val="24"/>
          <w:lang w:val="en-US"/>
        </w:rPr>
        <w:t>heatmaps</w:t>
      </w:r>
      <w:proofErr w:type="spellEnd"/>
      <w:r w:rsidRPr="00C37E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Category × Segment and Category × Region to capture interaction effects.</w:t>
      </w:r>
    </w:p>
    <w:p w:rsidR="00F360A6" w:rsidRDefault="00F360A6" w:rsidP="00F360A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F360A6" w:rsidRDefault="00F360A6" w:rsidP="00F360A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F360A6" w:rsidRDefault="00F360A6" w:rsidP="00F360A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F360A6" w:rsidRDefault="00F360A6" w:rsidP="00F360A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F360A6" w:rsidRPr="00C37E47" w:rsidRDefault="00F360A6" w:rsidP="00F360A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C37E47" w:rsidRPr="00C37E47" w:rsidRDefault="00C37E47" w:rsidP="00C37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C37E47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Findings</w:t>
      </w:r>
    </w:p>
    <w:p w:rsidR="00C37E47" w:rsidRDefault="00C37E47" w:rsidP="00C37E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37E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Correlation </w:t>
      </w:r>
      <w:proofErr w:type="spellStart"/>
      <w:r w:rsidRPr="00C37E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heatmap</w:t>
      </w:r>
      <w:proofErr w:type="spellEnd"/>
      <w:r w:rsidRPr="00C37E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C37E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Key relationships observed among numeric features; use them to focus monitoring and modeling efforts.</w:t>
      </w:r>
    </w:p>
    <w:p w:rsidR="00C37E47" w:rsidRDefault="00C37E47" w:rsidP="00C37E4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37E47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46E2AF0C" wp14:editId="20280228">
            <wp:extent cx="5943600" cy="48126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E47" w:rsidRPr="00C37E47" w:rsidRDefault="00C37E47" w:rsidP="00F360A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37E4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Figure 1: Correlation </w:t>
      </w:r>
      <w:proofErr w:type="spellStart"/>
      <w:r w:rsidRPr="00C37E4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heatmap</w:t>
      </w:r>
      <w:proofErr w:type="spellEnd"/>
      <w:r w:rsidRPr="00C37E4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showing relationships among numeric features.</w:t>
      </w:r>
    </w:p>
    <w:p w:rsidR="00C37E47" w:rsidRDefault="00C37E47" w:rsidP="00C37E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C37E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Outliers</w:t>
      </w:r>
      <w:proofErr w:type="gramEnd"/>
      <w:r w:rsidRPr="00C37E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boxplot:</w:t>
      </w:r>
      <w:r w:rsidRPr="00C37E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Notable outliers detected; these may reflect extreme discounts or high</w:t>
      </w:r>
      <w:r w:rsidRPr="00C37E47">
        <w:rPr>
          <w:rFonts w:ascii="Times New Roman" w:eastAsia="Times New Roman" w:hAnsi="Times New Roman" w:cs="Times New Roman"/>
          <w:sz w:val="24"/>
          <w:szCs w:val="24"/>
          <w:lang w:val="en-US"/>
        </w:rPr>
        <w:noBreakHyphen/>
        <w:t>value orders and need review.</w:t>
      </w:r>
    </w:p>
    <w:p w:rsidR="00C37E47" w:rsidRDefault="00C37E47" w:rsidP="00F360A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37E47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686ADE29" wp14:editId="66D9AB2D">
            <wp:extent cx="5943600" cy="51790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E47" w:rsidRPr="00C37E47" w:rsidRDefault="00C37E47" w:rsidP="00F360A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37E4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Figure 2: Boxplot highlighting outliers detected via IQR method.</w:t>
      </w:r>
    </w:p>
    <w:p w:rsidR="00C37E47" w:rsidRDefault="00C37E47" w:rsidP="00C37E4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360A6" w:rsidRDefault="00F360A6" w:rsidP="00C37E4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360A6" w:rsidRDefault="00F360A6" w:rsidP="00C37E4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360A6" w:rsidRDefault="00F360A6" w:rsidP="00C37E4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360A6" w:rsidRDefault="00F360A6" w:rsidP="00C37E4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360A6" w:rsidRDefault="00F360A6" w:rsidP="00C37E4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360A6" w:rsidRPr="00C37E47" w:rsidRDefault="00F360A6" w:rsidP="00C37E4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C37E47" w:rsidRDefault="00C37E47" w:rsidP="00C37E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37E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Category distribution:</w:t>
      </w:r>
      <w:r w:rsidRPr="00C37E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Office Supplies are most frequent; Furniture and Technology have smaller shares and greater variability.</w:t>
      </w:r>
    </w:p>
    <w:p w:rsidR="00C37E47" w:rsidRDefault="00F360A6" w:rsidP="00C37E4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60A6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6DAA06AB" wp14:editId="4AA0C802">
            <wp:extent cx="5943600" cy="55683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0A6" w:rsidRDefault="00F360A6" w:rsidP="00C37E4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C37E4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Figure 3: Bar chart showing distribution of product categories.</w:t>
      </w:r>
    </w:p>
    <w:p w:rsidR="00F360A6" w:rsidRDefault="00F360A6" w:rsidP="00C37E4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</w:p>
    <w:p w:rsidR="00F360A6" w:rsidRDefault="00F360A6" w:rsidP="00C37E4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</w:p>
    <w:p w:rsidR="00F360A6" w:rsidRDefault="00F360A6" w:rsidP="00C37E4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</w:p>
    <w:p w:rsidR="00F360A6" w:rsidRPr="00C37E47" w:rsidRDefault="00F360A6" w:rsidP="00C37E4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360A6" w:rsidRPr="00F360A6" w:rsidRDefault="00C37E47" w:rsidP="00F360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37E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Segment distribution:</w:t>
      </w:r>
      <w:r w:rsidRPr="00C37E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Consumer, Corporate, and Home Office exhibit distinct distribution patterns that affect </w:t>
      </w:r>
      <w:r w:rsidR="00F360A6">
        <w:rPr>
          <w:rFonts w:ascii="Times New Roman" w:eastAsia="Times New Roman" w:hAnsi="Times New Roman" w:cs="Times New Roman"/>
          <w:sz w:val="24"/>
          <w:szCs w:val="24"/>
          <w:lang w:val="en-US"/>
        </w:rPr>
        <w:t>targeting.</w:t>
      </w:r>
    </w:p>
    <w:p w:rsidR="00F360A6" w:rsidRDefault="00F360A6" w:rsidP="00F360A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60A6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381A1995" wp14:editId="1DF22265">
            <wp:extent cx="5943600" cy="53873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0A6" w:rsidRPr="00C37E47" w:rsidRDefault="00F360A6" w:rsidP="00F360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37E4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Figure 4: Segment distribution across Consumer, Corporate, and Home Office.</w:t>
      </w:r>
    </w:p>
    <w:p w:rsidR="00F360A6" w:rsidRDefault="00F360A6" w:rsidP="00F360A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360A6" w:rsidRDefault="00F360A6" w:rsidP="00F360A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360A6" w:rsidRDefault="00F360A6" w:rsidP="00F360A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360A6" w:rsidRPr="00C37E47" w:rsidRDefault="00F360A6" w:rsidP="00F360A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C37E47" w:rsidRDefault="00C37E47" w:rsidP="00C37E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37E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Category × Segment </w:t>
      </w:r>
      <w:proofErr w:type="spellStart"/>
      <w:r w:rsidRPr="00C37E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heatmap</w:t>
      </w:r>
      <w:proofErr w:type="spellEnd"/>
      <w:r w:rsidRPr="00C37E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C37E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Segment mix changes by category, indicating value in segment</w:t>
      </w:r>
      <w:r w:rsidRPr="00C37E47">
        <w:rPr>
          <w:rFonts w:ascii="Times New Roman" w:eastAsia="Times New Roman" w:hAnsi="Times New Roman" w:cs="Times New Roman"/>
          <w:sz w:val="24"/>
          <w:szCs w:val="24"/>
          <w:lang w:val="en-US"/>
        </w:rPr>
        <w:noBreakHyphen/>
        <w:t>specific offers per category.</w:t>
      </w:r>
    </w:p>
    <w:p w:rsidR="00F360A6" w:rsidRDefault="00F360A6" w:rsidP="00F360A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60A6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7723C6D8" wp14:editId="634D8614">
            <wp:extent cx="5943600" cy="49174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0A6" w:rsidRPr="00C37E47" w:rsidRDefault="00F360A6" w:rsidP="00F360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37E4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Figure 5: </w:t>
      </w:r>
      <w:proofErr w:type="spellStart"/>
      <w:r w:rsidRPr="00C37E4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Heatmap</w:t>
      </w:r>
      <w:proofErr w:type="spellEnd"/>
      <w:r w:rsidRPr="00C37E4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showing segment mix within each category.</w:t>
      </w:r>
    </w:p>
    <w:p w:rsidR="00F360A6" w:rsidRDefault="00F360A6" w:rsidP="00F360A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360A6" w:rsidRDefault="00F360A6" w:rsidP="00F360A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360A6" w:rsidRDefault="00F360A6" w:rsidP="00F360A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360A6" w:rsidRDefault="00F360A6" w:rsidP="00F360A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360A6" w:rsidRDefault="00F360A6" w:rsidP="00F360A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360A6" w:rsidRPr="00C37E47" w:rsidRDefault="00F360A6" w:rsidP="00F360A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C37E47" w:rsidRDefault="00C37E47" w:rsidP="00C37E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37E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Region distribution:</w:t>
      </w:r>
      <w:r w:rsidRPr="00C37E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West and East dominate; South and Central show lower activity and may need different strategies.</w:t>
      </w:r>
    </w:p>
    <w:p w:rsidR="00F360A6" w:rsidRDefault="00F360A6" w:rsidP="00F360A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60A6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5E31273F" wp14:editId="5C4FDE2B">
            <wp:extent cx="5943600" cy="50215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0A6" w:rsidRPr="00C37E47" w:rsidRDefault="00F360A6" w:rsidP="00F360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37E4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Figure 6: Regional distribution of transactions across West, East, South, and Central.</w:t>
      </w:r>
    </w:p>
    <w:p w:rsidR="00F360A6" w:rsidRDefault="00F360A6" w:rsidP="00F360A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360A6" w:rsidRDefault="00F360A6" w:rsidP="00F360A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360A6" w:rsidRDefault="00F360A6" w:rsidP="00F360A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360A6" w:rsidRDefault="00F360A6" w:rsidP="00F360A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360A6" w:rsidRDefault="00F360A6" w:rsidP="00F360A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360A6" w:rsidRPr="00C37E47" w:rsidRDefault="00F360A6" w:rsidP="00F360A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C37E47" w:rsidRDefault="00C37E47" w:rsidP="00C37E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37E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Category × Region </w:t>
      </w:r>
      <w:proofErr w:type="spellStart"/>
      <w:r w:rsidRPr="00C37E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heatmap</w:t>
      </w:r>
      <w:proofErr w:type="spellEnd"/>
      <w:r w:rsidRPr="00C37E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C37E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Office Supplies are consistently strong; Furniture and Technology vary by region, guiding localized actions.</w:t>
      </w:r>
    </w:p>
    <w:p w:rsidR="00C37E47" w:rsidRPr="00C37E47" w:rsidRDefault="00F360A6" w:rsidP="00F360A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60A6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3854192A" wp14:editId="0D56438B">
            <wp:extent cx="5943600" cy="49174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E47" w:rsidRPr="00C37E47" w:rsidRDefault="00C37E47" w:rsidP="00C37E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37E4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Figure 7: </w:t>
      </w:r>
      <w:proofErr w:type="spellStart"/>
      <w:r w:rsidRPr="00C37E4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Heatmap</w:t>
      </w:r>
      <w:proofErr w:type="spellEnd"/>
      <w:r w:rsidRPr="00C37E4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showing category distribution across regions.</w:t>
      </w:r>
    </w:p>
    <w:p w:rsidR="00C37E47" w:rsidRPr="00C37E47" w:rsidRDefault="00C37E47" w:rsidP="00C37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C37E47" w:rsidRPr="00C37E47" w:rsidRDefault="00C37E47" w:rsidP="00C37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C37E47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Recommendations</w:t>
      </w:r>
    </w:p>
    <w:p w:rsidR="00C37E47" w:rsidRPr="00C37E47" w:rsidRDefault="00C37E47" w:rsidP="00C37E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37E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Inventory management:</w:t>
      </w:r>
      <w:r w:rsidRPr="00C37E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Increase availability in West/East and maintain higher reorder points for Office Supplies.</w:t>
      </w:r>
    </w:p>
    <w:p w:rsidR="00C37E47" w:rsidRPr="00C37E47" w:rsidRDefault="00C37E47" w:rsidP="00C37E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37E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Targeted promotions:</w:t>
      </w:r>
      <w:r w:rsidRPr="00C37E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Run region</w:t>
      </w:r>
      <w:r w:rsidRPr="00C37E47">
        <w:rPr>
          <w:rFonts w:ascii="Times New Roman" w:eastAsia="Times New Roman" w:hAnsi="Times New Roman" w:cs="Times New Roman"/>
          <w:sz w:val="24"/>
          <w:szCs w:val="24"/>
          <w:lang w:val="en-US"/>
        </w:rPr>
        <w:noBreakHyphen/>
        <w:t>specific campaigns for Furniture and Technology; align offers with segment behavior.</w:t>
      </w:r>
    </w:p>
    <w:p w:rsidR="00C37E47" w:rsidRPr="00C37E47" w:rsidRDefault="00C37E47" w:rsidP="00C37E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37E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Outlier governance:</w:t>
      </w:r>
      <w:r w:rsidRPr="00C37E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Review discount policies and high</w:t>
      </w:r>
      <w:r w:rsidRPr="00C37E47">
        <w:rPr>
          <w:rFonts w:ascii="Times New Roman" w:eastAsia="Times New Roman" w:hAnsi="Times New Roman" w:cs="Times New Roman"/>
          <w:sz w:val="24"/>
          <w:szCs w:val="24"/>
          <w:lang w:val="en-US"/>
        </w:rPr>
        <w:noBreakHyphen/>
        <w:t>variance orders to protect margins and ensure consistency.</w:t>
      </w:r>
    </w:p>
    <w:p w:rsidR="00C37E47" w:rsidRPr="00C37E47" w:rsidRDefault="00C37E47" w:rsidP="00C37E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37E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Reporting cadence:</w:t>
      </w:r>
      <w:r w:rsidRPr="00C37E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Refresh visuals monthly and track changes in segments and regions to catch trend shifts early.</w:t>
      </w:r>
    </w:p>
    <w:p w:rsidR="00C37E47" w:rsidRPr="00C37E47" w:rsidRDefault="00C37E47" w:rsidP="00C37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C37E47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Conclusion</w:t>
      </w:r>
    </w:p>
    <w:p w:rsidR="00C37E47" w:rsidRPr="00C37E47" w:rsidRDefault="00C37E47" w:rsidP="00C37E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37E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Takeaway:</w:t>
      </w:r>
      <w:r w:rsidRPr="00C37E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region</w:t>
      </w:r>
      <w:r w:rsidRPr="00C37E47">
        <w:rPr>
          <w:rFonts w:ascii="Times New Roman" w:eastAsia="Times New Roman" w:hAnsi="Times New Roman" w:cs="Times New Roman"/>
          <w:sz w:val="24"/>
          <w:szCs w:val="24"/>
          <w:lang w:val="en-US"/>
        </w:rPr>
        <w:noBreakHyphen/>
        <w:t>aware and category</w:t>
      </w:r>
      <w:r w:rsidRPr="00C37E47">
        <w:rPr>
          <w:rFonts w:ascii="Times New Roman" w:eastAsia="Times New Roman" w:hAnsi="Times New Roman" w:cs="Times New Roman"/>
          <w:sz w:val="24"/>
          <w:szCs w:val="24"/>
          <w:lang w:val="en-US"/>
        </w:rPr>
        <w:noBreakHyphen/>
        <w:t>specific approach improves availability, targeting, and conversion while managing risk from outliers.</w:t>
      </w:r>
    </w:p>
    <w:p w:rsidR="00C37E47" w:rsidRPr="00C37E47" w:rsidRDefault="00C37E47" w:rsidP="00C37E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37E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Next steps:</w:t>
      </w:r>
      <w:r w:rsidRPr="00C37E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Validate findings with the latest sales data, A/B test regional offers, and integrate dashboards for ongoing monitoring.</w:t>
      </w:r>
    </w:p>
    <w:p w:rsidR="00C37E47" w:rsidRPr="00C37E47" w:rsidRDefault="00C37E47">
      <w:pPr>
        <w:rPr>
          <w:lang w:val="en-US"/>
        </w:rPr>
      </w:pPr>
    </w:p>
    <w:sectPr w:rsidR="00C37E47" w:rsidRPr="00C37E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AC26FF"/>
    <w:multiLevelType w:val="multilevel"/>
    <w:tmpl w:val="60C8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2C0D00"/>
    <w:multiLevelType w:val="multilevel"/>
    <w:tmpl w:val="E43C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345AE6"/>
    <w:multiLevelType w:val="multilevel"/>
    <w:tmpl w:val="D720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3D5ECF"/>
    <w:multiLevelType w:val="multilevel"/>
    <w:tmpl w:val="105E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5701DF"/>
    <w:multiLevelType w:val="multilevel"/>
    <w:tmpl w:val="0A0A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4C765B9"/>
    <w:multiLevelType w:val="multilevel"/>
    <w:tmpl w:val="5F2A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A4A2E8F"/>
    <w:multiLevelType w:val="multilevel"/>
    <w:tmpl w:val="A48A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1F844F0"/>
    <w:multiLevelType w:val="multilevel"/>
    <w:tmpl w:val="C0AA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3"/>
  </w:num>
  <w:num w:numId="5">
    <w:abstractNumId w:val="7"/>
  </w:num>
  <w:num w:numId="6">
    <w:abstractNumId w:val="0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7E47"/>
    <w:rsid w:val="0025122F"/>
    <w:rsid w:val="0097367C"/>
    <w:rsid w:val="00C37E47"/>
    <w:rsid w:val="00F36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am-E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37E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C37E4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7E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7E47"/>
    <w:rPr>
      <w:rFonts w:ascii="Tahoma" w:hAnsi="Tahoma" w:cs="Tahoma"/>
      <w:sz w:val="16"/>
      <w:szCs w:val="16"/>
      <w:lang w:val="am-ET"/>
    </w:rPr>
  </w:style>
  <w:style w:type="character" w:styleId="Emphasis">
    <w:name w:val="Emphasis"/>
    <w:basedOn w:val="DefaultParagraphFont"/>
    <w:uiPriority w:val="20"/>
    <w:qFormat/>
    <w:rsid w:val="00C37E47"/>
    <w:rPr>
      <w:i/>
      <w:iCs/>
    </w:rPr>
  </w:style>
  <w:style w:type="paragraph" w:styleId="ListParagraph">
    <w:name w:val="List Paragraph"/>
    <w:basedOn w:val="Normal"/>
    <w:uiPriority w:val="34"/>
    <w:qFormat/>
    <w:rsid w:val="00F360A6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25122F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am-E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37E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C37E4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7E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7E47"/>
    <w:rPr>
      <w:rFonts w:ascii="Tahoma" w:hAnsi="Tahoma" w:cs="Tahoma"/>
      <w:sz w:val="16"/>
      <w:szCs w:val="16"/>
      <w:lang w:val="am-ET"/>
    </w:rPr>
  </w:style>
  <w:style w:type="character" w:styleId="Emphasis">
    <w:name w:val="Emphasis"/>
    <w:basedOn w:val="DefaultParagraphFont"/>
    <w:uiPriority w:val="20"/>
    <w:qFormat/>
    <w:rsid w:val="00C37E47"/>
    <w:rPr>
      <w:i/>
      <w:iCs/>
    </w:rPr>
  </w:style>
  <w:style w:type="paragraph" w:styleId="ListParagraph">
    <w:name w:val="List Paragraph"/>
    <w:basedOn w:val="Normal"/>
    <w:uiPriority w:val="34"/>
    <w:qFormat/>
    <w:rsid w:val="00F360A6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25122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120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8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9</Pages>
  <Words>542</Words>
  <Characters>3093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2025-12-09T18:52:00Z</dcterms:created>
  <dcterms:modified xsi:type="dcterms:W3CDTF">2025-12-09T19:17:00Z</dcterms:modified>
</cp:coreProperties>
</file>