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61" w:lineRule="auto" w:before="42"/>
        <w:ind w:left="100" w:right="1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Q. Find publicly available data for key factors that influence US home prices nationally. Then,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build a data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science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model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explains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how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these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factors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impacted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home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prices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over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 last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20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years.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 the S&amp;P Case-Schiller Home Price Index as a proxy for home prices: </w:t>
      </w:r>
      <w:r>
        <w:rPr>
          <w:rFonts w:ascii="Calibri"/>
          <w:spacing w:val="-2"/>
          <w:sz w:val="22"/>
        </w:rPr>
        <w:t>fred.stlouisfed.org/series/CSUSHPISA.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68"/>
        <w:ind w:left="0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Ans</w:t>
      </w:r>
    </w:p>
    <w:p>
      <w:pPr>
        <w:spacing w:before="17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Major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factors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influences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home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prices</w:t>
      </w:r>
      <w:r>
        <w:rPr>
          <w:rFonts w:ascii="Calibri"/>
          <w:spacing w:val="-4"/>
          <w:sz w:val="22"/>
        </w:rPr>
        <w:t> are: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pacing w:val="-2"/>
          <w:sz w:val="22"/>
        </w:rPr>
        <w:t>Economic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2"/>
          <w:sz w:val="22"/>
        </w:rPr>
        <w:t>Change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1F2228"/>
          <w:spacing w:val="-2"/>
          <w:sz w:val="24"/>
        </w:rPr>
        <w:t>Population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1F2228"/>
          <w:sz w:val="24"/>
        </w:rPr>
        <w:t>Personal</w:t>
      </w:r>
      <w:r>
        <w:rPr>
          <w:color w:val="1F2228"/>
          <w:spacing w:val="-9"/>
          <w:sz w:val="24"/>
        </w:rPr>
        <w:t> </w:t>
      </w:r>
      <w:r>
        <w:rPr>
          <w:color w:val="1F2228"/>
          <w:spacing w:val="-2"/>
          <w:sz w:val="24"/>
        </w:rPr>
        <w:t>Income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1F2228"/>
          <w:spacing w:val="-2"/>
          <w:sz w:val="24"/>
        </w:rPr>
        <w:t>Employment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Supply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Demand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Mortgage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Interest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rates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rFonts w:ascii="Symbol" w:hAnsi="Symbol"/>
          <w:sz w:val="22"/>
        </w:rPr>
      </w:pPr>
      <w:r>
        <w:rPr>
          <w:color w:val="1F2228"/>
          <w:sz w:val="24"/>
        </w:rPr>
        <w:t>Labor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Force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Participation</w:t>
      </w:r>
      <w:r>
        <w:rPr>
          <w:color w:val="1F2228"/>
          <w:spacing w:val="-4"/>
          <w:sz w:val="24"/>
        </w:rPr>
        <w:t> Rate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Locations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like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Highways,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Schools,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Hospitals,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4"/>
          <w:sz w:val="22"/>
        </w:rPr>
        <w:t>etc.,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" w:after="0"/>
        <w:ind w:left="820" w:right="0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Government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pacing w:val="-4"/>
          <w:sz w:val="22"/>
        </w:rPr>
        <w:t>Laws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9"/>
        <w:ind w:left="0"/>
        <w:rPr>
          <w:rFonts w:ascii="Calibri"/>
          <w:sz w:val="22"/>
        </w:rPr>
      </w:pPr>
    </w:p>
    <w:p>
      <w:pPr>
        <w:pStyle w:val="Heading1"/>
      </w:pPr>
      <w:bookmarkStart w:name="Tools used:" w:id="1"/>
      <w:bookmarkEnd w:id="1"/>
      <w:r>
        <w:rPr>
          <w:b w:val="0"/>
        </w:rPr>
      </w:r>
      <w:r>
        <w:rPr>
          <w:color w:val="1F2228"/>
        </w:rPr>
        <w:t>Tools</w:t>
      </w:r>
      <w:r>
        <w:rPr>
          <w:color w:val="1F2228"/>
          <w:spacing w:val="-1"/>
        </w:rPr>
        <w:t> </w:t>
      </w:r>
      <w:r>
        <w:rPr>
          <w:color w:val="1F2228"/>
          <w:spacing w:val="-2"/>
        </w:rPr>
        <w:t>used: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8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Programming</w:t>
      </w:r>
      <w:r>
        <w:rPr>
          <w:color w:val="1F2228"/>
          <w:spacing w:val="-9"/>
          <w:sz w:val="24"/>
        </w:rPr>
        <w:t> </w:t>
      </w:r>
      <w:r>
        <w:rPr>
          <w:color w:val="1F2228"/>
          <w:sz w:val="24"/>
        </w:rPr>
        <w:t>Languages:</w:t>
      </w:r>
      <w:r>
        <w:rPr>
          <w:color w:val="1F2228"/>
          <w:spacing w:val="-6"/>
          <w:sz w:val="24"/>
        </w:rPr>
        <w:t> </w:t>
      </w:r>
      <w:r>
        <w:rPr>
          <w:color w:val="1F2228"/>
          <w:spacing w:val="-2"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Data</w:t>
      </w:r>
      <w:r>
        <w:rPr>
          <w:color w:val="1F2228"/>
          <w:spacing w:val="-9"/>
          <w:sz w:val="24"/>
        </w:rPr>
        <w:t> </w:t>
      </w:r>
      <w:r>
        <w:rPr>
          <w:color w:val="1F2228"/>
          <w:sz w:val="24"/>
        </w:rPr>
        <w:t>Analysis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Libraries: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NumPy,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pandas,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matplotlib,</w:t>
      </w:r>
      <w:r>
        <w:rPr>
          <w:color w:val="1F2228"/>
          <w:spacing w:val="-4"/>
          <w:sz w:val="24"/>
        </w:rPr>
        <w:t> </w:t>
      </w:r>
      <w:r>
        <w:rPr>
          <w:color w:val="1F2228"/>
          <w:spacing w:val="-2"/>
          <w:sz w:val="24"/>
        </w:rPr>
        <w:t>seaborn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Machine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Learning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Libraries: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scikit-</w:t>
      </w:r>
      <w:r>
        <w:rPr>
          <w:color w:val="1F2228"/>
          <w:spacing w:val="-4"/>
          <w:sz w:val="24"/>
        </w:rPr>
        <w:t>learn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Data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Visualization: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Matplotlib,</w:t>
      </w:r>
      <w:r>
        <w:rPr>
          <w:color w:val="1F2228"/>
          <w:spacing w:val="-5"/>
          <w:sz w:val="24"/>
        </w:rPr>
        <w:t> </w:t>
      </w:r>
      <w:r>
        <w:rPr>
          <w:color w:val="1F2228"/>
          <w:spacing w:val="-2"/>
          <w:sz w:val="24"/>
        </w:rPr>
        <w:t>Seaborn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p>
      <w:pPr>
        <w:pStyle w:val="Heading1"/>
        <w:spacing w:before="1"/>
      </w:pPr>
      <w:bookmarkStart w:name="Data Collected" w:id="2"/>
      <w:bookmarkEnd w:id="2"/>
      <w:r>
        <w:rPr>
          <w:b w:val="0"/>
        </w:rPr>
      </w:r>
      <w:r>
        <w:rPr>
          <w:color w:val="1F2228"/>
        </w:rPr>
        <w:t>Data</w:t>
      </w:r>
      <w:r>
        <w:rPr>
          <w:color w:val="1F2228"/>
          <w:spacing w:val="-7"/>
        </w:rPr>
        <w:t> </w:t>
      </w:r>
      <w:r>
        <w:rPr>
          <w:color w:val="1F2228"/>
          <w:spacing w:val="-2"/>
        </w:rPr>
        <w:t>Collected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9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Target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(S&amp;P/Case-Shiller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U.S.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National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Home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Price</w:t>
      </w:r>
      <w:r>
        <w:rPr>
          <w:color w:val="1F2228"/>
          <w:spacing w:val="-3"/>
          <w:sz w:val="24"/>
        </w:rPr>
        <w:t> </w:t>
      </w:r>
      <w:r>
        <w:rPr>
          <w:color w:val="1F2228"/>
          <w:spacing w:val="-2"/>
          <w:sz w:val="24"/>
        </w:rPr>
        <w:t>Index.)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Population</w:t>
      </w:r>
      <w:r>
        <w:rPr>
          <w:color w:val="1F2228"/>
          <w:spacing w:val="-8"/>
          <w:sz w:val="24"/>
        </w:rPr>
        <w:t> </w:t>
      </w:r>
      <w:r>
        <w:rPr>
          <w:color w:val="1F2228"/>
          <w:sz w:val="24"/>
        </w:rPr>
        <w:t>(Population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includes resident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population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plus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armed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forces</w:t>
      </w:r>
      <w:r>
        <w:rPr>
          <w:color w:val="1F2228"/>
          <w:spacing w:val="-4"/>
          <w:sz w:val="24"/>
        </w:rPr>
        <w:t> </w:t>
      </w:r>
      <w:r>
        <w:rPr>
          <w:color w:val="1F2228"/>
          <w:spacing w:val="-2"/>
          <w:sz w:val="24"/>
        </w:rPr>
        <w:t>overseas.)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1" w:right="440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Personal Income (Income that persons receive in return for their provision of labor,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land,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and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capital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used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in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current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production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and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net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current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transfer payments that they receive from business and from government.)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62" w:after="0"/>
        <w:ind w:left="821" w:right="1111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Mortgage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Rate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(A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mortgage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rate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is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interest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rate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charged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for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a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home </w:t>
      </w:r>
      <w:r>
        <w:rPr>
          <w:color w:val="1F2228"/>
          <w:spacing w:val="-2"/>
          <w:sz w:val="24"/>
        </w:rPr>
        <w:t>loan.(Percentage))</w:t>
      </w:r>
    </w:p>
    <w:p>
      <w:pPr>
        <w:spacing w:after="0" w:line="237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400" w:bottom="280" w:left="1340" w:right="138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Employment-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(Population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Ratio</w:t>
      </w:r>
      <w:r>
        <w:rPr>
          <w:color w:val="1F2228"/>
          <w:spacing w:val="-4"/>
          <w:sz w:val="24"/>
        </w:rPr>
        <w:t> </w:t>
      </w:r>
      <w:r>
        <w:rPr>
          <w:color w:val="1F2228"/>
          <w:spacing w:val="-2"/>
          <w:sz w:val="24"/>
        </w:rPr>
        <w:t>(emratio))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Building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Construction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issued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permit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in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US (Total</w:t>
      </w:r>
      <w:r>
        <w:rPr>
          <w:color w:val="1F2228"/>
          <w:spacing w:val="-3"/>
          <w:sz w:val="24"/>
        </w:rPr>
        <w:t> </w:t>
      </w:r>
      <w:r>
        <w:rPr>
          <w:color w:val="1F2228"/>
          <w:spacing w:val="-2"/>
          <w:sz w:val="24"/>
        </w:rPr>
        <w:t>Units)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1" w:right="546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Labor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Force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Participation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Rate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(The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participation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rate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is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percentage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the population that is either working or actively looking for work.)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58" w:after="0"/>
        <w:ind w:left="821" w:right="234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Median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Sales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Price.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(Median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Sales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Price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of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Houses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Sold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for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United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States.(US </w:t>
      </w:r>
      <w:r>
        <w:rPr>
          <w:color w:val="1F2228"/>
          <w:spacing w:val="-2"/>
          <w:sz w:val="24"/>
        </w:rPr>
        <w:t>Dollars))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6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Producer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Price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Index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-Cement</w:t>
      </w:r>
      <w:r>
        <w:rPr>
          <w:color w:val="1F2228"/>
          <w:spacing w:val="-2"/>
          <w:sz w:val="24"/>
        </w:rPr>
        <w:t> Manufacturing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1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Producer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Price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Index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by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Industry: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Concrete</w:t>
      </w:r>
      <w:r>
        <w:rPr>
          <w:color w:val="1F2228"/>
          <w:spacing w:val="-3"/>
          <w:sz w:val="24"/>
        </w:rPr>
        <w:t> </w:t>
      </w:r>
      <w:r>
        <w:rPr>
          <w:color w:val="1F2228"/>
          <w:spacing w:val="-2"/>
          <w:sz w:val="24"/>
        </w:rPr>
        <w:t>Brick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62" w:after="0"/>
        <w:ind w:left="821" w:right="1248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New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Privately-Owned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Housing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Construction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Completed: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(Total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units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in </w:t>
      </w:r>
      <w:r>
        <w:rPr>
          <w:color w:val="1F2228"/>
          <w:spacing w:val="-2"/>
          <w:sz w:val="24"/>
        </w:rPr>
        <w:t>thousands)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62" w:after="0"/>
        <w:ind w:left="821" w:right="1205" w:hanging="361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New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Privately-Owned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Housing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Units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Under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Construction: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Total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Units</w:t>
      </w:r>
      <w:r>
        <w:rPr>
          <w:color w:val="1F2228"/>
          <w:spacing w:val="-7"/>
          <w:sz w:val="24"/>
        </w:rPr>
        <w:t> </w:t>
      </w:r>
      <w:r>
        <w:rPr>
          <w:color w:val="1F2228"/>
          <w:sz w:val="24"/>
        </w:rPr>
        <w:t>in </w:t>
      </w:r>
      <w:r>
        <w:rPr>
          <w:color w:val="1F2228"/>
          <w:spacing w:val="-2"/>
          <w:sz w:val="24"/>
        </w:rPr>
        <w:t>thousands</w:t>
      </w:r>
    </w:p>
    <w:p>
      <w:pPr>
        <w:pStyle w:val="BodyText"/>
        <w:spacing w:before="35"/>
        <w:ind w:left="0"/>
      </w:pPr>
    </w:p>
    <w:p>
      <w:pPr>
        <w:pStyle w:val="Heading1"/>
      </w:pPr>
      <w:bookmarkStart w:name="Feature Selection" w:id="3"/>
      <w:bookmarkEnd w:id="3"/>
      <w:r>
        <w:rPr>
          <w:b w:val="0"/>
        </w:rPr>
      </w:r>
      <w:r>
        <w:rPr>
          <w:color w:val="1F2228"/>
        </w:rPr>
        <w:t>Feature</w:t>
      </w:r>
      <w:r>
        <w:rPr>
          <w:color w:val="1F2228"/>
          <w:spacing w:val="-1"/>
        </w:rPr>
        <w:t> </w:t>
      </w:r>
      <w:r>
        <w:rPr>
          <w:color w:val="1F2228"/>
          <w:spacing w:val="-2"/>
        </w:rPr>
        <w:t>Selection</w:t>
      </w:r>
    </w:p>
    <w:p>
      <w:pPr>
        <w:pStyle w:val="BodyText"/>
        <w:spacing w:line="242" w:lineRule="auto" w:before="241"/>
        <w:ind w:left="100" w:right="182"/>
      </w:pPr>
      <w:r>
        <w:rPr>
          <w:color w:val="1F2228"/>
        </w:rPr>
        <w:t>In</w:t>
      </w:r>
      <w:r>
        <w:rPr>
          <w:color w:val="1F2228"/>
          <w:spacing w:val="-5"/>
        </w:rPr>
        <w:t> </w:t>
      </w:r>
      <w:r>
        <w:rPr>
          <w:color w:val="1F2228"/>
        </w:rPr>
        <w:t>our</w:t>
      </w:r>
      <w:r>
        <w:rPr>
          <w:color w:val="1F2228"/>
          <w:spacing w:val="-5"/>
        </w:rPr>
        <w:t> </w:t>
      </w:r>
      <w:r>
        <w:rPr>
          <w:color w:val="1F2228"/>
        </w:rPr>
        <w:t>analysis,</w:t>
      </w:r>
      <w:r>
        <w:rPr>
          <w:color w:val="1F2228"/>
          <w:spacing w:val="-3"/>
        </w:rPr>
        <w:t> </w:t>
      </w:r>
      <w:r>
        <w:rPr>
          <w:color w:val="1F2228"/>
        </w:rPr>
        <w:t>we</w:t>
      </w:r>
      <w:r>
        <w:rPr>
          <w:color w:val="1F2228"/>
          <w:spacing w:val="-4"/>
        </w:rPr>
        <w:t> </w:t>
      </w:r>
      <w:r>
        <w:rPr>
          <w:color w:val="1F2228"/>
        </w:rPr>
        <w:t>identified</w:t>
      </w:r>
      <w:r>
        <w:rPr>
          <w:color w:val="1F2228"/>
          <w:spacing w:val="-5"/>
        </w:rPr>
        <w:t> </w:t>
      </w:r>
      <w:r>
        <w:rPr>
          <w:color w:val="1F2228"/>
        </w:rPr>
        <w:t>several</w:t>
      </w:r>
      <w:r>
        <w:rPr>
          <w:color w:val="1F2228"/>
          <w:spacing w:val="-4"/>
        </w:rPr>
        <w:t> </w:t>
      </w:r>
      <w:r>
        <w:rPr>
          <w:color w:val="1F2228"/>
        </w:rPr>
        <w:t>key</w:t>
      </w:r>
      <w:r>
        <w:rPr>
          <w:color w:val="1F2228"/>
          <w:spacing w:val="-4"/>
        </w:rPr>
        <w:t> </w:t>
      </w:r>
      <w:r>
        <w:rPr>
          <w:color w:val="1F2228"/>
        </w:rPr>
        <w:t>features</w:t>
      </w:r>
      <w:r>
        <w:rPr>
          <w:color w:val="1F2228"/>
          <w:spacing w:val="-4"/>
        </w:rPr>
        <w:t> </w:t>
      </w:r>
      <w:r>
        <w:rPr>
          <w:color w:val="1F2228"/>
        </w:rPr>
        <w:t>and</w:t>
      </w:r>
      <w:r>
        <w:rPr>
          <w:color w:val="1F2228"/>
          <w:spacing w:val="-5"/>
        </w:rPr>
        <w:t> </w:t>
      </w:r>
      <w:r>
        <w:rPr>
          <w:color w:val="1F2228"/>
        </w:rPr>
        <w:t>their</w:t>
      </w:r>
      <w:r>
        <w:rPr>
          <w:color w:val="1F2228"/>
          <w:spacing w:val="-5"/>
        </w:rPr>
        <w:t> </w:t>
      </w:r>
      <w:r>
        <w:rPr>
          <w:color w:val="1F2228"/>
        </w:rPr>
        <w:t>correlations</w:t>
      </w:r>
      <w:r>
        <w:rPr>
          <w:color w:val="1F2228"/>
          <w:spacing w:val="-4"/>
        </w:rPr>
        <w:t> </w:t>
      </w:r>
      <w:r>
        <w:rPr>
          <w:color w:val="1F2228"/>
        </w:rPr>
        <w:t>with</w:t>
      </w:r>
      <w:r>
        <w:rPr>
          <w:color w:val="1F2228"/>
          <w:spacing w:val="-5"/>
        </w:rPr>
        <w:t> </w:t>
      </w:r>
      <w:r>
        <w:rPr>
          <w:color w:val="1F2228"/>
        </w:rPr>
        <w:t>the</w:t>
      </w:r>
      <w:r>
        <w:rPr>
          <w:color w:val="1F2228"/>
          <w:spacing w:val="-4"/>
        </w:rPr>
        <w:t> </w:t>
      </w:r>
      <w:r>
        <w:rPr>
          <w:color w:val="1F2228"/>
        </w:rPr>
        <w:t>target variable, represented by the S&amp;P Case-Shiller Home Price Index.</w:t>
      </w:r>
    </w:p>
    <w:p>
      <w:pPr>
        <w:pStyle w:val="BodyText"/>
        <w:spacing w:before="59"/>
        <w:ind w:left="0"/>
        <w:rPr>
          <w:sz w:val="20"/>
        </w:rPr>
      </w:pPr>
    </w:p>
    <w:tbl>
      <w:tblPr>
        <w:tblW w:w="0" w:type="auto"/>
        <w:jc w:val="left"/>
        <w:tblInd w:w="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3"/>
        <w:gridCol w:w="4144"/>
      </w:tblGrid>
      <w:tr>
        <w:trPr>
          <w:trHeight w:val="529" w:hRule="atLeast"/>
        </w:trPr>
        <w:tc>
          <w:tcPr>
            <w:tcW w:w="2633" w:type="dxa"/>
          </w:tcPr>
          <w:p>
            <w:pPr>
              <w:pStyle w:val="TableParagraph"/>
              <w:spacing w:before="0"/>
              <w:ind w:left="818"/>
              <w:rPr>
                <w:b/>
                <w:sz w:val="24"/>
              </w:rPr>
            </w:pPr>
            <w:r>
              <w:rPr>
                <w:b/>
                <w:color w:val="1F2228"/>
                <w:spacing w:val="-2"/>
                <w:sz w:val="24"/>
              </w:rPr>
              <w:t>Feature</w:t>
            </w:r>
          </w:p>
        </w:tc>
        <w:tc>
          <w:tcPr>
            <w:tcW w:w="4144" w:type="dxa"/>
          </w:tcPr>
          <w:p>
            <w:pPr>
              <w:pStyle w:val="TableParagraph"/>
              <w:spacing w:before="0"/>
              <w:ind w:left="197"/>
              <w:rPr>
                <w:b/>
                <w:sz w:val="24"/>
              </w:rPr>
            </w:pPr>
            <w:r>
              <w:rPr>
                <w:b/>
                <w:color w:val="1F2228"/>
                <w:sz w:val="24"/>
              </w:rPr>
              <w:t>Correlation</w:t>
            </w:r>
            <w:r>
              <w:rPr>
                <w:b/>
                <w:color w:val="1F2228"/>
                <w:spacing w:val="-4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with</w:t>
            </w:r>
            <w:r>
              <w:rPr>
                <w:b/>
                <w:color w:val="1F2228"/>
                <w:spacing w:val="-2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Home</w:t>
            </w:r>
            <w:r>
              <w:rPr>
                <w:b/>
                <w:color w:val="1F2228"/>
                <w:spacing w:val="-2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Price</w:t>
            </w:r>
            <w:r>
              <w:rPr>
                <w:b/>
                <w:color w:val="1F2228"/>
                <w:spacing w:val="-2"/>
                <w:sz w:val="24"/>
              </w:rPr>
              <w:t> Index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MSPUS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0.980146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PPI_Cement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0.955074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5"/>
                <w:sz w:val="24"/>
              </w:rPr>
              <w:t>GDP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0.860633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income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0.946608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PPI_Concrete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0.985072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population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0.789974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total_emp_cons</w:t>
            </w:r>
          </w:p>
        </w:tc>
        <w:tc>
          <w:tcPr>
            <w:tcW w:w="4144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0.511130</w:t>
            </w:r>
          </w:p>
        </w:tc>
      </w:tr>
      <w:tr>
        <w:trPr>
          <w:trHeight w:val="529" w:hRule="atLeast"/>
        </w:trPr>
        <w:tc>
          <w:tcPr>
            <w:tcW w:w="2633" w:type="dxa"/>
          </w:tcPr>
          <w:p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new_private_hw_under</w:t>
            </w:r>
          </w:p>
        </w:tc>
        <w:tc>
          <w:tcPr>
            <w:tcW w:w="4144" w:type="dxa"/>
          </w:tcPr>
          <w:p>
            <w:pPr>
              <w:pStyle w:val="TableParagraph"/>
              <w:spacing w:line="299" w:lineRule="exact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0.633935</w:t>
            </w:r>
          </w:p>
        </w:tc>
      </w:tr>
    </w:tbl>
    <w:p>
      <w:pPr>
        <w:spacing w:after="0" w:line="299" w:lineRule="exact"/>
        <w:rPr>
          <w:sz w:val="24"/>
        </w:rPr>
        <w:sectPr>
          <w:pgSz w:w="12240" w:h="15840"/>
          <w:pgMar w:top="1360" w:bottom="1604" w:left="1340" w:right="1380"/>
        </w:sectPr>
      </w:pPr>
    </w:p>
    <w:tbl>
      <w:tblPr>
        <w:tblW w:w="0" w:type="auto"/>
        <w:jc w:val="left"/>
        <w:tblInd w:w="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4339"/>
      </w:tblGrid>
      <w:tr>
        <w:trPr>
          <w:trHeight w:val="529" w:hRule="atLeast"/>
        </w:trPr>
        <w:tc>
          <w:tcPr>
            <w:tcW w:w="2438" w:type="dxa"/>
          </w:tcPr>
          <w:p>
            <w:pPr>
              <w:pStyle w:val="TableParagraph"/>
              <w:spacing w:before="0"/>
              <w:ind w:left="818"/>
              <w:rPr>
                <w:b/>
                <w:sz w:val="24"/>
              </w:rPr>
            </w:pPr>
            <w:r>
              <w:rPr>
                <w:b/>
                <w:color w:val="1F2228"/>
                <w:spacing w:val="-2"/>
                <w:sz w:val="24"/>
              </w:rPr>
              <w:t>Feature</w:t>
            </w:r>
          </w:p>
        </w:tc>
        <w:tc>
          <w:tcPr>
            <w:tcW w:w="4339" w:type="dxa"/>
          </w:tcPr>
          <w:p>
            <w:pPr>
              <w:pStyle w:val="TableParagraph"/>
              <w:spacing w:before="0"/>
              <w:ind w:left="392"/>
              <w:rPr>
                <w:b/>
                <w:sz w:val="24"/>
              </w:rPr>
            </w:pPr>
            <w:r>
              <w:rPr>
                <w:b/>
                <w:color w:val="1F2228"/>
                <w:sz w:val="24"/>
              </w:rPr>
              <w:t>Correlation</w:t>
            </w:r>
            <w:r>
              <w:rPr>
                <w:b/>
                <w:color w:val="1F2228"/>
                <w:spacing w:val="-4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with</w:t>
            </w:r>
            <w:r>
              <w:rPr>
                <w:b/>
                <w:color w:val="1F2228"/>
                <w:spacing w:val="-2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Home</w:t>
            </w:r>
            <w:r>
              <w:rPr>
                <w:b/>
                <w:color w:val="1F2228"/>
                <w:spacing w:val="-2"/>
                <w:sz w:val="24"/>
              </w:rPr>
              <w:t> </w:t>
            </w:r>
            <w:r>
              <w:rPr>
                <w:b/>
                <w:color w:val="1F2228"/>
                <w:sz w:val="24"/>
              </w:rPr>
              <w:t>Price</w:t>
            </w:r>
            <w:r>
              <w:rPr>
                <w:b/>
                <w:color w:val="1F2228"/>
                <w:spacing w:val="-2"/>
                <w:sz w:val="24"/>
              </w:rPr>
              <w:t> Index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all_Const_Emp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0.563479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home_ow_rate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0.209294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monthly_supply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0.178504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permit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0.234189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house_st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0.001372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new_private_house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0.068468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unemployed_rate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0.249211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IPI_Cement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0.260807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p_saving_rate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0.286001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emratio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0.538776</w:t>
            </w:r>
          </w:p>
        </w:tc>
      </w:tr>
      <w:tr>
        <w:trPr>
          <w:trHeight w:val="739" w:hRule="atLeast"/>
        </w:trPr>
        <w:tc>
          <w:tcPr>
            <w:tcW w:w="24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mortgage_rate</w:t>
            </w:r>
          </w:p>
        </w:tc>
        <w:tc>
          <w:tcPr>
            <w:tcW w:w="4339" w:type="dxa"/>
          </w:tcPr>
          <w:p>
            <w:pPr>
              <w:pStyle w:val="TableParagraph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0.730709</w:t>
            </w:r>
          </w:p>
        </w:tc>
      </w:tr>
      <w:tr>
        <w:trPr>
          <w:trHeight w:val="529" w:hRule="atLeast"/>
        </w:trPr>
        <w:tc>
          <w:tcPr>
            <w:tcW w:w="2438" w:type="dxa"/>
          </w:tcPr>
          <w:p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labor_percent</w:t>
            </w:r>
          </w:p>
        </w:tc>
        <w:tc>
          <w:tcPr>
            <w:tcW w:w="4339" w:type="dxa"/>
          </w:tcPr>
          <w:p>
            <w:pPr>
              <w:pStyle w:val="TableParagraph"/>
              <w:spacing w:line="299" w:lineRule="exact"/>
              <w:ind w:left="392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0.788313</w:t>
            </w:r>
          </w:p>
        </w:tc>
      </w:tr>
    </w:tbl>
    <w:p>
      <w:pPr>
        <w:pStyle w:val="BodyText"/>
        <w:spacing w:before="27"/>
        <w:ind w:left="0"/>
      </w:pPr>
    </w:p>
    <w:p>
      <w:pPr>
        <w:pStyle w:val="BodyText"/>
        <w:ind w:left="100" w:right="182"/>
      </w:pP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positive</w:t>
      </w:r>
      <w:r>
        <w:rPr>
          <w:color w:val="1F2228"/>
          <w:spacing w:val="-5"/>
        </w:rPr>
        <w:t> </w:t>
      </w:r>
      <w:r>
        <w:rPr>
          <w:color w:val="1F2228"/>
        </w:rPr>
        <w:t>correlation</w:t>
      </w:r>
      <w:r>
        <w:rPr>
          <w:color w:val="1F2228"/>
          <w:spacing w:val="-5"/>
        </w:rPr>
        <w:t> </w:t>
      </w:r>
      <w:r>
        <w:rPr>
          <w:color w:val="1F2228"/>
        </w:rPr>
        <w:t>values</w:t>
      </w:r>
      <w:r>
        <w:rPr>
          <w:color w:val="1F2228"/>
          <w:spacing w:val="-5"/>
        </w:rPr>
        <w:t> </w:t>
      </w:r>
      <w:r>
        <w:rPr>
          <w:color w:val="1F2228"/>
        </w:rPr>
        <w:t>indicate</w:t>
      </w:r>
      <w:r>
        <w:rPr>
          <w:color w:val="1F2228"/>
          <w:spacing w:val="-5"/>
        </w:rPr>
        <w:t> </w:t>
      </w:r>
      <w:r>
        <w:rPr>
          <w:color w:val="1F2228"/>
        </w:rPr>
        <w:t>a</w:t>
      </w:r>
      <w:r>
        <w:rPr>
          <w:color w:val="1F2228"/>
          <w:spacing w:val="-5"/>
        </w:rPr>
        <w:t> </w:t>
      </w:r>
      <w:r>
        <w:rPr>
          <w:color w:val="1F2228"/>
        </w:rPr>
        <w:t>direct</w:t>
      </w:r>
      <w:r>
        <w:rPr>
          <w:color w:val="1F2228"/>
          <w:spacing w:val="-4"/>
        </w:rPr>
        <w:t> </w:t>
      </w:r>
      <w:r>
        <w:rPr>
          <w:color w:val="1F2228"/>
        </w:rPr>
        <w:t>relationship</w:t>
      </w:r>
      <w:r>
        <w:rPr>
          <w:color w:val="1F2228"/>
          <w:spacing w:val="-6"/>
        </w:rPr>
        <w:t> </w:t>
      </w:r>
      <w:r>
        <w:rPr>
          <w:color w:val="1F2228"/>
        </w:rPr>
        <w:t>with</w:t>
      </w:r>
      <w:r>
        <w:rPr>
          <w:color w:val="1F2228"/>
          <w:spacing w:val="-5"/>
        </w:rPr>
        <w:t> </w:t>
      </w:r>
      <w:r>
        <w:rPr>
          <w:color w:val="1F2228"/>
        </w:rPr>
        <w:t>home</w:t>
      </w:r>
      <w:r>
        <w:rPr>
          <w:color w:val="1F2228"/>
          <w:spacing w:val="-5"/>
        </w:rPr>
        <w:t> </w:t>
      </w:r>
      <w:r>
        <w:rPr>
          <w:color w:val="1F2228"/>
        </w:rPr>
        <w:t>prices, while negative values suggest an inverse relationship. Features with higher absolute correlation values have a larger impact on home prices.</w:t>
      </w:r>
    </w:p>
    <w:p>
      <w:pPr>
        <w:pStyle w:val="BodyText"/>
        <w:spacing w:before="43"/>
        <w:ind w:left="0"/>
      </w:pPr>
    </w:p>
    <w:p>
      <w:pPr>
        <w:pStyle w:val="Heading1"/>
      </w:pPr>
      <w:bookmarkStart w:name="Model Selection and Cross-Validation" w:id="4"/>
      <w:bookmarkEnd w:id="4"/>
      <w:r>
        <w:rPr>
          <w:b w:val="0"/>
        </w:rPr>
      </w:r>
      <w:r>
        <w:rPr>
          <w:color w:val="1F2228"/>
        </w:rPr>
        <w:t>Model</w:t>
      </w:r>
      <w:r>
        <w:rPr>
          <w:color w:val="1F2228"/>
          <w:spacing w:val="-4"/>
        </w:rPr>
        <w:t> </w:t>
      </w:r>
      <w:r>
        <w:rPr>
          <w:color w:val="1F2228"/>
        </w:rPr>
        <w:t>Selection</w:t>
      </w:r>
      <w:r>
        <w:rPr>
          <w:color w:val="1F2228"/>
          <w:spacing w:val="-2"/>
        </w:rPr>
        <w:t> </w:t>
      </w:r>
      <w:r>
        <w:rPr>
          <w:color w:val="1F2228"/>
        </w:rPr>
        <w:t>and</w:t>
      </w:r>
      <w:r>
        <w:rPr>
          <w:color w:val="1F2228"/>
          <w:spacing w:val="-4"/>
        </w:rPr>
        <w:t> </w:t>
      </w:r>
      <w:r>
        <w:rPr>
          <w:color w:val="1F2228"/>
        </w:rPr>
        <w:t>Cross-</w:t>
      </w:r>
      <w:r>
        <w:rPr>
          <w:color w:val="1F2228"/>
          <w:spacing w:val="-2"/>
        </w:rPr>
        <w:t>Validation</w:t>
      </w:r>
    </w:p>
    <w:p>
      <w:pPr>
        <w:pStyle w:val="BodyText"/>
        <w:spacing w:before="237"/>
        <w:ind w:left="100" w:right="68"/>
      </w:pPr>
      <w:r>
        <w:rPr>
          <w:color w:val="1F2228"/>
        </w:rPr>
        <w:t>In this project, we employed the </w:t>
      </w:r>
      <w:r>
        <w:rPr>
          <w:b/>
          <w:color w:val="1F2228"/>
        </w:rPr>
        <w:t>Lasso regression </w:t>
      </w:r>
      <w:r>
        <w:rPr>
          <w:color w:val="1F2228"/>
        </w:rPr>
        <w:t>model due to indications of significant collinearity in the dataset. The Lasso regression model is known for its ability to</w:t>
      </w:r>
      <w:r>
        <w:rPr>
          <w:color w:val="1F2228"/>
          <w:spacing w:val="-5"/>
        </w:rPr>
        <w:t> </w:t>
      </w:r>
      <w:r>
        <w:rPr>
          <w:color w:val="1F2228"/>
        </w:rPr>
        <w:t>handle</w:t>
      </w:r>
      <w:r>
        <w:rPr>
          <w:color w:val="1F2228"/>
          <w:spacing w:val="-5"/>
        </w:rPr>
        <w:t> </w:t>
      </w:r>
      <w:r>
        <w:rPr>
          <w:color w:val="1F2228"/>
        </w:rPr>
        <w:t>collinearity</w:t>
      </w:r>
      <w:r>
        <w:rPr>
          <w:color w:val="1F2228"/>
          <w:spacing w:val="-5"/>
        </w:rPr>
        <w:t> </w:t>
      </w:r>
      <w:r>
        <w:rPr>
          <w:color w:val="1F2228"/>
        </w:rPr>
        <w:t>by</w:t>
      </w:r>
      <w:r>
        <w:rPr>
          <w:color w:val="1F2228"/>
          <w:spacing w:val="-5"/>
        </w:rPr>
        <w:t> </w:t>
      </w:r>
      <w:r>
        <w:rPr>
          <w:color w:val="1F2228"/>
        </w:rPr>
        <w:t>applying</w:t>
      </w:r>
      <w:r>
        <w:rPr>
          <w:color w:val="1F2228"/>
          <w:spacing w:val="-6"/>
        </w:rPr>
        <w:t> </w:t>
      </w:r>
      <w:r>
        <w:rPr>
          <w:color w:val="1F2228"/>
        </w:rPr>
        <w:t>L1</w:t>
      </w:r>
      <w:r>
        <w:rPr>
          <w:color w:val="1F2228"/>
          <w:spacing w:val="-4"/>
        </w:rPr>
        <w:t> </w:t>
      </w:r>
      <w:r>
        <w:rPr>
          <w:color w:val="1F2228"/>
        </w:rPr>
        <w:t>regularization,</w:t>
      </w:r>
      <w:r>
        <w:rPr>
          <w:color w:val="1F2228"/>
          <w:spacing w:val="-4"/>
        </w:rPr>
        <w:t> </w:t>
      </w:r>
      <w:r>
        <w:rPr>
          <w:color w:val="1F2228"/>
        </w:rPr>
        <w:t>which</w:t>
      </w:r>
      <w:r>
        <w:rPr>
          <w:color w:val="1F2228"/>
          <w:spacing w:val="-6"/>
        </w:rPr>
        <w:t> </w:t>
      </w:r>
      <w:r>
        <w:rPr>
          <w:color w:val="1F2228"/>
        </w:rPr>
        <w:t>encourages</w:t>
      </w:r>
      <w:r>
        <w:rPr>
          <w:color w:val="1F2228"/>
          <w:spacing w:val="-5"/>
        </w:rPr>
        <w:t> </w:t>
      </w:r>
      <w:r>
        <w:rPr>
          <w:color w:val="1F2228"/>
        </w:rPr>
        <w:t>sparsity</w:t>
      </w:r>
      <w:r>
        <w:rPr>
          <w:color w:val="1F2228"/>
          <w:spacing w:val="-5"/>
        </w:rPr>
        <w:t> </w:t>
      </w:r>
      <w:r>
        <w:rPr>
          <w:color w:val="1F2228"/>
        </w:rPr>
        <w:t>in</w:t>
      </w:r>
      <w:r>
        <w:rPr>
          <w:color w:val="1F2228"/>
          <w:spacing w:val="-6"/>
        </w:rPr>
        <w:t> </w:t>
      </w:r>
      <w:r>
        <w:rPr>
          <w:color w:val="1F2228"/>
        </w:rPr>
        <w:t>feature </w:t>
      </w:r>
      <w:r>
        <w:rPr>
          <w:color w:val="1F2228"/>
          <w:spacing w:val="-2"/>
        </w:rPr>
        <w:t>coefficients.</w:t>
      </w:r>
    </w:p>
    <w:p>
      <w:pPr>
        <w:spacing w:after="0"/>
        <w:sectPr>
          <w:type w:val="continuous"/>
          <w:pgSz w:w="12240" w:h="15840"/>
          <w:pgMar w:top="1520" w:bottom="280" w:left="1340" w:right="1380"/>
        </w:sectPr>
      </w:pPr>
    </w:p>
    <w:p>
      <w:pPr>
        <w:pStyle w:val="BodyText"/>
        <w:spacing w:line="242" w:lineRule="auto" w:before="80"/>
        <w:ind w:left="100" w:right="182"/>
      </w:pPr>
      <w:r>
        <w:rPr>
          <w:color w:val="1F2228"/>
        </w:rPr>
        <w:t>To</w:t>
      </w:r>
      <w:r>
        <w:rPr>
          <w:color w:val="1F2228"/>
          <w:spacing w:val="-5"/>
        </w:rPr>
        <w:t> </w:t>
      </w:r>
      <w:r>
        <w:rPr>
          <w:color w:val="1F2228"/>
        </w:rPr>
        <w:t>optimize</w:t>
      </w:r>
      <w:r>
        <w:rPr>
          <w:color w:val="1F2228"/>
          <w:spacing w:val="-4"/>
        </w:rPr>
        <w:t> </w:t>
      </w:r>
      <w:r>
        <w:rPr>
          <w:color w:val="1F2228"/>
        </w:rPr>
        <w:t>the</w:t>
      </w:r>
      <w:r>
        <w:rPr>
          <w:color w:val="1F2228"/>
          <w:spacing w:val="-4"/>
        </w:rPr>
        <w:t> </w:t>
      </w:r>
      <w:r>
        <w:rPr>
          <w:color w:val="1F2228"/>
        </w:rPr>
        <w:t>Lasso</w:t>
      </w:r>
      <w:r>
        <w:rPr>
          <w:color w:val="1F2228"/>
          <w:spacing w:val="-5"/>
        </w:rPr>
        <w:t> </w:t>
      </w:r>
      <w:r>
        <w:rPr>
          <w:color w:val="1F2228"/>
        </w:rPr>
        <w:t>model's</w:t>
      </w:r>
      <w:r>
        <w:rPr>
          <w:color w:val="1F2228"/>
          <w:spacing w:val="-4"/>
        </w:rPr>
        <w:t> </w:t>
      </w:r>
      <w:r>
        <w:rPr>
          <w:color w:val="1F2228"/>
        </w:rPr>
        <w:t>performance</w:t>
      </w:r>
      <w:r>
        <w:rPr>
          <w:color w:val="1F2228"/>
          <w:spacing w:val="-4"/>
        </w:rPr>
        <w:t> </w:t>
      </w:r>
      <w:r>
        <w:rPr>
          <w:color w:val="1F2228"/>
        </w:rPr>
        <w:t>and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3"/>
        </w:rPr>
        <w:t> </w:t>
      </w:r>
      <w:r>
        <w:rPr>
          <w:color w:val="1F2228"/>
        </w:rPr>
        <w:t>the</w:t>
      </w:r>
      <w:r>
        <w:rPr>
          <w:color w:val="1F2228"/>
          <w:spacing w:val="-4"/>
        </w:rPr>
        <w:t> </w:t>
      </w:r>
      <w:r>
        <w:rPr>
          <w:color w:val="1F2228"/>
        </w:rPr>
        <w:t>best</w:t>
      </w:r>
      <w:r>
        <w:rPr>
          <w:color w:val="1F2228"/>
          <w:spacing w:val="-3"/>
        </w:rPr>
        <w:t> </w:t>
      </w:r>
      <w:r>
        <w:rPr>
          <w:color w:val="1F2228"/>
        </w:rPr>
        <w:t>regularization hyperparameter (alpha), we utilized </w:t>
      </w:r>
      <w:r>
        <w:rPr>
          <w:b/>
          <w:color w:val="1F2228"/>
        </w:rPr>
        <w:t>cross-validation</w:t>
      </w:r>
      <w:r>
        <w:rPr>
          <w:color w:val="1F2228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3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Optimal</w:t>
      </w:r>
      <w:r>
        <w:rPr>
          <w:color w:val="1F2228"/>
          <w:spacing w:val="-5"/>
          <w:sz w:val="24"/>
        </w:rPr>
        <w:t> </w:t>
      </w:r>
      <w:r>
        <w:rPr>
          <w:color w:val="1F2228"/>
          <w:sz w:val="24"/>
        </w:rPr>
        <w:t>alpha:</w:t>
      </w:r>
      <w:r>
        <w:rPr>
          <w:color w:val="1F2228"/>
          <w:spacing w:val="-2"/>
          <w:sz w:val="24"/>
        </w:rPr>
        <w:t> </w:t>
      </w:r>
      <w:r>
        <w:rPr>
          <w:b/>
          <w:color w:val="1F2228"/>
          <w:spacing w:val="-2"/>
          <w:sz w:val="24"/>
        </w:rPr>
        <w:t>0.0576</w:t>
      </w:r>
      <w:r>
        <w:rPr>
          <w:color w:val="1F2228"/>
          <w:spacing w:val="-2"/>
          <w:sz w:val="24"/>
        </w:rPr>
        <w:t>.</w:t>
      </w:r>
    </w:p>
    <w:p>
      <w:pPr>
        <w:pStyle w:val="BodyText"/>
        <w:spacing w:line="242" w:lineRule="auto" w:before="281"/>
        <w:ind w:left="100" w:right="182"/>
      </w:pP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cross-validation</w:t>
      </w:r>
      <w:r>
        <w:rPr>
          <w:color w:val="1F2228"/>
          <w:spacing w:val="-6"/>
        </w:rPr>
        <w:t> </w:t>
      </w:r>
      <w:r>
        <w:rPr>
          <w:color w:val="1F2228"/>
        </w:rPr>
        <w:t>process</w:t>
      </w:r>
      <w:r>
        <w:rPr>
          <w:color w:val="1F2228"/>
          <w:spacing w:val="-5"/>
        </w:rPr>
        <w:t> </w:t>
      </w:r>
      <w:r>
        <w:rPr>
          <w:color w:val="1F2228"/>
        </w:rPr>
        <w:t>resulted</w:t>
      </w:r>
      <w:r>
        <w:rPr>
          <w:color w:val="1F2228"/>
          <w:spacing w:val="-6"/>
        </w:rPr>
        <w:t> </w:t>
      </w:r>
      <w:r>
        <w:rPr>
          <w:color w:val="1F2228"/>
        </w:rPr>
        <w:t>in</w:t>
      </w:r>
      <w:r>
        <w:rPr>
          <w:color w:val="1F2228"/>
          <w:spacing w:val="-6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following</w:t>
      </w:r>
      <w:r>
        <w:rPr>
          <w:color w:val="1F2228"/>
          <w:spacing w:val="-2"/>
        </w:rPr>
        <w:t> </w:t>
      </w:r>
      <w:r>
        <w:rPr>
          <w:b/>
          <w:color w:val="1F2228"/>
        </w:rPr>
        <w:t>R-squared</w:t>
      </w:r>
      <w:r>
        <w:rPr>
          <w:b/>
          <w:color w:val="1F2228"/>
          <w:spacing w:val="-4"/>
        </w:rPr>
        <w:t> </w:t>
      </w:r>
      <w:r>
        <w:rPr>
          <w:color w:val="1F2228"/>
        </w:rPr>
        <w:t>scores</w:t>
      </w:r>
      <w:r>
        <w:rPr>
          <w:color w:val="1F2228"/>
          <w:spacing w:val="-5"/>
        </w:rPr>
        <w:t> </w:t>
      </w:r>
      <w:r>
        <w:rPr>
          <w:color w:val="1F2228"/>
        </w:rPr>
        <w:t>for</w:t>
      </w:r>
      <w:r>
        <w:rPr>
          <w:color w:val="1F2228"/>
          <w:spacing w:val="-6"/>
        </w:rPr>
        <w:t> </w:t>
      </w:r>
      <w:r>
        <w:rPr>
          <w:color w:val="1F2228"/>
        </w:rPr>
        <w:t>different </w:t>
      </w:r>
      <w:r>
        <w:rPr>
          <w:color w:val="1F2228"/>
          <w:spacing w:val="-2"/>
        </w:rPr>
        <w:t>folds: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72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Fold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1:</w:t>
      </w:r>
      <w:r>
        <w:rPr>
          <w:color w:val="1F2228"/>
          <w:spacing w:val="-1"/>
          <w:sz w:val="24"/>
        </w:rPr>
        <w:t> </w:t>
      </w:r>
      <w:r>
        <w:rPr>
          <w:color w:val="1F2228"/>
          <w:spacing w:val="-2"/>
          <w:sz w:val="24"/>
        </w:rPr>
        <w:t>0.9952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Fold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2:</w:t>
      </w:r>
      <w:r>
        <w:rPr>
          <w:color w:val="1F2228"/>
          <w:spacing w:val="-1"/>
          <w:sz w:val="24"/>
        </w:rPr>
        <w:t> </w:t>
      </w:r>
      <w:r>
        <w:rPr>
          <w:color w:val="1F2228"/>
          <w:spacing w:val="-2"/>
          <w:sz w:val="24"/>
        </w:rPr>
        <w:t>0.9939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Fold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3:</w:t>
      </w:r>
      <w:r>
        <w:rPr>
          <w:color w:val="1F2228"/>
          <w:spacing w:val="-1"/>
          <w:sz w:val="24"/>
        </w:rPr>
        <w:t> </w:t>
      </w:r>
      <w:r>
        <w:rPr>
          <w:color w:val="1F2228"/>
          <w:spacing w:val="-2"/>
          <w:sz w:val="24"/>
        </w:rPr>
        <w:t>0.9933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Fold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4:</w:t>
      </w:r>
      <w:r>
        <w:rPr>
          <w:color w:val="1F2228"/>
          <w:spacing w:val="-1"/>
          <w:sz w:val="24"/>
        </w:rPr>
        <w:t> </w:t>
      </w:r>
      <w:r>
        <w:rPr>
          <w:color w:val="1F2228"/>
          <w:spacing w:val="-2"/>
          <w:sz w:val="24"/>
        </w:rPr>
        <w:t>0.9926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color w:val="1F2228"/>
          <w:sz w:val="24"/>
        </w:rPr>
        <w:t>Fold</w:t>
      </w:r>
      <w:r>
        <w:rPr>
          <w:color w:val="1F2228"/>
          <w:spacing w:val="-6"/>
          <w:sz w:val="24"/>
        </w:rPr>
        <w:t> </w:t>
      </w:r>
      <w:r>
        <w:rPr>
          <w:color w:val="1F2228"/>
          <w:sz w:val="24"/>
        </w:rPr>
        <w:t>5: </w:t>
      </w:r>
      <w:r>
        <w:rPr>
          <w:color w:val="1F2228"/>
          <w:spacing w:val="-2"/>
          <w:sz w:val="24"/>
        </w:rPr>
        <w:t>0.9932</w:t>
      </w:r>
    </w:p>
    <w:p>
      <w:pPr>
        <w:pStyle w:val="BodyText"/>
        <w:spacing w:before="5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947663</wp:posOffset>
            </wp:positionH>
            <wp:positionV relativeFrom="paragraph">
              <wp:posOffset>217397</wp:posOffset>
            </wp:positionV>
            <wp:extent cx="5855945" cy="3060573"/>
            <wp:effectExtent l="0" t="0" r="0" b="0"/>
            <wp:wrapTopAndBottom/>
            <wp:docPr id="1" name="Image 1" descr="https://storage.googleapis.com/lds-media/images/regression_plots_for_total_unemployed_fVAQp9C.width-1200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s://storage.googleapis.com/lds-media/images/regression_plots_for_total_unemployed_fVAQp9C.width-12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5" cy="306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b/>
          <w:color w:val="1F2228"/>
          <w:sz w:val="24"/>
        </w:rPr>
        <w:t>mean</w:t>
      </w:r>
      <w:r>
        <w:rPr>
          <w:b/>
          <w:color w:val="1F2228"/>
          <w:spacing w:val="-2"/>
          <w:sz w:val="24"/>
        </w:rPr>
        <w:t> </w:t>
      </w:r>
      <w:r>
        <w:rPr>
          <w:b/>
          <w:color w:val="1F2228"/>
          <w:sz w:val="24"/>
        </w:rPr>
        <w:t>R-squared </w:t>
      </w:r>
      <w:r>
        <w:rPr>
          <w:color w:val="1F2228"/>
          <w:sz w:val="24"/>
        </w:rPr>
        <w:t>:</w:t>
      </w:r>
      <w:r>
        <w:rPr>
          <w:color w:val="1F2228"/>
          <w:spacing w:val="2"/>
          <w:sz w:val="24"/>
        </w:rPr>
        <w:t> </w:t>
      </w:r>
      <w:r>
        <w:rPr>
          <w:b/>
          <w:color w:val="1F2228"/>
          <w:spacing w:val="-2"/>
          <w:sz w:val="24"/>
        </w:rPr>
        <w:t>0.9937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rFonts w:ascii="Symbol" w:hAnsi="Symbol"/>
          <w:color w:val="1F2228"/>
          <w:sz w:val="20"/>
        </w:rPr>
      </w:pPr>
      <w:r>
        <w:rPr>
          <w:b/>
          <w:color w:val="1F2228"/>
          <w:sz w:val="24"/>
        </w:rPr>
        <w:t>standard</w:t>
      </w:r>
      <w:r>
        <w:rPr>
          <w:b/>
          <w:color w:val="1F2228"/>
          <w:spacing w:val="-3"/>
          <w:sz w:val="24"/>
        </w:rPr>
        <w:t> </w:t>
      </w:r>
      <w:r>
        <w:rPr>
          <w:b/>
          <w:color w:val="1F2228"/>
          <w:sz w:val="24"/>
        </w:rPr>
        <w:t>deviation</w:t>
      </w:r>
      <w:r>
        <w:rPr>
          <w:b/>
          <w:color w:val="1F2228"/>
          <w:spacing w:val="-5"/>
          <w:sz w:val="24"/>
        </w:rPr>
        <w:t> </w:t>
      </w:r>
      <w:r>
        <w:rPr>
          <w:b/>
          <w:color w:val="1F2228"/>
          <w:sz w:val="24"/>
        </w:rPr>
        <w:t>R</w:t>
      </w:r>
      <w:r>
        <w:rPr>
          <w:b/>
          <w:color w:val="1F2228"/>
          <w:spacing w:val="-2"/>
          <w:sz w:val="24"/>
        </w:rPr>
        <w:t> </w:t>
      </w:r>
      <w:r>
        <w:rPr>
          <w:b/>
          <w:color w:val="1F2228"/>
          <w:sz w:val="24"/>
        </w:rPr>
        <w:t>squared</w:t>
      </w:r>
      <w:r>
        <w:rPr>
          <w:b/>
          <w:color w:val="1F2228"/>
          <w:spacing w:val="-1"/>
          <w:sz w:val="24"/>
        </w:rPr>
        <w:t> </w:t>
      </w:r>
      <w:r>
        <w:rPr>
          <w:color w:val="1F2228"/>
          <w:sz w:val="24"/>
        </w:rPr>
        <w:t>:</w:t>
      </w:r>
      <w:r>
        <w:rPr>
          <w:color w:val="1F2228"/>
          <w:spacing w:val="-1"/>
          <w:sz w:val="24"/>
        </w:rPr>
        <w:t> </w:t>
      </w:r>
      <w:r>
        <w:rPr>
          <w:b/>
          <w:color w:val="1F2228"/>
          <w:spacing w:val="-2"/>
          <w:sz w:val="24"/>
        </w:rPr>
        <w:t>0.0009</w:t>
      </w:r>
    </w:p>
    <w:p>
      <w:pPr>
        <w:pStyle w:val="BodyText"/>
        <w:spacing w:before="43"/>
        <w:ind w:left="0"/>
        <w:rPr>
          <w:b/>
        </w:rPr>
      </w:pPr>
    </w:p>
    <w:p>
      <w:pPr>
        <w:pStyle w:val="Heading1"/>
      </w:pPr>
      <w:bookmarkStart w:name="Best Features With non-zero Coefficients" w:id="5"/>
      <w:bookmarkEnd w:id="5"/>
      <w:r>
        <w:rPr>
          <w:b w:val="0"/>
        </w:rPr>
      </w:r>
      <w:r>
        <w:rPr>
          <w:color w:val="1F2228"/>
        </w:rPr>
        <w:t>Best</w:t>
      </w:r>
      <w:r>
        <w:rPr>
          <w:color w:val="1F2228"/>
          <w:spacing w:val="-5"/>
        </w:rPr>
        <w:t> </w:t>
      </w:r>
      <w:r>
        <w:rPr>
          <w:color w:val="1F2228"/>
        </w:rPr>
        <w:t>Features</w:t>
      </w:r>
      <w:r>
        <w:rPr>
          <w:color w:val="1F2228"/>
          <w:spacing w:val="-2"/>
        </w:rPr>
        <w:t> </w:t>
      </w:r>
      <w:r>
        <w:rPr>
          <w:color w:val="1F2228"/>
        </w:rPr>
        <w:t>With</w:t>
      </w:r>
      <w:r>
        <w:rPr>
          <w:color w:val="1F2228"/>
          <w:spacing w:val="-3"/>
        </w:rPr>
        <w:t> </w:t>
      </w:r>
      <w:r>
        <w:rPr>
          <w:color w:val="1F2228"/>
        </w:rPr>
        <w:t>non-zero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Coefficients</w:t>
      </w:r>
    </w:p>
    <w:p>
      <w:pPr>
        <w:pStyle w:val="BodyText"/>
        <w:spacing w:line="242" w:lineRule="auto" w:before="237"/>
        <w:ind w:left="100" w:right="182"/>
      </w:pPr>
      <w:r>
        <w:rPr>
          <w:color w:val="1F2228"/>
        </w:rPr>
        <w:t>Here</w:t>
      </w:r>
      <w:r>
        <w:rPr>
          <w:color w:val="1F2228"/>
          <w:spacing w:val="-5"/>
        </w:rPr>
        <w:t> </w:t>
      </w:r>
      <w:r>
        <w:rPr>
          <w:color w:val="1F2228"/>
        </w:rPr>
        <w:t>are</w:t>
      </w:r>
      <w:r>
        <w:rPr>
          <w:color w:val="1F2228"/>
          <w:spacing w:val="-5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features</w:t>
      </w:r>
      <w:r>
        <w:rPr>
          <w:color w:val="1F2228"/>
          <w:spacing w:val="-5"/>
        </w:rPr>
        <w:t> </w:t>
      </w:r>
      <w:r>
        <w:rPr>
          <w:color w:val="1F2228"/>
        </w:rPr>
        <w:t>and</w:t>
      </w:r>
      <w:r>
        <w:rPr>
          <w:color w:val="1F2228"/>
          <w:spacing w:val="-6"/>
        </w:rPr>
        <w:t> </w:t>
      </w:r>
      <w:r>
        <w:rPr>
          <w:color w:val="1F2228"/>
        </w:rPr>
        <w:t>their</w:t>
      </w:r>
      <w:r>
        <w:rPr>
          <w:color w:val="1F2228"/>
          <w:spacing w:val="-6"/>
        </w:rPr>
        <w:t> </w:t>
      </w:r>
      <w:r>
        <w:rPr>
          <w:color w:val="1F2228"/>
        </w:rPr>
        <w:t>respective</w:t>
      </w:r>
      <w:r>
        <w:rPr>
          <w:color w:val="1F2228"/>
          <w:spacing w:val="-5"/>
        </w:rPr>
        <w:t> </w:t>
      </w:r>
      <w:r>
        <w:rPr>
          <w:color w:val="1F2228"/>
        </w:rPr>
        <w:t>coefficients</w:t>
      </w:r>
      <w:r>
        <w:rPr>
          <w:color w:val="1F2228"/>
          <w:spacing w:val="-5"/>
        </w:rPr>
        <w:t> </w:t>
      </w:r>
      <w:r>
        <w:rPr>
          <w:color w:val="1F2228"/>
        </w:rPr>
        <w:t>obtained</w:t>
      </w:r>
      <w:r>
        <w:rPr>
          <w:color w:val="1F2228"/>
          <w:spacing w:val="-6"/>
        </w:rPr>
        <w:t> </w:t>
      </w:r>
      <w:r>
        <w:rPr>
          <w:color w:val="1F2228"/>
        </w:rPr>
        <w:t>from</w:t>
      </w:r>
      <w:r>
        <w:rPr>
          <w:color w:val="1F2228"/>
          <w:spacing w:val="-5"/>
        </w:rPr>
        <w:t> </w:t>
      </w:r>
      <w:r>
        <w:rPr>
          <w:color w:val="1F2228"/>
        </w:rPr>
        <w:t>our</w:t>
      </w:r>
      <w:r>
        <w:rPr>
          <w:color w:val="1F2228"/>
          <w:spacing w:val="-6"/>
        </w:rPr>
        <w:t> </w:t>
      </w:r>
      <w:r>
        <w:rPr>
          <w:color w:val="1F2228"/>
        </w:rPr>
        <w:t>Lasso regression model:</w:t>
      </w:r>
    </w:p>
    <w:p>
      <w:pPr>
        <w:spacing w:after="0" w:line="242" w:lineRule="auto"/>
        <w:sectPr>
          <w:pgSz w:w="12240" w:h="15840"/>
          <w:pgMar w:top="1360" w:bottom="280" w:left="1340" w:right="1380"/>
        </w:sectPr>
      </w:pPr>
    </w:p>
    <w:tbl>
      <w:tblPr>
        <w:tblW w:w="0" w:type="auto"/>
        <w:jc w:val="left"/>
        <w:tblInd w:w="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3"/>
        <w:gridCol w:w="1473"/>
      </w:tblGrid>
      <w:tr>
        <w:trPr>
          <w:trHeight w:val="529" w:hRule="atLeast"/>
        </w:trPr>
        <w:tc>
          <w:tcPr>
            <w:tcW w:w="2633" w:type="dxa"/>
          </w:tcPr>
          <w:p>
            <w:pPr>
              <w:pStyle w:val="TableParagraph"/>
              <w:spacing w:before="0"/>
              <w:ind w:left="818"/>
              <w:rPr>
                <w:b/>
                <w:sz w:val="24"/>
              </w:rPr>
            </w:pPr>
            <w:r>
              <w:rPr>
                <w:b/>
                <w:color w:val="1F2228"/>
                <w:spacing w:val="-2"/>
                <w:sz w:val="24"/>
              </w:rPr>
              <w:t>Feature</w:t>
            </w:r>
          </w:p>
        </w:tc>
        <w:tc>
          <w:tcPr>
            <w:tcW w:w="1473" w:type="dxa"/>
          </w:tcPr>
          <w:p>
            <w:pPr>
              <w:pStyle w:val="TableParagraph"/>
              <w:spacing w:before="0"/>
              <w:ind w:left="197"/>
              <w:rPr>
                <w:b/>
                <w:sz w:val="24"/>
              </w:rPr>
            </w:pPr>
            <w:r>
              <w:rPr>
                <w:b/>
                <w:color w:val="1F2228"/>
                <w:spacing w:val="-2"/>
                <w:sz w:val="24"/>
              </w:rPr>
              <w:t>Coefficient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p_saving_rate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0.923351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IPI_Cement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0.196152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PPI_Concrete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16.893031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population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z w:val="24"/>
              </w:rPr>
              <w:t>-</w:t>
            </w:r>
            <w:r>
              <w:rPr>
                <w:color w:val="1F2228"/>
                <w:spacing w:val="-2"/>
                <w:sz w:val="24"/>
              </w:rPr>
              <w:t>8.945503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new_private_hw_under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4.770749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5"/>
                <w:sz w:val="24"/>
              </w:rPr>
              <w:t>GDP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18.499826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house_st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2.103615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labor_percent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1.501053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all_Const_Emp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10.887265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monthly_supply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3.212566</w:t>
            </w:r>
          </w:p>
        </w:tc>
      </w:tr>
      <w:tr>
        <w:trPr>
          <w:trHeight w:val="739" w:hRule="atLeast"/>
        </w:trPr>
        <w:tc>
          <w:tcPr>
            <w:tcW w:w="26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unemployed_rate</w:t>
            </w:r>
          </w:p>
        </w:tc>
        <w:tc>
          <w:tcPr>
            <w:tcW w:w="1473" w:type="dxa"/>
          </w:tcPr>
          <w:p>
            <w:pPr>
              <w:pStyle w:val="TableParagraph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7.251776</w:t>
            </w:r>
          </w:p>
        </w:tc>
      </w:tr>
      <w:tr>
        <w:trPr>
          <w:trHeight w:val="529" w:hRule="atLeast"/>
        </w:trPr>
        <w:tc>
          <w:tcPr>
            <w:tcW w:w="2633" w:type="dxa"/>
          </w:tcPr>
          <w:p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MSPUS</w:t>
            </w:r>
          </w:p>
        </w:tc>
        <w:tc>
          <w:tcPr>
            <w:tcW w:w="1473" w:type="dxa"/>
          </w:tcPr>
          <w:p>
            <w:pPr>
              <w:pStyle w:val="TableParagraph"/>
              <w:spacing w:line="299" w:lineRule="exact"/>
              <w:ind w:left="197"/>
              <w:rPr>
                <w:sz w:val="24"/>
              </w:rPr>
            </w:pPr>
            <w:r>
              <w:rPr>
                <w:color w:val="1F2228"/>
                <w:spacing w:val="-2"/>
                <w:sz w:val="24"/>
              </w:rPr>
              <w:t>28.943474</w:t>
            </w:r>
          </w:p>
        </w:tc>
      </w:tr>
    </w:tbl>
    <w:p>
      <w:pPr>
        <w:pStyle w:val="BodyText"/>
        <w:spacing w:before="27"/>
        <w:ind w:left="0"/>
      </w:pPr>
    </w:p>
    <w:p>
      <w:pPr>
        <w:pStyle w:val="BodyText"/>
        <w:ind w:left="100" w:right="182"/>
      </w:pPr>
      <w:r>
        <w:rPr>
          <w:color w:val="1F2228"/>
        </w:rPr>
        <w:t>These</w:t>
      </w:r>
      <w:r>
        <w:rPr>
          <w:color w:val="1F2228"/>
          <w:spacing w:val="-4"/>
        </w:rPr>
        <w:t> </w:t>
      </w:r>
      <w:r>
        <w:rPr>
          <w:color w:val="1F2228"/>
        </w:rPr>
        <w:t>coefficients</w:t>
      </w:r>
      <w:r>
        <w:rPr>
          <w:color w:val="1F2228"/>
          <w:spacing w:val="-5"/>
        </w:rPr>
        <w:t> </w:t>
      </w:r>
      <w:r>
        <w:rPr>
          <w:color w:val="1F2228"/>
        </w:rPr>
        <w:t>represent</w:t>
      </w:r>
      <w:r>
        <w:rPr>
          <w:color w:val="1F2228"/>
          <w:spacing w:val="-4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impact</w:t>
      </w:r>
      <w:r>
        <w:rPr>
          <w:color w:val="1F2228"/>
          <w:spacing w:val="-4"/>
        </w:rPr>
        <w:t> </w:t>
      </w:r>
      <w:r>
        <w:rPr>
          <w:color w:val="1F2228"/>
        </w:rPr>
        <w:t>of</w:t>
      </w:r>
      <w:r>
        <w:rPr>
          <w:color w:val="1F2228"/>
          <w:spacing w:val="-3"/>
        </w:rPr>
        <w:t> </w:t>
      </w:r>
      <w:r>
        <w:rPr>
          <w:color w:val="1F2228"/>
        </w:rPr>
        <w:t>each</w:t>
      </w:r>
      <w:r>
        <w:rPr>
          <w:color w:val="1F2228"/>
          <w:spacing w:val="-6"/>
        </w:rPr>
        <w:t> </w:t>
      </w:r>
      <w:r>
        <w:rPr>
          <w:color w:val="1F2228"/>
        </w:rPr>
        <w:t>feature</w:t>
      </w:r>
      <w:r>
        <w:rPr>
          <w:color w:val="1F2228"/>
          <w:spacing w:val="-5"/>
        </w:rPr>
        <w:t> </w:t>
      </w:r>
      <w:r>
        <w:rPr>
          <w:color w:val="1F2228"/>
        </w:rPr>
        <w:t>on</w:t>
      </w:r>
      <w:r>
        <w:rPr>
          <w:color w:val="1F2228"/>
          <w:spacing w:val="-6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prediction</w:t>
      </w:r>
      <w:r>
        <w:rPr>
          <w:color w:val="1F2228"/>
          <w:spacing w:val="-6"/>
        </w:rPr>
        <w:t> </w:t>
      </w:r>
      <w:r>
        <w:rPr>
          <w:color w:val="1F2228"/>
        </w:rPr>
        <w:t>of</w:t>
      </w:r>
      <w:r>
        <w:rPr>
          <w:color w:val="1F2228"/>
          <w:spacing w:val="-3"/>
        </w:rPr>
        <w:t> </w:t>
      </w:r>
      <w:r>
        <w:rPr>
          <w:color w:val="1F2228"/>
        </w:rPr>
        <w:t>home prices. Positive coefficients indicate a direct relationship with home prices, while negative coefficients suggest an inverse relationship.</w:t>
      </w:r>
    </w:p>
    <w:sectPr>
      <w:pgSz w:w="12240" w:h="15840"/>
      <w:pgMar w:top="152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20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0"/>
      <w:ind w:left="50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2023-12-14T12:21:17Z</dcterms:created>
  <dcterms:modified xsi:type="dcterms:W3CDTF">2023-12-14T12:21:17Z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  <property fmtid="{D5CDD505-2E9C-101B-9397-08002B2CF9AE}" pid="5" name="Producer">
    <vt:lpwstr>www.ilovepdf.com</vt:lpwstr>
  </property>
</Properties>
</file>