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808080"/>
          <w:sz w:val="18"/>
        </w:rPr>
        <w:t>IBM SkillsBuild | BharatCares | AICTE Internship 2026</w:t>
      </w:r>
    </w:p>
    <w:p>
      <w:pPr>
        <w:spacing w:after="800"/>
      </w:pPr>
    </w:p>
    <w:p>
      <w:pPr>
        <w:spacing w:after="240"/>
        <w:jc w:val="left"/>
      </w:pPr>
      <w:r>
        <w:rPr>
          <w:rFonts w:ascii="Calibri" w:hAnsi="Calibri"/>
          <w:b/>
          <w:color w:val="1F4E79"/>
          <w:sz w:val="52"/>
        </w:rPr>
        <w:t>AI-Powered Student Performance Analytics &amp; Early Risk Prediction System</w:t>
      </w:r>
    </w:p>
    <w:p>
      <w:pPr>
        <w:spacing w:after="800"/>
        <w:jc w:val="left"/>
      </w:pPr>
      <w:r>
        <w:rPr>
          <w:rFonts w:ascii="Calibri" w:hAnsi="Calibri"/>
          <w:i/>
          <w:color w:val="595959"/>
          <w:sz w:val="26"/>
        </w:rPr>
        <w:t>An Enterprise-Grade Data Analytics, Operational KPI, and Machine Learning Early Warning System for Higher Education Retention</w:t>
      </w:r>
    </w:p>
    <w:tbl>
      <w:tblPr>
        <w:tblW w:type="auto" w:w="0"/>
        <w:jc w:val="left"/>
        <w:tblLook w:firstColumn="1" w:firstRow="1" w:lastColumn="0" w:lastRow="0" w:noHBand="0" w:noVBand="1" w:val="04A0"/>
      </w:tblPr>
      <w:tblGrid>
        <w:gridCol w:w="4680"/>
        <w:gridCol w:w="4680"/>
      </w:tblGrid>
      <w:tr>
        <w:tc>
          <w:tcPr>
            <w:tcW w:type="dxa" w:w="4680"/>
            <w:shd w:fill="F2F2F2"/>
            <w:tcMar>
              <w:top w:w="80" w:type="dxa"/>
              <w:bottom w:w="80" w:type="dxa"/>
              <w:left w:w="120" w:type="dxa"/>
              <w:right w:w="120" w:type="dxa"/>
            </w:tcMar>
          </w:tcPr>
          <w:p>
            <w:r>
              <w:rPr>
                <w:b/>
              </w:rPr>
              <w:t>Candidate / Author:</w:t>
            </w:r>
          </w:p>
        </w:tc>
        <w:tc>
          <w:tcPr>
            <w:tcW w:type="dxa" w:w="4680"/>
            <w:shd w:fill="FAFAFA"/>
            <w:tcMar>
              <w:top w:w="80" w:type="dxa"/>
              <w:bottom w:w="80" w:type="dxa"/>
              <w:left w:w="120" w:type="dxa"/>
              <w:right w:w="120" w:type="dxa"/>
            </w:tcMar>
          </w:tcPr>
          <w:p>
            <w:r>
              <w:t>Hemadri</w:t>
            </w:r>
          </w:p>
        </w:tc>
      </w:tr>
      <w:tr>
        <w:tc>
          <w:tcPr>
            <w:tcW w:type="dxa" w:w="4680"/>
            <w:shd w:fill="F2F2F2"/>
            <w:tcMar>
              <w:top w:w="80" w:type="dxa"/>
              <w:bottom w:w="80" w:type="dxa"/>
              <w:left w:w="120" w:type="dxa"/>
              <w:right w:w="120" w:type="dxa"/>
            </w:tcMar>
          </w:tcPr>
          <w:p>
            <w:r>
              <w:rPr>
                <w:b/>
              </w:rPr>
              <w:t>Project Program:</w:t>
            </w:r>
          </w:p>
        </w:tc>
        <w:tc>
          <w:tcPr>
            <w:tcW w:type="dxa" w:w="4680"/>
            <w:shd w:fill="FAFAFA"/>
            <w:tcMar>
              <w:top w:w="80" w:type="dxa"/>
              <w:bottom w:w="80" w:type="dxa"/>
              <w:left w:w="120" w:type="dxa"/>
              <w:right w:w="120" w:type="dxa"/>
            </w:tcMar>
          </w:tcPr>
          <w:p>
            <w:r>
              <w:t>IBM SkillsBuild Data Analytics with AI Internship 2026</w:t>
            </w:r>
          </w:p>
        </w:tc>
      </w:tr>
      <w:tr>
        <w:tc>
          <w:tcPr>
            <w:tcW w:type="dxa" w:w="4680"/>
            <w:shd w:fill="F2F2F2"/>
            <w:tcMar>
              <w:top w:w="80" w:type="dxa"/>
              <w:bottom w:w="80" w:type="dxa"/>
              <w:left w:w="120" w:type="dxa"/>
              <w:right w:w="120" w:type="dxa"/>
            </w:tcMar>
          </w:tcPr>
          <w:p>
            <w:r>
              <w:rPr>
                <w:b/>
              </w:rPr>
              <w:t>Institutional Association:</w:t>
            </w:r>
          </w:p>
        </w:tc>
        <w:tc>
          <w:tcPr>
            <w:tcW w:type="dxa" w:w="4680"/>
            <w:shd w:fill="FAFAFA"/>
            <w:tcMar>
              <w:top w:w="80" w:type="dxa"/>
              <w:bottom w:w="80" w:type="dxa"/>
              <w:left w:w="120" w:type="dxa"/>
              <w:right w:w="120" w:type="dxa"/>
            </w:tcMar>
          </w:tcPr>
          <w:p>
            <w:r>
              <w:t>BharatCares in association with AICTE</w:t>
            </w:r>
          </w:p>
        </w:tc>
      </w:tr>
      <w:tr>
        <w:tc>
          <w:tcPr>
            <w:tcW w:type="dxa" w:w="4680"/>
            <w:shd w:fill="F2F2F2"/>
            <w:tcMar>
              <w:top w:w="80" w:type="dxa"/>
              <w:bottom w:w="80" w:type="dxa"/>
              <w:left w:w="120" w:type="dxa"/>
              <w:right w:w="120" w:type="dxa"/>
            </w:tcMar>
          </w:tcPr>
          <w:p>
            <w:r>
              <w:rPr>
                <w:b/>
              </w:rPr>
              <w:t>Development Environment:</w:t>
            </w:r>
          </w:p>
        </w:tc>
        <w:tc>
          <w:tcPr>
            <w:tcW w:type="dxa" w:w="4680"/>
            <w:shd w:fill="FAFAFA"/>
            <w:tcMar>
              <w:top w:w="80" w:type="dxa"/>
              <w:bottom w:w="80" w:type="dxa"/>
              <w:left w:w="120" w:type="dxa"/>
              <w:right w:w="120" w:type="dxa"/>
            </w:tcMar>
          </w:tcPr>
          <w:p>
            <w:r>
              <w:t>Python 3.10 / JupyterLab (Windows 64-bit Architecture)</w:t>
            </w:r>
          </w:p>
        </w:tc>
      </w:tr>
      <w:tr>
        <w:tc>
          <w:tcPr>
            <w:tcW w:type="dxa" w:w="4680"/>
            <w:shd w:fill="F2F2F2"/>
            <w:tcMar>
              <w:top w:w="80" w:type="dxa"/>
              <w:bottom w:w="80" w:type="dxa"/>
              <w:left w:w="120" w:type="dxa"/>
              <w:right w:w="120" w:type="dxa"/>
            </w:tcMar>
          </w:tcPr>
          <w:p>
            <w:r>
              <w:rPr>
                <w:b/>
              </w:rPr>
              <w:t>Submission Date:</w:t>
            </w:r>
          </w:p>
        </w:tc>
        <w:tc>
          <w:tcPr>
            <w:tcW w:type="dxa" w:w="4680"/>
            <w:shd w:fill="FAFAFA"/>
            <w:tcMar>
              <w:top w:w="80" w:type="dxa"/>
              <w:bottom w:w="80" w:type="dxa"/>
              <w:left w:w="120" w:type="dxa"/>
              <w:right w:w="120" w:type="dxa"/>
            </w:tcMar>
          </w:tcPr>
          <w:p>
            <w:r>
              <w:t>September 2026</w:t>
            </w:r>
          </w:p>
        </w:tc>
      </w:tr>
      <w:tr>
        <w:tc>
          <w:tcPr>
            <w:tcW w:type="dxa" w:w="4680"/>
            <w:shd w:fill="F2F2F2"/>
            <w:tcMar>
              <w:top w:w="80" w:type="dxa"/>
              <w:bottom w:w="80" w:type="dxa"/>
              <w:left w:w="120" w:type="dxa"/>
              <w:right w:w="120" w:type="dxa"/>
            </w:tcMar>
          </w:tcPr>
          <w:p>
            <w:r>
              <w:rPr>
                <w:b/>
              </w:rPr>
              <w:t>Document Classification:</w:t>
            </w:r>
          </w:p>
        </w:tc>
        <w:tc>
          <w:tcPr>
            <w:tcW w:type="dxa" w:w="4680"/>
            <w:shd w:fill="FAFAFA"/>
            <w:tcMar>
              <w:top w:w="80" w:type="dxa"/>
              <w:bottom w:w="80" w:type="dxa"/>
              <w:left w:w="120" w:type="dxa"/>
              <w:right w:w="120" w:type="dxa"/>
            </w:tcMar>
          </w:tcPr>
          <w:p>
            <w:r>
              <w:t>Final Internship Capstone Project Report</w:t>
            </w:r>
          </w:p>
        </w:tc>
      </w:tr>
    </w:tbl>
    <w:p>
      <w:r>
        <w:br w:type="page"/>
      </w:r>
    </w:p>
    <w:p>
      <w:pPr>
        <w:pStyle w:val="Heading1"/>
        <w:keepNext/>
        <w:spacing w:before="240" w:after="120"/>
      </w:pPr>
      <w:r>
        <w:rPr>
          <w:b/>
          <w:color w:val="1F4E79"/>
          <w:sz w:val="32"/>
        </w:rPr>
        <w:t>2. Abstract</w:t>
      </w:r>
    </w:p>
    <w:p>
      <w:pPr>
        <w:spacing w:after="120" w:line="276" w:lineRule="auto"/>
      </w:pPr>
      <w:r>
        <w:rPr>
          <w:rFonts w:ascii="Calibri" w:hAnsi="Calibri"/>
          <w:b w:val="0"/>
          <w:i w:val="0"/>
          <w:color w:val="333333"/>
          <w:sz w:val="21"/>
        </w:rPr>
        <w:t>In tertiary academic institutions, student attrition and academic failure frequently occur not due to a sudden collapse in capability, but because early warning signals go undetected within siloed administrative databases. This project delivers an end-to-end Data Analytics and Artificial Intelligence pipeline designed to detect early academic vulnerability before summative final examinations take place. Utilizing a realistic, non-deterministic synthetic dataset of 2,050 student records (reduced to 2,023 unique records post-deduplication) generated with fixed reproducibility (seed 42), we systematically execute data quality audits, impute missing values, conduct exploratory data analysis, formulate operational institutional KPIs, and engineer leak-free machine learning pipelines. Benchmarking across Logistic Regression, Random Forest, and Gradient Boosting establishes the Random Forest Classifier as the champion architecture, attaining an Accuracy of 83.21%, Weighted F1-Score of 82.75%, and Multi-Class ROC-AUC of 0.9251. Permutation importance demonstrates that mid-semester evaluations (midterm score) and continuous assessment compliance (assignment score), compounded by classroom attendance, constitute the primary predictive drivers. All analytical results are synthesized into actionable institutional recommendations via the FACT-INSIGHT-RISK-ACTION governance framework.</w:t>
      </w:r>
    </w:p>
    <w:p>
      <w:pPr>
        <w:pStyle w:val="Heading1"/>
        <w:keepNext/>
        <w:spacing w:before="240" w:after="120"/>
      </w:pPr>
      <w:r>
        <w:rPr>
          <w:b/>
          <w:color w:val="1F4E79"/>
          <w:sz w:val="32"/>
        </w:rPr>
        <w:t>3. Introduction</w:t>
      </w:r>
    </w:p>
    <w:p>
      <w:pPr>
        <w:spacing w:after="120" w:line="276" w:lineRule="auto"/>
      </w:pPr>
      <w:r>
        <w:rPr>
          <w:rFonts w:ascii="Calibri" w:hAnsi="Calibri"/>
          <w:b w:val="0"/>
          <w:i w:val="0"/>
          <w:color w:val="333333"/>
          <w:sz w:val="21"/>
        </w:rPr>
        <w:t>Modern academic environments generate an abundance of student data spanning registrar demographics, attendance registries, formative assignment submissions, and examination scores. Despite the availability of these data streams, educational leaders frequently remain reliant on lagging indicators—principally end-of-semester final grades—to identify struggling students. By the time final grades are posted, course failure, credit loss, or institutional withdrawal have already transpired.</w:t>
      </w:r>
    </w:p>
    <w:p>
      <w:pPr>
        <w:spacing w:after="120" w:line="276" w:lineRule="auto"/>
      </w:pPr>
      <w:r>
        <w:rPr>
          <w:rFonts w:ascii="Calibri" w:hAnsi="Calibri"/>
          <w:b w:val="0"/>
          <w:i w:val="0"/>
          <w:color w:val="333333"/>
          <w:sz w:val="21"/>
        </w:rPr>
        <w:t>The AI-Powered Student Performance Analytics &amp; Early Risk Prediction System bridges this gap by merging descriptive analytics with predictive machine learning. Rather than replacing educators, this system serves as an early-warning decision-support mechanism, empowering academic counselors and department heads to intervene weeks prior to final examinations.</w:t>
      </w:r>
    </w:p>
    <w:p>
      <w:pPr>
        <w:pStyle w:val="Heading1"/>
        <w:keepNext/>
        <w:spacing w:before="240" w:after="120"/>
      </w:pPr>
      <w:r>
        <w:rPr>
          <w:b/>
          <w:color w:val="1F4E79"/>
          <w:sz w:val="32"/>
        </w:rPr>
        <w:t>4. Problem Statement</w:t>
      </w:r>
    </w:p>
    <w:p>
      <w:pPr>
        <w:spacing w:after="120" w:line="276" w:lineRule="auto"/>
      </w:pPr>
      <w:r>
        <w:rPr>
          <w:rFonts w:ascii="Calibri" w:hAnsi="Calibri"/>
          <w:b w:val="0"/>
          <w:i w:val="0"/>
          <w:color w:val="333333"/>
          <w:sz w:val="21"/>
        </w:rPr>
        <w:t>Higher education institutions face three structural bottlenecks in student performance management:</w:t>
      </w:r>
    </w:p>
    <w:p>
      <w:pPr>
        <w:spacing w:after="120" w:line="276" w:lineRule="auto"/>
      </w:pPr>
      <w:r>
        <w:rPr>
          <w:rFonts w:ascii="Calibri" w:hAnsi="Calibri"/>
          <w:b w:val="0"/>
          <w:i w:val="0"/>
          <w:color w:val="333333"/>
          <w:sz w:val="21"/>
        </w:rPr>
        <w:t>• Diagnostic Lag: Traditional assessments diagnose academic distress only after grades are finalized.</w:t>
      </w:r>
    </w:p>
    <w:p>
      <w:pPr>
        <w:spacing w:after="120" w:line="276" w:lineRule="auto"/>
      </w:pPr>
      <w:r>
        <w:rPr>
          <w:rFonts w:ascii="Calibri" w:hAnsi="Calibri"/>
          <w:b w:val="0"/>
          <w:i w:val="0"/>
          <w:color w:val="333333"/>
          <w:sz w:val="21"/>
        </w:rPr>
        <w:t>• Data Fragmentation: Attendance registries, LMS activity, and exam rosters are rarely combined into a unified analytics schema.</w:t>
      </w:r>
    </w:p>
    <w:p>
      <w:pPr>
        <w:spacing w:after="120" w:line="276" w:lineRule="auto"/>
      </w:pPr>
      <w:r>
        <w:rPr>
          <w:rFonts w:ascii="Calibri" w:hAnsi="Calibri"/>
          <w:b w:val="0"/>
          <w:i w:val="0"/>
          <w:color w:val="333333"/>
          <w:sz w:val="21"/>
        </w:rPr>
        <w:t>• Absence of Risk Prioritization: Mentors lack quantitative triage tools to identify which students require urgent individual counseling.</w:t>
      </w:r>
    </w:p>
    <w:p>
      <w:pPr>
        <w:pStyle w:val="Heading1"/>
        <w:keepNext/>
        <w:spacing w:before="240" w:after="120"/>
      </w:pPr>
      <w:r>
        <w:rPr>
          <w:b/>
          <w:color w:val="1F4E79"/>
          <w:sz w:val="32"/>
        </w:rPr>
        <w:t>5. Project Objectives</w:t>
      </w:r>
    </w:p>
    <w:p>
      <w:pPr>
        <w:spacing w:after="120" w:line="276" w:lineRule="auto"/>
      </w:pPr>
      <w:r>
        <w:rPr>
          <w:rFonts w:ascii="Calibri" w:hAnsi="Calibri"/>
          <w:b w:val="0"/>
          <w:i w:val="0"/>
          <w:color w:val="333333"/>
          <w:sz w:val="21"/>
        </w:rPr>
        <w:t>1. Generate a domain-grounded synthetic student dataset exhibiting realistic stochastic relationships without deterministic leakage.</w:t>
      </w:r>
    </w:p>
    <w:p>
      <w:pPr>
        <w:spacing w:after="120" w:line="276" w:lineRule="auto"/>
      </w:pPr>
      <w:r>
        <w:rPr>
          <w:rFonts w:ascii="Calibri" w:hAnsi="Calibri"/>
          <w:b w:val="0"/>
          <w:i w:val="0"/>
          <w:color w:val="333333"/>
          <w:sz w:val="21"/>
        </w:rPr>
        <w:t>2. Establish robust data quality checks to audit and remediate missingness, duplicates, and boundary constraints.</w:t>
      </w:r>
    </w:p>
    <w:p>
      <w:pPr>
        <w:spacing w:after="120" w:line="276" w:lineRule="auto"/>
      </w:pPr>
      <w:r>
        <w:rPr>
          <w:rFonts w:ascii="Calibri" w:hAnsi="Calibri"/>
          <w:b w:val="0"/>
          <w:i w:val="0"/>
          <w:color w:val="333333"/>
          <w:sz w:val="21"/>
        </w:rPr>
        <w:t>3. Perform deep exploratory data analysis to map behavioral factors against academic achievement.</w:t>
      </w:r>
    </w:p>
    <w:p>
      <w:pPr>
        <w:spacing w:after="120" w:line="276" w:lineRule="auto"/>
      </w:pPr>
      <w:r>
        <w:rPr>
          <w:rFonts w:ascii="Calibri" w:hAnsi="Calibri"/>
          <w:b w:val="0"/>
          <w:i w:val="0"/>
          <w:color w:val="333333"/>
          <w:sz w:val="21"/>
        </w:rPr>
        <w:t>4. Formulate programmatic institutional Key Performance Indicators (KPIs) to establish operational benchmarks.</w:t>
      </w:r>
    </w:p>
    <w:p>
      <w:pPr>
        <w:spacing w:after="120" w:line="276" w:lineRule="auto"/>
      </w:pPr>
      <w:r>
        <w:rPr>
          <w:rFonts w:ascii="Calibri" w:hAnsi="Calibri"/>
          <w:b w:val="0"/>
          <w:i w:val="0"/>
          <w:color w:val="333333"/>
          <w:sz w:val="21"/>
        </w:rPr>
        <w:t>5. Engineer a leak-free multi-class machine learning classification system strictly excluding post-outcome variables.</w:t>
      </w:r>
    </w:p>
    <w:p>
      <w:pPr>
        <w:spacing w:after="120" w:line="276" w:lineRule="auto"/>
      </w:pPr>
      <w:r>
        <w:rPr>
          <w:rFonts w:ascii="Calibri" w:hAnsi="Calibri"/>
          <w:b w:val="0"/>
          <w:i w:val="0"/>
          <w:color w:val="333333"/>
          <w:sz w:val="21"/>
        </w:rPr>
        <w:t>6. Benchmark multiple classification algorithms and interpret model decisions via permutation importance.</w:t>
      </w:r>
    </w:p>
    <w:p>
      <w:pPr>
        <w:spacing w:after="120" w:line="276" w:lineRule="auto"/>
      </w:pPr>
      <w:r>
        <w:rPr>
          <w:rFonts w:ascii="Calibri" w:hAnsi="Calibri"/>
          <w:b w:val="0"/>
          <w:i w:val="0"/>
          <w:color w:val="333333"/>
          <w:sz w:val="21"/>
        </w:rPr>
        <w:t>7. Provide actionable institutional recommendations structured across the FACT -&gt; INSIGHT -&gt; RISK/OPPORTUNITY -&gt; ACTION framework.</w:t>
      </w:r>
    </w:p>
    <w:p>
      <w:pPr>
        <w:pStyle w:val="Heading1"/>
        <w:keepNext/>
        <w:spacing w:before="240" w:after="120"/>
      </w:pPr>
      <w:r>
        <w:rPr>
          <w:b/>
          <w:color w:val="1F4E79"/>
          <w:sz w:val="32"/>
        </w:rPr>
        <w:t>6. Dataset Description</w:t>
      </w:r>
    </w:p>
    <w:p>
      <w:pPr>
        <w:spacing w:after="120" w:line="276" w:lineRule="auto"/>
      </w:pPr>
      <w:r>
        <w:rPr>
          <w:rFonts w:ascii="Calibri" w:hAnsi="Calibri"/>
          <w:b w:val="0"/>
          <w:i w:val="0"/>
          <w:color w:val="333333"/>
          <w:sz w:val="21"/>
        </w:rPr>
        <w:t>The project dataset encompasses 16 comprehensive features capturing demographics, learning behaviors, historical preparation, continuous evaluation, and term assessments. Table 1 details the schema attributes.</w:t>
      </w:r>
    </w:p>
    <w:tbl>
      <w:tblPr>
        <w:tblW w:type="auto" w:w="0"/>
        <w:jc w:val="center"/>
        <w:tblLook w:firstColumn="1" w:firstRow="1" w:lastColumn="0" w:lastRow="0" w:noHBand="0" w:noVBand="1" w:val="04A0"/>
      </w:tblPr>
      <w:tblGrid>
        <w:gridCol w:w="2340"/>
        <w:gridCol w:w="2340"/>
        <w:gridCol w:w="2340"/>
        <w:gridCol w:w="2340"/>
      </w:tblGrid>
      <w:tr>
        <w:tc>
          <w:tcPr>
            <w:tcW w:type="dxa" w:w="2160"/>
            <w:shd w:fill="1F4E79"/>
            <w:tcMar>
              <w:top w:w="140" w:type="dxa"/>
              <w:bottom w:w="140" w:type="dxa"/>
              <w:left w:w="180" w:type="dxa"/>
              <w:right w:w="180" w:type="dxa"/>
            </w:tcMar>
          </w:tcPr>
          <w:p>
            <w:pPr>
              <w:jc w:val="left"/>
            </w:pPr>
            <w:r>
              <w:rPr>
                <w:rFonts w:ascii="Calibri" w:hAnsi="Calibri"/>
                <w:b/>
                <w:color w:val="FFFFFF"/>
                <w:sz w:val="19"/>
              </w:rPr>
              <w:t>Attribute</w:t>
            </w:r>
          </w:p>
        </w:tc>
        <w:tc>
          <w:tcPr>
            <w:tcW w:type="dxa" w:w="1296"/>
            <w:shd w:fill="1F4E79"/>
            <w:tcMar>
              <w:top w:w="140" w:type="dxa"/>
              <w:bottom w:w="140" w:type="dxa"/>
              <w:left w:w="180" w:type="dxa"/>
              <w:right w:w="180" w:type="dxa"/>
            </w:tcMar>
          </w:tcPr>
          <w:p>
            <w:pPr>
              <w:jc w:val="left"/>
            </w:pPr>
            <w:r>
              <w:rPr>
                <w:rFonts w:ascii="Calibri" w:hAnsi="Calibri"/>
                <w:b/>
                <w:color w:val="FFFFFF"/>
                <w:sz w:val="19"/>
              </w:rPr>
              <w:t>Data Type</w:t>
            </w:r>
          </w:p>
        </w:tc>
        <w:tc>
          <w:tcPr>
            <w:tcW w:type="dxa" w:w="2016"/>
            <w:shd w:fill="1F4E79"/>
            <w:tcMar>
              <w:top w:w="140" w:type="dxa"/>
              <w:bottom w:w="140" w:type="dxa"/>
              <w:left w:w="180" w:type="dxa"/>
              <w:right w:w="180" w:type="dxa"/>
            </w:tcMar>
          </w:tcPr>
          <w:p>
            <w:pPr>
              <w:jc w:val="left"/>
            </w:pPr>
            <w:r>
              <w:rPr>
                <w:rFonts w:ascii="Calibri" w:hAnsi="Calibri"/>
                <w:b/>
                <w:color w:val="FFFFFF"/>
                <w:sz w:val="19"/>
              </w:rPr>
              <w:t>Value Domain</w:t>
            </w:r>
          </w:p>
        </w:tc>
        <w:tc>
          <w:tcPr>
            <w:tcW w:type="dxa" w:w="3888"/>
            <w:shd w:fill="1F4E79"/>
            <w:tcMar>
              <w:top w:w="140" w:type="dxa"/>
              <w:bottom w:w="140" w:type="dxa"/>
              <w:left w:w="180" w:type="dxa"/>
              <w:right w:w="180" w:type="dxa"/>
            </w:tcMar>
          </w:tcPr>
          <w:p>
            <w:pPr>
              <w:jc w:val="left"/>
            </w:pPr>
            <w:r>
              <w:rPr>
                <w:rFonts w:ascii="Calibri" w:hAnsi="Calibri"/>
                <w:b/>
                <w:color w:val="FFFFFF"/>
                <w:sz w:val="19"/>
              </w:rPr>
              <w:t>Description</w:t>
            </w:r>
          </w:p>
        </w:tc>
      </w:tr>
      <w:tr>
        <w:tc>
          <w:tcPr>
            <w:tcW w:type="dxa" w:w="2160"/>
            <w:shd w:fill="FFFFFF"/>
            <w:tcMar>
              <w:top w:w="100" w:type="dxa"/>
              <w:bottom w:w="100" w:type="dxa"/>
              <w:left w:w="180" w:type="dxa"/>
              <w:right w:w="180" w:type="dxa"/>
            </w:tcMar>
          </w:tcPr>
          <w:p>
            <w:r>
              <w:rPr>
                <w:rFonts w:ascii="Calibri" w:hAnsi="Calibri"/>
                <w:color w:val="333333"/>
                <w:sz w:val="19"/>
              </w:rPr>
              <w:t>student_id</w:t>
            </w:r>
          </w:p>
        </w:tc>
        <w:tc>
          <w:tcPr>
            <w:tcW w:type="dxa" w:w="1296"/>
            <w:shd w:fill="FFFFFF"/>
            <w:tcMar>
              <w:top w:w="100" w:type="dxa"/>
              <w:bottom w:w="100" w:type="dxa"/>
              <w:left w:w="180" w:type="dxa"/>
              <w:right w:w="180" w:type="dxa"/>
            </w:tcMar>
          </w:tcPr>
          <w:p>
            <w:r>
              <w:rPr>
                <w:rFonts w:ascii="Calibri" w:hAnsi="Calibri"/>
                <w:color w:val="333333"/>
                <w:sz w:val="19"/>
              </w:rPr>
              <w:t>Object</w:t>
            </w:r>
          </w:p>
        </w:tc>
        <w:tc>
          <w:tcPr>
            <w:tcW w:type="dxa" w:w="2016"/>
            <w:shd w:fill="FFFFFF"/>
            <w:tcMar>
              <w:top w:w="100" w:type="dxa"/>
              <w:bottom w:w="100" w:type="dxa"/>
              <w:left w:w="180" w:type="dxa"/>
              <w:right w:w="180" w:type="dxa"/>
            </w:tcMar>
          </w:tcPr>
          <w:p>
            <w:r>
              <w:rPr>
                <w:rFonts w:ascii="Calibri" w:hAnsi="Calibri"/>
                <w:color w:val="333333"/>
                <w:sz w:val="19"/>
              </w:rPr>
              <w:t>STU1001–STU3050</w:t>
            </w:r>
          </w:p>
        </w:tc>
        <w:tc>
          <w:tcPr>
            <w:tcW w:type="dxa" w:w="3888"/>
            <w:shd w:fill="FFFFFF"/>
            <w:tcMar>
              <w:top w:w="100" w:type="dxa"/>
              <w:bottom w:w="100" w:type="dxa"/>
              <w:left w:w="180" w:type="dxa"/>
              <w:right w:w="180" w:type="dxa"/>
            </w:tcMar>
          </w:tcPr>
          <w:p>
            <w:r>
              <w:rPr>
                <w:rFonts w:ascii="Calibri" w:hAnsi="Calibri"/>
                <w:color w:val="333333"/>
                <w:sz w:val="19"/>
              </w:rPr>
              <w:t>Pseudo-anonymized identifier (excluded from ML)</w:t>
            </w:r>
          </w:p>
        </w:tc>
      </w:tr>
      <w:tr>
        <w:tc>
          <w:tcPr>
            <w:tcW w:type="dxa" w:w="2160"/>
            <w:shd w:fill="F2F2F2"/>
            <w:tcMar>
              <w:top w:w="100" w:type="dxa"/>
              <w:bottom w:w="100" w:type="dxa"/>
              <w:left w:w="180" w:type="dxa"/>
              <w:right w:w="180" w:type="dxa"/>
            </w:tcMar>
          </w:tcPr>
          <w:p>
            <w:r>
              <w:rPr>
                <w:rFonts w:ascii="Calibri" w:hAnsi="Calibri"/>
                <w:color w:val="333333"/>
                <w:sz w:val="19"/>
              </w:rPr>
              <w:t>gender</w:t>
            </w:r>
          </w:p>
        </w:tc>
        <w:tc>
          <w:tcPr>
            <w:tcW w:type="dxa" w:w="1296"/>
            <w:shd w:fill="F2F2F2"/>
            <w:tcMar>
              <w:top w:w="100" w:type="dxa"/>
              <w:bottom w:w="100" w:type="dxa"/>
              <w:left w:w="180" w:type="dxa"/>
              <w:right w:w="180" w:type="dxa"/>
            </w:tcMar>
          </w:tcPr>
          <w:p>
            <w:r>
              <w:rPr>
                <w:rFonts w:ascii="Calibri" w:hAnsi="Calibri"/>
                <w:color w:val="333333"/>
                <w:sz w:val="19"/>
              </w:rPr>
              <w:t>Categorical</w:t>
            </w:r>
          </w:p>
        </w:tc>
        <w:tc>
          <w:tcPr>
            <w:tcW w:type="dxa" w:w="2016"/>
            <w:shd w:fill="F2F2F2"/>
            <w:tcMar>
              <w:top w:w="100" w:type="dxa"/>
              <w:bottom w:w="100" w:type="dxa"/>
              <w:left w:w="180" w:type="dxa"/>
              <w:right w:w="180" w:type="dxa"/>
            </w:tcMar>
          </w:tcPr>
          <w:p>
            <w:r>
              <w:rPr>
                <w:rFonts w:ascii="Calibri" w:hAnsi="Calibri"/>
                <w:color w:val="333333"/>
                <w:sz w:val="19"/>
              </w:rPr>
              <w:t>Female, Male, Other</w:t>
            </w:r>
          </w:p>
        </w:tc>
        <w:tc>
          <w:tcPr>
            <w:tcW w:type="dxa" w:w="3888"/>
            <w:shd w:fill="F2F2F2"/>
            <w:tcMar>
              <w:top w:w="100" w:type="dxa"/>
              <w:bottom w:w="100" w:type="dxa"/>
              <w:left w:w="180" w:type="dxa"/>
              <w:right w:w="180" w:type="dxa"/>
            </w:tcMar>
          </w:tcPr>
          <w:p>
            <w:r>
              <w:rPr>
                <w:rFonts w:ascii="Calibri" w:hAnsi="Calibri"/>
                <w:color w:val="333333"/>
                <w:sz w:val="19"/>
              </w:rPr>
              <w:t>Reported gender identity</w:t>
            </w:r>
          </w:p>
        </w:tc>
      </w:tr>
      <w:tr>
        <w:tc>
          <w:tcPr>
            <w:tcW w:type="dxa" w:w="2160"/>
            <w:shd w:fill="FFFFFF"/>
            <w:tcMar>
              <w:top w:w="100" w:type="dxa"/>
              <w:bottom w:w="100" w:type="dxa"/>
              <w:left w:w="180" w:type="dxa"/>
              <w:right w:w="180" w:type="dxa"/>
            </w:tcMar>
          </w:tcPr>
          <w:p>
            <w:r>
              <w:rPr>
                <w:rFonts w:ascii="Calibri" w:hAnsi="Calibri"/>
                <w:color w:val="333333"/>
                <w:sz w:val="19"/>
              </w:rPr>
              <w:t>age</w:t>
            </w:r>
          </w:p>
        </w:tc>
        <w:tc>
          <w:tcPr>
            <w:tcW w:type="dxa" w:w="1296"/>
            <w:shd w:fill="FFFFFF"/>
            <w:tcMar>
              <w:top w:w="100" w:type="dxa"/>
              <w:bottom w:w="100" w:type="dxa"/>
              <w:left w:w="180" w:type="dxa"/>
              <w:right w:w="180" w:type="dxa"/>
            </w:tcMar>
          </w:tcPr>
          <w:p>
            <w:r>
              <w:rPr>
                <w:rFonts w:ascii="Calibri" w:hAnsi="Calibri"/>
                <w:color w:val="333333"/>
                <w:sz w:val="19"/>
              </w:rPr>
              <w:t>Integer</w:t>
            </w:r>
          </w:p>
        </w:tc>
        <w:tc>
          <w:tcPr>
            <w:tcW w:type="dxa" w:w="2016"/>
            <w:shd w:fill="FFFFFF"/>
            <w:tcMar>
              <w:top w:w="100" w:type="dxa"/>
              <w:bottom w:w="100" w:type="dxa"/>
              <w:left w:w="180" w:type="dxa"/>
              <w:right w:w="180" w:type="dxa"/>
            </w:tcMar>
          </w:tcPr>
          <w:p>
            <w:r>
              <w:rPr>
                <w:rFonts w:ascii="Calibri" w:hAnsi="Calibri"/>
                <w:color w:val="333333"/>
                <w:sz w:val="19"/>
              </w:rPr>
              <w:t>17–22 years</w:t>
            </w:r>
          </w:p>
        </w:tc>
        <w:tc>
          <w:tcPr>
            <w:tcW w:type="dxa" w:w="3888"/>
            <w:shd w:fill="FFFFFF"/>
            <w:tcMar>
              <w:top w:w="100" w:type="dxa"/>
              <w:bottom w:w="100" w:type="dxa"/>
              <w:left w:w="180" w:type="dxa"/>
              <w:right w:w="180" w:type="dxa"/>
            </w:tcMar>
          </w:tcPr>
          <w:p>
            <w:r>
              <w:rPr>
                <w:rFonts w:ascii="Calibri" w:hAnsi="Calibri"/>
                <w:color w:val="333333"/>
                <w:sz w:val="19"/>
              </w:rPr>
              <w:t>Age at academic matriculation</w:t>
            </w:r>
          </w:p>
        </w:tc>
      </w:tr>
      <w:tr>
        <w:tc>
          <w:tcPr>
            <w:tcW w:type="dxa" w:w="2160"/>
            <w:shd w:fill="F2F2F2"/>
            <w:tcMar>
              <w:top w:w="100" w:type="dxa"/>
              <w:bottom w:w="100" w:type="dxa"/>
              <w:left w:w="180" w:type="dxa"/>
              <w:right w:w="180" w:type="dxa"/>
            </w:tcMar>
          </w:tcPr>
          <w:p>
            <w:r>
              <w:rPr>
                <w:rFonts w:ascii="Calibri" w:hAnsi="Calibri"/>
                <w:color w:val="333333"/>
                <w:sz w:val="19"/>
              </w:rPr>
              <w:t>study_hours_per_day</w:t>
            </w:r>
          </w:p>
        </w:tc>
        <w:tc>
          <w:tcPr>
            <w:tcW w:type="dxa" w:w="1296"/>
            <w:shd w:fill="F2F2F2"/>
            <w:tcMar>
              <w:top w:w="100" w:type="dxa"/>
              <w:bottom w:w="100" w:type="dxa"/>
              <w:left w:w="180" w:type="dxa"/>
              <w:right w:w="180" w:type="dxa"/>
            </w:tcMar>
          </w:tcPr>
          <w:p>
            <w:r>
              <w:rPr>
                <w:rFonts w:ascii="Calibri" w:hAnsi="Calibri"/>
                <w:color w:val="333333"/>
                <w:sz w:val="19"/>
              </w:rPr>
              <w:t>Float</w:t>
            </w:r>
          </w:p>
        </w:tc>
        <w:tc>
          <w:tcPr>
            <w:tcW w:type="dxa" w:w="2016"/>
            <w:shd w:fill="F2F2F2"/>
            <w:tcMar>
              <w:top w:w="100" w:type="dxa"/>
              <w:bottom w:w="100" w:type="dxa"/>
              <w:left w:w="180" w:type="dxa"/>
              <w:right w:w="180" w:type="dxa"/>
            </w:tcMar>
          </w:tcPr>
          <w:p>
            <w:r>
              <w:rPr>
                <w:rFonts w:ascii="Calibri" w:hAnsi="Calibri"/>
                <w:color w:val="333333"/>
                <w:sz w:val="19"/>
              </w:rPr>
              <w:t>0.5–8.0 hrs</w:t>
            </w:r>
          </w:p>
        </w:tc>
        <w:tc>
          <w:tcPr>
            <w:tcW w:type="dxa" w:w="3888"/>
            <w:shd w:fill="F2F2F2"/>
            <w:tcMar>
              <w:top w:w="100" w:type="dxa"/>
              <w:bottom w:w="100" w:type="dxa"/>
              <w:left w:w="180" w:type="dxa"/>
              <w:right w:w="180" w:type="dxa"/>
            </w:tcMar>
          </w:tcPr>
          <w:p>
            <w:r>
              <w:rPr>
                <w:rFonts w:ascii="Calibri" w:hAnsi="Calibri"/>
                <w:color w:val="333333"/>
                <w:sz w:val="19"/>
              </w:rPr>
              <w:t>Self-reported daily independent study time</w:t>
            </w:r>
          </w:p>
        </w:tc>
      </w:tr>
      <w:tr>
        <w:tc>
          <w:tcPr>
            <w:tcW w:type="dxa" w:w="2160"/>
            <w:shd w:fill="FFFFFF"/>
            <w:tcMar>
              <w:top w:w="100" w:type="dxa"/>
              <w:bottom w:w="100" w:type="dxa"/>
              <w:left w:w="180" w:type="dxa"/>
              <w:right w:w="180" w:type="dxa"/>
            </w:tcMar>
          </w:tcPr>
          <w:p>
            <w:r>
              <w:rPr>
                <w:rFonts w:ascii="Calibri" w:hAnsi="Calibri"/>
                <w:color w:val="333333"/>
                <w:sz w:val="19"/>
              </w:rPr>
              <w:t>attendance_percentage</w:t>
            </w:r>
          </w:p>
        </w:tc>
        <w:tc>
          <w:tcPr>
            <w:tcW w:type="dxa" w:w="1296"/>
            <w:shd w:fill="FFFFFF"/>
            <w:tcMar>
              <w:top w:w="100" w:type="dxa"/>
              <w:bottom w:w="100" w:type="dxa"/>
              <w:left w:w="180" w:type="dxa"/>
              <w:right w:w="180" w:type="dxa"/>
            </w:tcMar>
          </w:tcPr>
          <w:p>
            <w:r>
              <w:rPr>
                <w:rFonts w:ascii="Calibri" w:hAnsi="Calibri"/>
                <w:color w:val="333333"/>
                <w:sz w:val="19"/>
              </w:rPr>
              <w:t>Float</w:t>
            </w:r>
          </w:p>
        </w:tc>
        <w:tc>
          <w:tcPr>
            <w:tcW w:type="dxa" w:w="2016"/>
            <w:shd w:fill="FFFFFF"/>
            <w:tcMar>
              <w:top w:w="100" w:type="dxa"/>
              <w:bottom w:w="100" w:type="dxa"/>
              <w:left w:w="180" w:type="dxa"/>
              <w:right w:w="180" w:type="dxa"/>
            </w:tcMar>
          </w:tcPr>
          <w:p>
            <w:r>
              <w:rPr>
                <w:rFonts w:ascii="Calibri" w:hAnsi="Calibri"/>
                <w:color w:val="333333"/>
                <w:sz w:val="19"/>
              </w:rPr>
              <w:t>45.0–100.0%</w:t>
            </w:r>
          </w:p>
        </w:tc>
        <w:tc>
          <w:tcPr>
            <w:tcW w:type="dxa" w:w="3888"/>
            <w:shd w:fill="FFFFFF"/>
            <w:tcMar>
              <w:top w:w="100" w:type="dxa"/>
              <w:bottom w:w="100" w:type="dxa"/>
              <w:left w:w="180" w:type="dxa"/>
              <w:right w:w="180" w:type="dxa"/>
            </w:tcMar>
          </w:tcPr>
          <w:p>
            <w:r>
              <w:rPr>
                <w:rFonts w:ascii="Calibri" w:hAnsi="Calibri"/>
                <w:color w:val="333333"/>
                <w:sz w:val="19"/>
              </w:rPr>
              <w:t>Classroom attendance rate across the term</w:t>
            </w:r>
          </w:p>
        </w:tc>
      </w:tr>
      <w:tr>
        <w:tc>
          <w:tcPr>
            <w:tcW w:type="dxa" w:w="2160"/>
            <w:shd w:fill="F2F2F2"/>
            <w:tcMar>
              <w:top w:w="100" w:type="dxa"/>
              <w:bottom w:w="100" w:type="dxa"/>
              <w:left w:w="180" w:type="dxa"/>
              <w:right w:w="180" w:type="dxa"/>
            </w:tcMar>
          </w:tcPr>
          <w:p>
            <w:r>
              <w:rPr>
                <w:rFonts w:ascii="Calibri" w:hAnsi="Calibri"/>
                <w:color w:val="333333"/>
                <w:sz w:val="19"/>
              </w:rPr>
              <w:t>previous_score</w:t>
            </w:r>
          </w:p>
        </w:tc>
        <w:tc>
          <w:tcPr>
            <w:tcW w:type="dxa" w:w="1296"/>
            <w:shd w:fill="F2F2F2"/>
            <w:tcMar>
              <w:top w:w="100" w:type="dxa"/>
              <w:bottom w:w="100" w:type="dxa"/>
              <w:left w:w="180" w:type="dxa"/>
              <w:right w:w="180" w:type="dxa"/>
            </w:tcMar>
          </w:tcPr>
          <w:p>
            <w:r>
              <w:rPr>
                <w:rFonts w:ascii="Calibri" w:hAnsi="Calibri"/>
                <w:color w:val="333333"/>
                <w:sz w:val="19"/>
              </w:rPr>
              <w:t>Float</w:t>
            </w:r>
          </w:p>
        </w:tc>
        <w:tc>
          <w:tcPr>
            <w:tcW w:type="dxa" w:w="2016"/>
            <w:shd w:fill="F2F2F2"/>
            <w:tcMar>
              <w:top w:w="100" w:type="dxa"/>
              <w:bottom w:w="100" w:type="dxa"/>
              <w:left w:w="180" w:type="dxa"/>
              <w:right w:w="180" w:type="dxa"/>
            </w:tcMar>
          </w:tcPr>
          <w:p>
            <w:r>
              <w:rPr>
                <w:rFonts w:ascii="Calibri" w:hAnsi="Calibri"/>
                <w:color w:val="333333"/>
                <w:sz w:val="19"/>
              </w:rPr>
              <w:t>25.0–98.0</w:t>
            </w:r>
          </w:p>
        </w:tc>
        <w:tc>
          <w:tcPr>
            <w:tcW w:type="dxa" w:w="3888"/>
            <w:shd w:fill="F2F2F2"/>
            <w:tcMar>
              <w:top w:w="100" w:type="dxa"/>
              <w:bottom w:w="100" w:type="dxa"/>
              <w:left w:w="180" w:type="dxa"/>
              <w:right w:w="180" w:type="dxa"/>
            </w:tcMar>
          </w:tcPr>
          <w:p>
            <w:r>
              <w:rPr>
                <w:rFonts w:ascii="Calibri" w:hAnsi="Calibri"/>
                <w:color w:val="333333"/>
                <w:sz w:val="19"/>
              </w:rPr>
              <w:t>Historical cumulative academic grade prior to term</w:t>
            </w:r>
          </w:p>
        </w:tc>
      </w:tr>
      <w:tr>
        <w:tc>
          <w:tcPr>
            <w:tcW w:type="dxa" w:w="2160"/>
            <w:shd w:fill="FFFFFF"/>
            <w:tcMar>
              <w:top w:w="100" w:type="dxa"/>
              <w:bottom w:w="100" w:type="dxa"/>
              <w:left w:w="180" w:type="dxa"/>
              <w:right w:w="180" w:type="dxa"/>
            </w:tcMar>
          </w:tcPr>
          <w:p>
            <w:r>
              <w:rPr>
                <w:rFonts w:ascii="Calibri" w:hAnsi="Calibri"/>
                <w:color w:val="333333"/>
                <w:sz w:val="19"/>
              </w:rPr>
              <w:t>assignment_score</w:t>
            </w:r>
          </w:p>
        </w:tc>
        <w:tc>
          <w:tcPr>
            <w:tcW w:type="dxa" w:w="1296"/>
            <w:shd w:fill="FFFFFF"/>
            <w:tcMar>
              <w:top w:w="100" w:type="dxa"/>
              <w:bottom w:w="100" w:type="dxa"/>
              <w:left w:w="180" w:type="dxa"/>
              <w:right w:w="180" w:type="dxa"/>
            </w:tcMar>
          </w:tcPr>
          <w:p>
            <w:r>
              <w:rPr>
                <w:rFonts w:ascii="Calibri" w:hAnsi="Calibri"/>
                <w:color w:val="333333"/>
                <w:sz w:val="19"/>
              </w:rPr>
              <w:t>Float</w:t>
            </w:r>
          </w:p>
        </w:tc>
        <w:tc>
          <w:tcPr>
            <w:tcW w:type="dxa" w:w="2016"/>
            <w:shd w:fill="FFFFFF"/>
            <w:tcMar>
              <w:top w:w="100" w:type="dxa"/>
              <w:bottom w:w="100" w:type="dxa"/>
              <w:left w:w="180" w:type="dxa"/>
              <w:right w:w="180" w:type="dxa"/>
            </w:tcMar>
          </w:tcPr>
          <w:p>
            <w:r>
              <w:rPr>
                <w:rFonts w:ascii="Calibri" w:hAnsi="Calibri"/>
                <w:color w:val="333333"/>
                <w:sz w:val="19"/>
              </w:rPr>
              <w:t>20.0–100.0</w:t>
            </w:r>
          </w:p>
        </w:tc>
        <w:tc>
          <w:tcPr>
            <w:tcW w:type="dxa" w:w="3888"/>
            <w:shd w:fill="FFFFFF"/>
            <w:tcMar>
              <w:top w:w="100" w:type="dxa"/>
              <w:bottom w:w="100" w:type="dxa"/>
              <w:left w:w="180" w:type="dxa"/>
              <w:right w:w="180" w:type="dxa"/>
            </w:tcMar>
          </w:tcPr>
          <w:p>
            <w:r>
              <w:rPr>
                <w:rFonts w:ascii="Calibri" w:hAnsi="Calibri"/>
                <w:color w:val="333333"/>
                <w:sz w:val="19"/>
              </w:rPr>
              <w:t>Continuous assessment score on coursework</w:t>
            </w:r>
          </w:p>
        </w:tc>
      </w:tr>
      <w:tr>
        <w:tc>
          <w:tcPr>
            <w:tcW w:type="dxa" w:w="2160"/>
            <w:shd w:fill="F2F2F2"/>
            <w:tcMar>
              <w:top w:w="100" w:type="dxa"/>
              <w:bottom w:w="100" w:type="dxa"/>
              <w:left w:w="180" w:type="dxa"/>
              <w:right w:w="180" w:type="dxa"/>
            </w:tcMar>
          </w:tcPr>
          <w:p>
            <w:r>
              <w:rPr>
                <w:rFonts w:ascii="Calibri" w:hAnsi="Calibri"/>
                <w:color w:val="333333"/>
                <w:sz w:val="19"/>
              </w:rPr>
              <w:t>midterm_score</w:t>
            </w:r>
          </w:p>
        </w:tc>
        <w:tc>
          <w:tcPr>
            <w:tcW w:type="dxa" w:w="1296"/>
            <w:shd w:fill="F2F2F2"/>
            <w:tcMar>
              <w:top w:w="100" w:type="dxa"/>
              <w:bottom w:w="100" w:type="dxa"/>
              <w:left w:w="180" w:type="dxa"/>
              <w:right w:w="180" w:type="dxa"/>
            </w:tcMar>
          </w:tcPr>
          <w:p>
            <w:r>
              <w:rPr>
                <w:rFonts w:ascii="Calibri" w:hAnsi="Calibri"/>
                <w:color w:val="333333"/>
                <w:sz w:val="19"/>
              </w:rPr>
              <w:t>Float</w:t>
            </w:r>
          </w:p>
        </w:tc>
        <w:tc>
          <w:tcPr>
            <w:tcW w:type="dxa" w:w="2016"/>
            <w:shd w:fill="F2F2F2"/>
            <w:tcMar>
              <w:top w:w="100" w:type="dxa"/>
              <w:bottom w:w="100" w:type="dxa"/>
              <w:left w:w="180" w:type="dxa"/>
              <w:right w:w="180" w:type="dxa"/>
            </w:tcMar>
          </w:tcPr>
          <w:p>
            <w:r>
              <w:rPr>
                <w:rFonts w:ascii="Calibri" w:hAnsi="Calibri"/>
                <w:color w:val="333333"/>
                <w:sz w:val="19"/>
              </w:rPr>
              <w:t>20.0–100.0</w:t>
            </w:r>
          </w:p>
        </w:tc>
        <w:tc>
          <w:tcPr>
            <w:tcW w:type="dxa" w:w="3888"/>
            <w:shd w:fill="F2F2F2"/>
            <w:tcMar>
              <w:top w:w="100" w:type="dxa"/>
              <w:bottom w:w="100" w:type="dxa"/>
              <w:left w:w="180" w:type="dxa"/>
              <w:right w:w="180" w:type="dxa"/>
            </w:tcMar>
          </w:tcPr>
          <w:p>
            <w:r>
              <w:rPr>
                <w:rFonts w:ascii="Calibri" w:hAnsi="Calibri"/>
                <w:color w:val="333333"/>
                <w:sz w:val="19"/>
              </w:rPr>
              <w:t>Score on mid-semester formal examination</w:t>
            </w:r>
          </w:p>
        </w:tc>
      </w:tr>
      <w:tr>
        <w:tc>
          <w:tcPr>
            <w:tcW w:type="dxa" w:w="2160"/>
            <w:shd w:fill="FFFFFF"/>
            <w:tcMar>
              <w:top w:w="100" w:type="dxa"/>
              <w:bottom w:w="100" w:type="dxa"/>
              <w:left w:w="180" w:type="dxa"/>
              <w:right w:w="180" w:type="dxa"/>
            </w:tcMar>
          </w:tcPr>
          <w:p>
            <w:r>
              <w:rPr>
                <w:rFonts w:ascii="Calibri" w:hAnsi="Calibri"/>
                <w:color w:val="333333"/>
                <w:sz w:val="19"/>
              </w:rPr>
              <w:t>extracurricular_activity</w:t>
            </w:r>
          </w:p>
        </w:tc>
        <w:tc>
          <w:tcPr>
            <w:tcW w:type="dxa" w:w="1296"/>
            <w:shd w:fill="FFFFFF"/>
            <w:tcMar>
              <w:top w:w="100" w:type="dxa"/>
              <w:bottom w:w="100" w:type="dxa"/>
              <w:left w:w="180" w:type="dxa"/>
              <w:right w:w="180" w:type="dxa"/>
            </w:tcMar>
          </w:tcPr>
          <w:p>
            <w:r>
              <w:rPr>
                <w:rFonts w:ascii="Calibri" w:hAnsi="Calibri"/>
                <w:color w:val="333333"/>
                <w:sz w:val="19"/>
              </w:rPr>
              <w:t>Categorical</w:t>
            </w:r>
          </w:p>
        </w:tc>
        <w:tc>
          <w:tcPr>
            <w:tcW w:type="dxa" w:w="2016"/>
            <w:shd w:fill="FFFFFF"/>
            <w:tcMar>
              <w:top w:w="100" w:type="dxa"/>
              <w:bottom w:w="100" w:type="dxa"/>
              <w:left w:w="180" w:type="dxa"/>
              <w:right w:w="180" w:type="dxa"/>
            </w:tcMar>
          </w:tcPr>
          <w:p>
            <w:r>
              <w:rPr>
                <w:rFonts w:ascii="Calibri" w:hAnsi="Calibri"/>
                <w:color w:val="333333"/>
                <w:sz w:val="19"/>
              </w:rPr>
              <w:t>Yes, No</w:t>
            </w:r>
          </w:p>
        </w:tc>
        <w:tc>
          <w:tcPr>
            <w:tcW w:type="dxa" w:w="3888"/>
            <w:shd w:fill="FFFFFF"/>
            <w:tcMar>
              <w:top w:w="100" w:type="dxa"/>
              <w:bottom w:w="100" w:type="dxa"/>
              <w:left w:w="180" w:type="dxa"/>
              <w:right w:w="180" w:type="dxa"/>
            </w:tcMar>
          </w:tcPr>
          <w:p>
            <w:r>
              <w:rPr>
                <w:rFonts w:ascii="Calibri" w:hAnsi="Calibri"/>
                <w:color w:val="333333"/>
                <w:sz w:val="19"/>
              </w:rPr>
              <w:t>Active participation in collegiate clubs/sports</w:t>
            </w:r>
          </w:p>
        </w:tc>
      </w:tr>
      <w:tr>
        <w:tc>
          <w:tcPr>
            <w:tcW w:type="dxa" w:w="2160"/>
            <w:shd w:fill="F2F2F2"/>
            <w:tcMar>
              <w:top w:w="100" w:type="dxa"/>
              <w:bottom w:w="100" w:type="dxa"/>
              <w:left w:w="180" w:type="dxa"/>
              <w:right w:w="180" w:type="dxa"/>
            </w:tcMar>
          </w:tcPr>
          <w:p>
            <w:r>
              <w:rPr>
                <w:rFonts w:ascii="Calibri" w:hAnsi="Calibri"/>
                <w:color w:val="333333"/>
                <w:sz w:val="19"/>
              </w:rPr>
              <w:t>internet_access</w:t>
            </w:r>
          </w:p>
        </w:tc>
        <w:tc>
          <w:tcPr>
            <w:tcW w:type="dxa" w:w="1296"/>
            <w:shd w:fill="F2F2F2"/>
            <w:tcMar>
              <w:top w:w="100" w:type="dxa"/>
              <w:bottom w:w="100" w:type="dxa"/>
              <w:left w:w="180" w:type="dxa"/>
              <w:right w:w="180" w:type="dxa"/>
            </w:tcMar>
          </w:tcPr>
          <w:p>
            <w:r>
              <w:rPr>
                <w:rFonts w:ascii="Calibri" w:hAnsi="Calibri"/>
                <w:color w:val="333333"/>
                <w:sz w:val="19"/>
              </w:rPr>
              <w:t>Categorical</w:t>
            </w:r>
          </w:p>
        </w:tc>
        <w:tc>
          <w:tcPr>
            <w:tcW w:type="dxa" w:w="2016"/>
            <w:shd w:fill="F2F2F2"/>
            <w:tcMar>
              <w:top w:w="100" w:type="dxa"/>
              <w:bottom w:w="100" w:type="dxa"/>
              <w:left w:w="180" w:type="dxa"/>
              <w:right w:w="180" w:type="dxa"/>
            </w:tcMar>
          </w:tcPr>
          <w:p>
            <w:r>
              <w:rPr>
                <w:rFonts w:ascii="Calibri" w:hAnsi="Calibri"/>
                <w:color w:val="333333"/>
                <w:sz w:val="19"/>
              </w:rPr>
              <w:t>Yes, No</w:t>
            </w:r>
          </w:p>
        </w:tc>
        <w:tc>
          <w:tcPr>
            <w:tcW w:type="dxa" w:w="3888"/>
            <w:shd w:fill="F2F2F2"/>
            <w:tcMar>
              <w:top w:w="100" w:type="dxa"/>
              <w:bottom w:w="100" w:type="dxa"/>
              <w:left w:w="180" w:type="dxa"/>
              <w:right w:w="180" w:type="dxa"/>
            </w:tcMar>
          </w:tcPr>
          <w:p>
            <w:r>
              <w:rPr>
                <w:rFonts w:ascii="Calibri" w:hAnsi="Calibri"/>
                <w:color w:val="333333"/>
                <w:sz w:val="19"/>
              </w:rPr>
              <w:t>Broadband availability at home domicile</w:t>
            </w:r>
          </w:p>
        </w:tc>
      </w:tr>
      <w:tr>
        <w:tc>
          <w:tcPr>
            <w:tcW w:type="dxa" w:w="2160"/>
            <w:shd w:fill="FFFFFF"/>
            <w:tcMar>
              <w:top w:w="100" w:type="dxa"/>
              <w:bottom w:w="100" w:type="dxa"/>
              <w:left w:w="180" w:type="dxa"/>
              <w:right w:w="180" w:type="dxa"/>
            </w:tcMar>
          </w:tcPr>
          <w:p>
            <w:r>
              <w:rPr>
                <w:rFonts w:ascii="Calibri" w:hAnsi="Calibri"/>
                <w:color w:val="333333"/>
                <w:sz w:val="19"/>
              </w:rPr>
              <w:t>sleep_hours</w:t>
            </w:r>
          </w:p>
        </w:tc>
        <w:tc>
          <w:tcPr>
            <w:tcW w:type="dxa" w:w="1296"/>
            <w:shd w:fill="FFFFFF"/>
            <w:tcMar>
              <w:top w:w="100" w:type="dxa"/>
              <w:bottom w:w="100" w:type="dxa"/>
              <w:left w:w="180" w:type="dxa"/>
              <w:right w:w="180" w:type="dxa"/>
            </w:tcMar>
          </w:tcPr>
          <w:p>
            <w:r>
              <w:rPr>
                <w:rFonts w:ascii="Calibri" w:hAnsi="Calibri"/>
                <w:color w:val="333333"/>
                <w:sz w:val="19"/>
              </w:rPr>
              <w:t>Float</w:t>
            </w:r>
          </w:p>
        </w:tc>
        <w:tc>
          <w:tcPr>
            <w:tcW w:type="dxa" w:w="2016"/>
            <w:shd w:fill="FFFFFF"/>
            <w:tcMar>
              <w:top w:w="100" w:type="dxa"/>
              <w:bottom w:w="100" w:type="dxa"/>
              <w:left w:w="180" w:type="dxa"/>
              <w:right w:w="180" w:type="dxa"/>
            </w:tcMar>
          </w:tcPr>
          <w:p>
            <w:r>
              <w:rPr>
                <w:rFonts w:ascii="Calibri" w:hAnsi="Calibri"/>
                <w:color w:val="333333"/>
                <w:sz w:val="19"/>
              </w:rPr>
              <w:t>4.0–10.0 hrs</w:t>
            </w:r>
          </w:p>
        </w:tc>
        <w:tc>
          <w:tcPr>
            <w:tcW w:type="dxa" w:w="3888"/>
            <w:shd w:fill="FFFFFF"/>
            <w:tcMar>
              <w:top w:w="100" w:type="dxa"/>
              <w:bottom w:w="100" w:type="dxa"/>
              <w:left w:w="180" w:type="dxa"/>
              <w:right w:w="180" w:type="dxa"/>
            </w:tcMar>
          </w:tcPr>
          <w:p>
            <w:r>
              <w:rPr>
                <w:rFonts w:ascii="Calibri" w:hAnsi="Calibri"/>
                <w:color w:val="333333"/>
                <w:sz w:val="19"/>
              </w:rPr>
              <w:t>Average nocturnal sleep duration</w:t>
            </w:r>
          </w:p>
        </w:tc>
      </w:tr>
      <w:tr>
        <w:tc>
          <w:tcPr>
            <w:tcW w:type="dxa" w:w="2160"/>
            <w:shd w:fill="F2F2F2"/>
            <w:tcMar>
              <w:top w:w="100" w:type="dxa"/>
              <w:bottom w:w="100" w:type="dxa"/>
              <w:left w:w="180" w:type="dxa"/>
              <w:right w:w="180" w:type="dxa"/>
            </w:tcMar>
          </w:tcPr>
          <w:p>
            <w:r>
              <w:rPr>
                <w:rFonts w:ascii="Calibri" w:hAnsi="Calibri"/>
                <w:color w:val="333333"/>
                <w:sz w:val="19"/>
              </w:rPr>
              <w:t>parental_education</w:t>
            </w:r>
          </w:p>
        </w:tc>
        <w:tc>
          <w:tcPr>
            <w:tcW w:type="dxa" w:w="1296"/>
            <w:shd w:fill="F2F2F2"/>
            <w:tcMar>
              <w:top w:w="100" w:type="dxa"/>
              <w:bottom w:w="100" w:type="dxa"/>
              <w:left w:w="180" w:type="dxa"/>
              <w:right w:w="180" w:type="dxa"/>
            </w:tcMar>
          </w:tcPr>
          <w:p>
            <w:r>
              <w:rPr>
                <w:rFonts w:ascii="Calibri" w:hAnsi="Calibri"/>
                <w:color w:val="333333"/>
                <w:sz w:val="19"/>
              </w:rPr>
              <w:t>Categorical</w:t>
            </w:r>
          </w:p>
        </w:tc>
        <w:tc>
          <w:tcPr>
            <w:tcW w:type="dxa" w:w="2016"/>
            <w:shd w:fill="F2F2F2"/>
            <w:tcMar>
              <w:top w:w="100" w:type="dxa"/>
              <w:bottom w:w="100" w:type="dxa"/>
              <w:left w:w="180" w:type="dxa"/>
              <w:right w:w="180" w:type="dxa"/>
            </w:tcMar>
          </w:tcPr>
          <w:p>
            <w:r>
              <w:rPr>
                <w:rFonts w:ascii="Calibri" w:hAnsi="Calibri"/>
                <w:color w:val="333333"/>
                <w:sz w:val="19"/>
              </w:rPr>
              <w:t>High School–Doctorate</w:t>
            </w:r>
          </w:p>
        </w:tc>
        <w:tc>
          <w:tcPr>
            <w:tcW w:type="dxa" w:w="3888"/>
            <w:shd w:fill="F2F2F2"/>
            <w:tcMar>
              <w:top w:w="100" w:type="dxa"/>
              <w:bottom w:w="100" w:type="dxa"/>
              <w:left w:w="180" w:type="dxa"/>
              <w:right w:w="180" w:type="dxa"/>
            </w:tcMar>
          </w:tcPr>
          <w:p>
            <w:r>
              <w:rPr>
                <w:rFonts w:ascii="Calibri" w:hAnsi="Calibri"/>
                <w:color w:val="333333"/>
                <w:sz w:val="19"/>
              </w:rPr>
              <w:t>Highest parental educational achievement</w:t>
            </w:r>
          </w:p>
        </w:tc>
      </w:tr>
      <w:tr>
        <w:tc>
          <w:tcPr>
            <w:tcW w:type="dxa" w:w="2160"/>
            <w:shd w:fill="FFFFFF"/>
            <w:tcMar>
              <w:top w:w="100" w:type="dxa"/>
              <w:bottom w:w="100" w:type="dxa"/>
              <w:left w:w="180" w:type="dxa"/>
              <w:right w:w="180" w:type="dxa"/>
            </w:tcMar>
          </w:tcPr>
          <w:p>
            <w:r>
              <w:rPr>
                <w:rFonts w:ascii="Calibri" w:hAnsi="Calibri"/>
                <w:color w:val="333333"/>
                <w:sz w:val="19"/>
              </w:rPr>
              <w:t>family_income_category</w:t>
            </w:r>
          </w:p>
        </w:tc>
        <w:tc>
          <w:tcPr>
            <w:tcW w:type="dxa" w:w="1296"/>
            <w:shd w:fill="FFFFFF"/>
            <w:tcMar>
              <w:top w:w="100" w:type="dxa"/>
              <w:bottom w:w="100" w:type="dxa"/>
              <w:left w:w="180" w:type="dxa"/>
              <w:right w:w="180" w:type="dxa"/>
            </w:tcMar>
          </w:tcPr>
          <w:p>
            <w:r>
              <w:rPr>
                <w:rFonts w:ascii="Calibri" w:hAnsi="Calibri"/>
                <w:color w:val="333333"/>
                <w:sz w:val="19"/>
              </w:rPr>
              <w:t>Categorical</w:t>
            </w:r>
          </w:p>
        </w:tc>
        <w:tc>
          <w:tcPr>
            <w:tcW w:type="dxa" w:w="2016"/>
            <w:shd w:fill="FFFFFF"/>
            <w:tcMar>
              <w:top w:w="100" w:type="dxa"/>
              <w:bottom w:w="100" w:type="dxa"/>
              <w:left w:w="180" w:type="dxa"/>
              <w:right w:w="180" w:type="dxa"/>
            </w:tcMar>
          </w:tcPr>
          <w:p>
            <w:r>
              <w:rPr>
                <w:rFonts w:ascii="Calibri" w:hAnsi="Calibri"/>
                <w:color w:val="333333"/>
                <w:sz w:val="19"/>
              </w:rPr>
              <w:t>Low, Medium, High</w:t>
            </w:r>
          </w:p>
        </w:tc>
        <w:tc>
          <w:tcPr>
            <w:tcW w:type="dxa" w:w="3888"/>
            <w:shd w:fill="FFFFFF"/>
            <w:tcMar>
              <w:top w:w="100" w:type="dxa"/>
              <w:bottom w:w="100" w:type="dxa"/>
              <w:left w:w="180" w:type="dxa"/>
              <w:right w:w="180" w:type="dxa"/>
            </w:tcMar>
          </w:tcPr>
          <w:p>
            <w:r>
              <w:rPr>
                <w:rFonts w:ascii="Calibri" w:hAnsi="Calibri"/>
                <w:color w:val="333333"/>
                <w:sz w:val="19"/>
              </w:rPr>
              <w:t>Socioeconomic household income bracket</w:t>
            </w:r>
          </w:p>
        </w:tc>
      </w:tr>
      <w:tr>
        <w:tc>
          <w:tcPr>
            <w:tcW w:type="dxa" w:w="2160"/>
            <w:shd w:fill="F2F2F2"/>
            <w:tcMar>
              <w:top w:w="100" w:type="dxa"/>
              <w:bottom w:w="100" w:type="dxa"/>
              <w:left w:w="180" w:type="dxa"/>
              <w:right w:w="180" w:type="dxa"/>
            </w:tcMar>
          </w:tcPr>
          <w:p>
            <w:r>
              <w:rPr>
                <w:rFonts w:ascii="Calibri" w:hAnsi="Calibri"/>
                <w:color w:val="333333"/>
                <w:sz w:val="19"/>
              </w:rPr>
              <w:t>class_participation</w:t>
            </w:r>
          </w:p>
        </w:tc>
        <w:tc>
          <w:tcPr>
            <w:tcW w:type="dxa" w:w="1296"/>
            <w:shd w:fill="F2F2F2"/>
            <w:tcMar>
              <w:top w:w="100" w:type="dxa"/>
              <w:bottom w:w="100" w:type="dxa"/>
              <w:left w:w="180" w:type="dxa"/>
              <w:right w:w="180" w:type="dxa"/>
            </w:tcMar>
          </w:tcPr>
          <w:p>
            <w:r>
              <w:rPr>
                <w:rFonts w:ascii="Calibri" w:hAnsi="Calibri"/>
                <w:color w:val="333333"/>
                <w:sz w:val="19"/>
              </w:rPr>
              <w:t>Float</w:t>
            </w:r>
          </w:p>
        </w:tc>
        <w:tc>
          <w:tcPr>
            <w:tcW w:type="dxa" w:w="2016"/>
            <w:shd w:fill="F2F2F2"/>
            <w:tcMar>
              <w:top w:w="100" w:type="dxa"/>
              <w:bottom w:w="100" w:type="dxa"/>
              <w:left w:w="180" w:type="dxa"/>
              <w:right w:w="180" w:type="dxa"/>
            </w:tcMar>
          </w:tcPr>
          <w:p>
            <w:r>
              <w:rPr>
                <w:rFonts w:ascii="Calibri" w:hAnsi="Calibri"/>
                <w:color w:val="333333"/>
                <w:sz w:val="19"/>
              </w:rPr>
              <w:t>10.0–100.0</w:t>
            </w:r>
          </w:p>
        </w:tc>
        <w:tc>
          <w:tcPr>
            <w:tcW w:type="dxa" w:w="3888"/>
            <w:shd w:fill="F2F2F2"/>
            <w:tcMar>
              <w:top w:w="100" w:type="dxa"/>
              <w:bottom w:w="100" w:type="dxa"/>
              <w:left w:w="180" w:type="dxa"/>
              <w:right w:w="180" w:type="dxa"/>
            </w:tcMar>
          </w:tcPr>
          <w:p>
            <w:r>
              <w:rPr>
                <w:rFonts w:ascii="Calibri" w:hAnsi="Calibri"/>
                <w:color w:val="333333"/>
                <w:sz w:val="19"/>
              </w:rPr>
              <w:t>Instructor-graded classroom engagement score</w:t>
            </w:r>
          </w:p>
        </w:tc>
      </w:tr>
      <w:tr>
        <w:tc>
          <w:tcPr>
            <w:tcW w:type="dxa" w:w="2160"/>
            <w:shd w:fill="FFFFFF"/>
            <w:tcMar>
              <w:top w:w="100" w:type="dxa"/>
              <w:bottom w:w="100" w:type="dxa"/>
              <w:left w:w="180" w:type="dxa"/>
              <w:right w:w="180" w:type="dxa"/>
            </w:tcMar>
          </w:tcPr>
          <w:p>
            <w:r>
              <w:rPr>
                <w:rFonts w:ascii="Calibri" w:hAnsi="Calibri"/>
                <w:color w:val="333333"/>
                <w:sz w:val="19"/>
              </w:rPr>
              <w:t>final_score</w:t>
            </w:r>
          </w:p>
        </w:tc>
        <w:tc>
          <w:tcPr>
            <w:tcW w:type="dxa" w:w="1296"/>
            <w:shd w:fill="FFFFFF"/>
            <w:tcMar>
              <w:top w:w="100" w:type="dxa"/>
              <w:bottom w:w="100" w:type="dxa"/>
              <w:left w:w="180" w:type="dxa"/>
              <w:right w:w="180" w:type="dxa"/>
            </w:tcMar>
          </w:tcPr>
          <w:p>
            <w:r>
              <w:rPr>
                <w:rFonts w:ascii="Calibri" w:hAnsi="Calibri"/>
                <w:color w:val="333333"/>
                <w:sz w:val="19"/>
              </w:rPr>
              <w:t>Float</w:t>
            </w:r>
          </w:p>
        </w:tc>
        <w:tc>
          <w:tcPr>
            <w:tcW w:type="dxa" w:w="2016"/>
            <w:shd w:fill="FFFFFF"/>
            <w:tcMar>
              <w:top w:w="100" w:type="dxa"/>
              <w:bottom w:w="100" w:type="dxa"/>
              <w:left w:w="180" w:type="dxa"/>
              <w:right w:w="180" w:type="dxa"/>
            </w:tcMar>
          </w:tcPr>
          <w:p>
            <w:r>
              <w:rPr>
                <w:rFonts w:ascii="Calibri" w:hAnsi="Calibri"/>
                <w:color w:val="333333"/>
                <w:sz w:val="19"/>
              </w:rPr>
              <w:t>20.0–100.0</w:t>
            </w:r>
          </w:p>
        </w:tc>
        <w:tc>
          <w:tcPr>
            <w:tcW w:type="dxa" w:w="3888"/>
            <w:shd w:fill="FFFFFF"/>
            <w:tcMar>
              <w:top w:w="100" w:type="dxa"/>
              <w:bottom w:w="100" w:type="dxa"/>
              <w:left w:w="180" w:type="dxa"/>
              <w:right w:w="180" w:type="dxa"/>
            </w:tcMar>
          </w:tcPr>
          <w:p>
            <w:r>
              <w:rPr>
                <w:rFonts w:ascii="Calibri" w:hAnsi="Calibri"/>
                <w:color w:val="333333"/>
                <w:sz w:val="19"/>
              </w:rPr>
              <w:t>End-of-term score (used in EDA, excluded from ML)</w:t>
            </w:r>
          </w:p>
        </w:tc>
      </w:tr>
      <w:tr>
        <w:tc>
          <w:tcPr>
            <w:tcW w:type="dxa" w:w="2160"/>
            <w:shd w:fill="F2F2F2"/>
            <w:tcMar>
              <w:top w:w="100" w:type="dxa"/>
              <w:bottom w:w="100" w:type="dxa"/>
              <w:left w:w="180" w:type="dxa"/>
              <w:right w:w="180" w:type="dxa"/>
            </w:tcMar>
          </w:tcPr>
          <w:p>
            <w:r>
              <w:rPr>
                <w:rFonts w:ascii="Calibri" w:hAnsi="Calibri"/>
                <w:color w:val="333333"/>
                <w:sz w:val="19"/>
              </w:rPr>
              <w:t>academic_risk</w:t>
            </w:r>
          </w:p>
        </w:tc>
        <w:tc>
          <w:tcPr>
            <w:tcW w:type="dxa" w:w="1296"/>
            <w:shd w:fill="F2F2F2"/>
            <w:tcMar>
              <w:top w:w="100" w:type="dxa"/>
              <w:bottom w:w="100" w:type="dxa"/>
              <w:left w:w="180" w:type="dxa"/>
              <w:right w:w="180" w:type="dxa"/>
            </w:tcMar>
          </w:tcPr>
          <w:p>
            <w:r>
              <w:rPr>
                <w:rFonts w:ascii="Calibri" w:hAnsi="Calibri"/>
                <w:color w:val="333333"/>
                <w:sz w:val="19"/>
              </w:rPr>
              <w:t>Categorical</w:t>
            </w:r>
          </w:p>
        </w:tc>
        <w:tc>
          <w:tcPr>
            <w:tcW w:type="dxa" w:w="2016"/>
            <w:shd w:fill="F2F2F2"/>
            <w:tcMar>
              <w:top w:w="100" w:type="dxa"/>
              <w:bottom w:w="100" w:type="dxa"/>
              <w:left w:w="180" w:type="dxa"/>
              <w:right w:w="180" w:type="dxa"/>
            </w:tcMar>
          </w:tcPr>
          <w:p>
            <w:r>
              <w:rPr>
                <w:rFonts w:ascii="Calibri" w:hAnsi="Calibri"/>
                <w:color w:val="333333"/>
                <w:sz w:val="19"/>
              </w:rPr>
              <w:t>Low, Moderate, High</w:t>
            </w:r>
          </w:p>
        </w:tc>
        <w:tc>
          <w:tcPr>
            <w:tcW w:type="dxa" w:w="3888"/>
            <w:shd w:fill="F2F2F2"/>
            <w:tcMar>
              <w:top w:w="100" w:type="dxa"/>
              <w:bottom w:w="100" w:type="dxa"/>
              <w:left w:w="180" w:type="dxa"/>
              <w:right w:w="180" w:type="dxa"/>
            </w:tcMar>
          </w:tcPr>
          <w:p>
            <w:r>
              <w:rPr>
                <w:rFonts w:ascii="Calibri" w:hAnsi="Calibri"/>
                <w:color w:val="333333"/>
                <w:sz w:val="19"/>
              </w:rPr>
              <w:t>Supervised classification target</w:t>
            </w:r>
          </w:p>
        </w:tc>
      </w:tr>
    </w:tbl>
    <w:p>
      <w:pPr>
        <w:spacing w:after="120" w:line="276" w:lineRule="auto"/>
      </w:pPr>
      <w:r>
        <w:rPr>
          <w:rFonts w:ascii="Calibri" w:hAnsi="Calibri"/>
          <w:b w:val="0"/>
          <w:i/>
          <w:color w:val="333333"/>
          <w:sz w:val="21"/>
        </w:rPr>
        <w:t>Table 1: Synthetic Student Performance Dataset Schema &amp; Feature Dictionary</w:t>
      </w:r>
    </w:p>
    <w:p>
      <w:pPr>
        <w:pStyle w:val="Heading1"/>
        <w:keepNext/>
        <w:spacing w:before="240" w:after="120"/>
      </w:pPr>
      <w:r>
        <w:rPr>
          <w:b/>
          <w:color w:val="1F4E79"/>
          <w:sz w:val="32"/>
        </w:rPr>
        <w:t>7. Dataset Generation Method</w:t>
      </w:r>
    </w:p>
    <w:p>
      <w:pPr>
        <w:spacing w:after="120" w:line="276" w:lineRule="auto"/>
      </w:pPr>
      <w:r>
        <w:rPr>
          <w:rFonts w:ascii="Calibri" w:hAnsi="Calibri"/>
          <w:b w:val="0"/>
          <w:i w:val="0"/>
          <w:color w:val="333333"/>
          <w:sz w:val="21"/>
        </w:rPr>
        <w:t>In strict adherence to project requirements, the dataset was generated programmatically without utilizing the IBM SkillsBuild masterclass repository. Using NumPy and Pandas with a fixed seed (RANDOM_STATE = 42), 2,050 initial records were generated. Features were sampled from realistic distributions (Gamma distributions for study hours, Gaussian noise for exam variance, and multi-factor regression composites for dependent variables). Crucially, stochastic Gaussian noise was injected into both final_score and academic_risk to ensure non-deterministic relationships. Intended data quality defects were injected: 27 duplicate rows and 100 missing values across 5 distinct columns.</w:t>
      </w:r>
    </w:p>
    <w:p>
      <w:pPr>
        <w:pStyle w:val="Heading1"/>
        <w:keepNext/>
        <w:spacing w:before="240" w:after="120"/>
      </w:pPr>
      <w:r>
        <w:rPr>
          <w:b/>
          <w:color w:val="1F4E79"/>
          <w:sz w:val="32"/>
        </w:rPr>
        <w:t>8. Technologies Used</w:t>
      </w:r>
    </w:p>
    <w:p>
      <w:pPr>
        <w:spacing w:after="120" w:line="276" w:lineRule="auto"/>
      </w:pPr>
      <w:r>
        <w:rPr>
          <w:rFonts w:ascii="Calibri" w:hAnsi="Calibri"/>
          <w:b w:val="0"/>
          <w:i w:val="0"/>
          <w:color w:val="333333"/>
          <w:sz w:val="21"/>
        </w:rPr>
        <w:t>• Programming Language &amp; Runtime: Python 3.10.11 / JupyterLab (Windows 64-bit).</w:t>
      </w:r>
    </w:p>
    <w:p>
      <w:pPr>
        <w:spacing w:after="120" w:line="276" w:lineRule="auto"/>
      </w:pPr>
      <w:r>
        <w:rPr>
          <w:rFonts w:ascii="Calibri" w:hAnsi="Calibri"/>
          <w:b w:val="0"/>
          <w:i w:val="0"/>
          <w:color w:val="333333"/>
          <w:sz w:val="21"/>
        </w:rPr>
        <w:t>• Data Processing &amp; Numerical Computing: Pandas 2.3.3 and NumPy 2.2.6.</w:t>
      </w:r>
    </w:p>
    <w:p>
      <w:pPr>
        <w:spacing w:after="120" w:line="276" w:lineRule="auto"/>
      </w:pPr>
      <w:r>
        <w:rPr>
          <w:rFonts w:ascii="Calibri" w:hAnsi="Calibri"/>
          <w:b w:val="0"/>
          <w:i w:val="0"/>
          <w:color w:val="333333"/>
          <w:sz w:val="21"/>
        </w:rPr>
        <w:t>• Machine Learning &amp; Preprocessing: Scikit-Learn 1.7.2 (Pipeline, ColumnTransformer, Imputers, Ensembles).</w:t>
      </w:r>
    </w:p>
    <w:p>
      <w:pPr>
        <w:spacing w:after="120" w:line="276" w:lineRule="auto"/>
      </w:pPr>
      <w:r>
        <w:rPr>
          <w:rFonts w:ascii="Calibri" w:hAnsi="Calibri"/>
          <w:b w:val="0"/>
          <w:i w:val="0"/>
          <w:color w:val="333333"/>
          <w:sz w:val="21"/>
        </w:rPr>
        <w:t>• Visual Analytics: Matplotlib 3.10.9 and Seaborn 0.13.2.</w:t>
      </w:r>
    </w:p>
    <w:p>
      <w:pPr>
        <w:spacing w:after="120" w:line="276" w:lineRule="auto"/>
      </w:pPr>
      <w:r>
        <w:rPr>
          <w:rFonts w:ascii="Calibri" w:hAnsi="Calibri"/>
          <w:b w:val="0"/>
          <w:i w:val="0"/>
          <w:color w:val="333333"/>
          <w:sz w:val="21"/>
        </w:rPr>
        <w:t>• Automation &amp; Reporting: python-docx 1.2.0, nbformat 5.9.0, and nbclient 0.8.0.</w:t>
      </w:r>
    </w:p>
    <w:p>
      <w:pPr>
        <w:pStyle w:val="Heading1"/>
        <w:keepNext/>
        <w:spacing w:before="240" w:after="120"/>
      </w:pPr>
      <w:r>
        <w:rPr>
          <w:b/>
          <w:color w:val="1F4E79"/>
          <w:sz w:val="32"/>
        </w:rPr>
        <w:t>9. Project Workflow</w:t>
      </w:r>
    </w:p>
    <w:p>
      <w:pPr>
        <w:spacing w:after="120" w:line="276" w:lineRule="auto"/>
      </w:pPr>
      <w:r>
        <w:rPr>
          <w:rFonts w:ascii="Calibri" w:hAnsi="Calibri"/>
          <w:b w:val="0"/>
          <w:i w:val="0"/>
          <w:color w:val="333333"/>
          <w:sz w:val="21"/>
        </w:rPr>
        <w:t>The project follows a rigorous 7-stage analytical pipeline: DATA GENERATION -&gt; QUALITY AUDIT -&gt; DATA CLEANING -&gt; EXPLORATORY DATA ANALYSIS -&gt; KPI ANALYSIS -&gt; LEAK-FREE MACHINE LEARNING -&gt; DECISION SUPPORT &amp; REPORTING.</w:t>
      </w:r>
    </w:p>
    <w:p>
      <w:pPr>
        <w:pStyle w:val="Heading1"/>
        <w:keepNext/>
        <w:spacing w:before="240" w:after="120"/>
      </w:pPr>
      <w:r>
        <w:rPr>
          <w:b/>
          <w:color w:val="1F4E79"/>
          <w:sz w:val="32"/>
        </w:rPr>
        <w:t>10. Data Quality Assessment</w:t>
      </w:r>
    </w:p>
    <w:p>
      <w:pPr>
        <w:spacing w:after="120" w:line="276" w:lineRule="auto"/>
      </w:pPr>
      <w:r>
        <w:rPr>
          <w:rFonts w:ascii="Calibri" w:hAnsi="Calibri"/>
          <w:b w:val="0"/>
          <w:i w:val="0"/>
          <w:color w:val="333333"/>
          <w:sz w:val="21"/>
        </w:rPr>
        <w:t>An initial quality scan of the raw dataset identified 27 exact duplicate records (1.32%) and 100 missing values across 5 features: study_hours_per_day (24), sleep_hours (20), previous_score (18), parental_education (22), and extracurricular_activity (16).</w:t>
      </w:r>
    </w:p>
    <w:p>
      <w:pPr>
        <w:pStyle w:val="Heading1"/>
        <w:keepNext/>
        <w:spacing w:before="240" w:after="120"/>
      </w:pPr>
      <w:r>
        <w:rPr>
          <w:b/>
          <w:color w:val="1F4E79"/>
          <w:sz w:val="32"/>
        </w:rPr>
        <w:t>11. Data Preprocessing &amp; Cleaning</w:t>
      </w:r>
    </w:p>
    <w:p>
      <w:pPr>
        <w:spacing w:after="120" w:line="276" w:lineRule="auto"/>
      </w:pPr>
      <w:r>
        <w:rPr>
          <w:rFonts w:ascii="Calibri" w:hAnsi="Calibri"/>
          <w:b w:val="0"/>
          <w:i w:val="0"/>
          <w:color w:val="333333"/>
          <w:sz w:val="21"/>
        </w:rPr>
        <w:t>Data cleaning was performed on an isolated working copy to preserve original raw data integrity. First, all 27 duplicate rows were purged, leaving 2023 unique records. Second, missing numerical values were imputed using the median (study_hours: 3.6 hrs, sleep_hours: 6.9 hrs, previous_score: 67.6). Third, categorical missingness was resolved using modal class replacement (parental_education: 'Bachelor', extracurricular: 'No').</w:t>
      </w:r>
    </w:p>
    <w:tbl>
      <w:tblPr>
        <w:tblW w:type="auto" w:w="0"/>
        <w:jc w:val="center"/>
        <w:tblLook w:firstColumn="1" w:firstRow="1" w:lastColumn="0" w:lastRow="0" w:noHBand="0" w:noVBand="1" w:val="04A0"/>
      </w:tblPr>
      <w:tblGrid>
        <w:gridCol w:w="2340"/>
        <w:gridCol w:w="2340"/>
        <w:gridCol w:w="2340"/>
        <w:gridCol w:w="2340"/>
      </w:tblGrid>
      <w:tr>
        <w:tc>
          <w:tcPr>
            <w:tcW w:type="dxa" w:w="2880"/>
            <w:shd w:fill="1F4E79"/>
            <w:tcMar>
              <w:top w:w="140" w:type="dxa"/>
              <w:bottom w:w="140" w:type="dxa"/>
              <w:left w:w="180" w:type="dxa"/>
              <w:right w:w="180" w:type="dxa"/>
            </w:tcMar>
          </w:tcPr>
          <w:p>
            <w:pPr>
              <w:jc w:val="left"/>
            </w:pPr>
            <w:r>
              <w:rPr>
                <w:rFonts w:ascii="Calibri" w:hAnsi="Calibri"/>
                <w:b/>
                <w:color w:val="FFFFFF"/>
                <w:sz w:val="19"/>
              </w:rPr>
              <w:t>Audit Parameter</w:t>
            </w:r>
          </w:p>
        </w:tc>
        <w:tc>
          <w:tcPr>
            <w:tcW w:type="dxa" w:w="2160"/>
            <w:shd w:fill="1F4E79"/>
            <w:tcMar>
              <w:top w:w="140" w:type="dxa"/>
              <w:bottom w:w="140" w:type="dxa"/>
              <w:left w:w="180" w:type="dxa"/>
              <w:right w:w="180" w:type="dxa"/>
            </w:tcMar>
          </w:tcPr>
          <w:p>
            <w:pPr>
              <w:jc w:val="left"/>
            </w:pPr>
            <w:r>
              <w:rPr>
                <w:rFonts w:ascii="Calibri" w:hAnsi="Calibri"/>
                <w:b/>
                <w:color w:val="FFFFFF"/>
                <w:sz w:val="19"/>
              </w:rPr>
              <w:t>Raw Dataset</w:t>
            </w:r>
          </w:p>
        </w:tc>
        <w:tc>
          <w:tcPr>
            <w:tcW w:type="dxa" w:w="2160"/>
            <w:shd w:fill="1F4E79"/>
            <w:tcMar>
              <w:top w:w="140" w:type="dxa"/>
              <w:bottom w:w="140" w:type="dxa"/>
              <w:left w:w="180" w:type="dxa"/>
              <w:right w:w="180" w:type="dxa"/>
            </w:tcMar>
          </w:tcPr>
          <w:p>
            <w:pPr>
              <w:jc w:val="left"/>
            </w:pPr>
            <w:r>
              <w:rPr>
                <w:rFonts w:ascii="Calibri" w:hAnsi="Calibri"/>
                <w:b/>
                <w:color w:val="FFFFFF"/>
                <w:sz w:val="19"/>
              </w:rPr>
              <w:t>Cleaned Dataset</w:t>
            </w:r>
          </w:p>
        </w:tc>
        <w:tc>
          <w:tcPr>
            <w:tcW w:type="dxa" w:w="2160"/>
            <w:shd w:fill="1F4E79"/>
            <w:tcMar>
              <w:top w:w="140" w:type="dxa"/>
              <w:bottom w:w="140" w:type="dxa"/>
              <w:left w:w="180" w:type="dxa"/>
              <w:right w:w="180" w:type="dxa"/>
            </w:tcMar>
          </w:tcPr>
          <w:p>
            <w:pPr>
              <w:jc w:val="left"/>
            </w:pPr>
            <w:r>
              <w:rPr>
                <w:rFonts w:ascii="Calibri" w:hAnsi="Calibri"/>
                <w:b/>
                <w:color w:val="FFFFFF"/>
                <w:sz w:val="19"/>
              </w:rPr>
              <w:t>Validation Status</w:t>
            </w:r>
          </w:p>
        </w:tc>
      </w:tr>
      <w:tr>
        <w:tc>
          <w:tcPr>
            <w:tcW w:type="dxa" w:w="2880"/>
            <w:shd w:fill="FFFFFF"/>
            <w:tcMar>
              <w:top w:w="100" w:type="dxa"/>
              <w:bottom w:w="100" w:type="dxa"/>
              <w:left w:w="180" w:type="dxa"/>
              <w:right w:w="180" w:type="dxa"/>
            </w:tcMar>
          </w:tcPr>
          <w:p>
            <w:r>
              <w:rPr>
                <w:rFonts w:ascii="Calibri" w:hAnsi="Calibri"/>
                <w:color w:val="333333"/>
                <w:sz w:val="19"/>
              </w:rPr>
              <w:t>Total Records (Rows)</w:t>
            </w:r>
          </w:p>
        </w:tc>
        <w:tc>
          <w:tcPr>
            <w:tcW w:type="dxa" w:w="2160"/>
            <w:shd w:fill="FFFFFF"/>
            <w:tcMar>
              <w:top w:w="100" w:type="dxa"/>
              <w:bottom w:w="100" w:type="dxa"/>
              <w:left w:w="180" w:type="dxa"/>
              <w:right w:w="180" w:type="dxa"/>
            </w:tcMar>
          </w:tcPr>
          <w:p>
            <w:r>
              <w:rPr>
                <w:rFonts w:ascii="Calibri" w:hAnsi="Calibri"/>
                <w:color w:val="333333"/>
                <w:sz w:val="19"/>
              </w:rPr>
              <w:t>2,050</w:t>
            </w:r>
          </w:p>
        </w:tc>
        <w:tc>
          <w:tcPr>
            <w:tcW w:type="dxa" w:w="2160"/>
            <w:shd w:fill="FFFFFF"/>
            <w:tcMar>
              <w:top w:w="100" w:type="dxa"/>
              <w:bottom w:w="100" w:type="dxa"/>
              <w:left w:w="180" w:type="dxa"/>
              <w:right w:w="180" w:type="dxa"/>
            </w:tcMar>
          </w:tcPr>
          <w:p>
            <w:r>
              <w:rPr>
                <w:rFonts w:ascii="Calibri" w:hAnsi="Calibri"/>
                <w:color w:val="333333"/>
                <w:sz w:val="19"/>
              </w:rPr>
              <w:t>2,023</w:t>
            </w:r>
          </w:p>
        </w:tc>
        <w:tc>
          <w:tcPr>
            <w:tcW w:type="dxa" w:w="2160"/>
            <w:shd w:fill="FFFFFF"/>
            <w:tcMar>
              <w:top w:w="100" w:type="dxa"/>
              <w:bottom w:w="100" w:type="dxa"/>
              <w:left w:w="180" w:type="dxa"/>
              <w:right w:w="180" w:type="dxa"/>
            </w:tcMar>
          </w:tcPr>
          <w:p>
            <w:r>
              <w:rPr>
                <w:rFonts w:ascii="Calibri" w:hAnsi="Calibri"/>
                <w:color w:val="333333"/>
                <w:sz w:val="19"/>
              </w:rPr>
              <w:t>PASS (Deduplicated)</w:t>
            </w:r>
          </w:p>
        </w:tc>
      </w:tr>
      <w:tr>
        <w:tc>
          <w:tcPr>
            <w:tcW w:type="dxa" w:w="2880"/>
            <w:shd w:fill="F2F2F2"/>
            <w:tcMar>
              <w:top w:w="100" w:type="dxa"/>
              <w:bottom w:w="100" w:type="dxa"/>
              <w:left w:w="180" w:type="dxa"/>
              <w:right w:w="180" w:type="dxa"/>
            </w:tcMar>
          </w:tcPr>
          <w:p>
            <w:r>
              <w:rPr>
                <w:rFonts w:ascii="Calibri" w:hAnsi="Calibri"/>
                <w:color w:val="333333"/>
                <w:sz w:val="19"/>
              </w:rPr>
              <w:t>Total Features (Columns)</w:t>
            </w:r>
          </w:p>
        </w:tc>
        <w:tc>
          <w:tcPr>
            <w:tcW w:type="dxa" w:w="2160"/>
            <w:shd w:fill="F2F2F2"/>
            <w:tcMar>
              <w:top w:w="100" w:type="dxa"/>
              <w:bottom w:w="100" w:type="dxa"/>
              <w:left w:w="180" w:type="dxa"/>
              <w:right w:w="180" w:type="dxa"/>
            </w:tcMar>
          </w:tcPr>
          <w:p>
            <w:r>
              <w:rPr>
                <w:rFonts w:ascii="Calibri" w:hAnsi="Calibri"/>
                <w:color w:val="333333"/>
                <w:sz w:val="19"/>
              </w:rPr>
              <w:t>16</w:t>
            </w:r>
          </w:p>
        </w:tc>
        <w:tc>
          <w:tcPr>
            <w:tcW w:type="dxa" w:w="2160"/>
            <w:shd w:fill="F2F2F2"/>
            <w:tcMar>
              <w:top w:w="100" w:type="dxa"/>
              <w:bottom w:w="100" w:type="dxa"/>
              <w:left w:w="180" w:type="dxa"/>
              <w:right w:w="180" w:type="dxa"/>
            </w:tcMar>
          </w:tcPr>
          <w:p>
            <w:r>
              <w:rPr>
                <w:rFonts w:ascii="Calibri" w:hAnsi="Calibri"/>
                <w:color w:val="333333"/>
                <w:sz w:val="19"/>
              </w:rPr>
              <w:t>16</w:t>
            </w:r>
          </w:p>
        </w:tc>
        <w:tc>
          <w:tcPr>
            <w:tcW w:type="dxa" w:w="2160"/>
            <w:shd w:fill="F2F2F2"/>
            <w:tcMar>
              <w:top w:w="100" w:type="dxa"/>
              <w:bottom w:w="100" w:type="dxa"/>
              <w:left w:w="180" w:type="dxa"/>
              <w:right w:w="180" w:type="dxa"/>
            </w:tcMar>
          </w:tcPr>
          <w:p>
            <w:r>
              <w:rPr>
                <w:rFonts w:ascii="Calibri" w:hAnsi="Calibri"/>
                <w:color w:val="333333"/>
                <w:sz w:val="19"/>
              </w:rPr>
              <w:t>PASS (Consistent)</w:t>
            </w:r>
          </w:p>
        </w:tc>
      </w:tr>
      <w:tr>
        <w:tc>
          <w:tcPr>
            <w:tcW w:type="dxa" w:w="2880"/>
            <w:shd w:fill="FFFFFF"/>
            <w:tcMar>
              <w:top w:w="100" w:type="dxa"/>
              <w:bottom w:w="100" w:type="dxa"/>
              <w:left w:w="180" w:type="dxa"/>
              <w:right w:w="180" w:type="dxa"/>
            </w:tcMar>
          </w:tcPr>
          <w:p>
            <w:r>
              <w:rPr>
                <w:rFonts w:ascii="Calibri" w:hAnsi="Calibri"/>
                <w:color w:val="333333"/>
                <w:sz w:val="19"/>
              </w:rPr>
              <w:t>Duplicate Records</w:t>
            </w:r>
          </w:p>
        </w:tc>
        <w:tc>
          <w:tcPr>
            <w:tcW w:type="dxa" w:w="2160"/>
            <w:shd w:fill="FFFFFF"/>
            <w:tcMar>
              <w:top w:w="100" w:type="dxa"/>
              <w:bottom w:w="100" w:type="dxa"/>
              <w:left w:w="180" w:type="dxa"/>
              <w:right w:w="180" w:type="dxa"/>
            </w:tcMar>
          </w:tcPr>
          <w:p>
            <w:r>
              <w:rPr>
                <w:rFonts w:ascii="Calibri" w:hAnsi="Calibri"/>
                <w:color w:val="333333"/>
                <w:sz w:val="19"/>
              </w:rPr>
              <w:t>27</w:t>
            </w:r>
          </w:p>
        </w:tc>
        <w:tc>
          <w:tcPr>
            <w:tcW w:type="dxa" w:w="2160"/>
            <w:shd w:fill="FFFFFF"/>
            <w:tcMar>
              <w:top w:w="100" w:type="dxa"/>
              <w:bottom w:w="100" w:type="dxa"/>
              <w:left w:w="180" w:type="dxa"/>
              <w:right w:w="180" w:type="dxa"/>
            </w:tcMar>
          </w:tcPr>
          <w:p>
            <w:r>
              <w:rPr>
                <w:rFonts w:ascii="Calibri" w:hAnsi="Calibri"/>
                <w:color w:val="333333"/>
                <w:sz w:val="19"/>
              </w:rPr>
              <w:t>0</w:t>
            </w:r>
          </w:p>
        </w:tc>
        <w:tc>
          <w:tcPr>
            <w:tcW w:type="dxa" w:w="2160"/>
            <w:shd w:fill="FFFFFF"/>
            <w:tcMar>
              <w:top w:w="100" w:type="dxa"/>
              <w:bottom w:w="100" w:type="dxa"/>
              <w:left w:w="180" w:type="dxa"/>
              <w:right w:w="180" w:type="dxa"/>
            </w:tcMar>
          </w:tcPr>
          <w:p>
            <w:r>
              <w:rPr>
                <w:rFonts w:ascii="Calibri" w:hAnsi="Calibri"/>
                <w:color w:val="333333"/>
                <w:sz w:val="19"/>
              </w:rPr>
              <w:t>PASS (100% Cleared)</w:t>
            </w:r>
          </w:p>
        </w:tc>
      </w:tr>
      <w:tr>
        <w:tc>
          <w:tcPr>
            <w:tcW w:type="dxa" w:w="2880"/>
            <w:shd w:fill="F2F2F2"/>
            <w:tcMar>
              <w:top w:w="100" w:type="dxa"/>
              <w:bottom w:w="100" w:type="dxa"/>
              <w:left w:w="180" w:type="dxa"/>
              <w:right w:w="180" w:type="dxa"/>
            </w:tcMar>
          </w:tcPr>
          <w:p>
            <w:r>
              <w:rPr>
                <w:rFonts w:ascii="Calibri" w:hAnsi="Calibri"/>
                <w:color w:val="333333"/>
                <w:sz w:val="19"/>
              </w:rPr>
              <w:t>Missing Values (Nulls)</w:t>
            </w:r>
          </w:p>
        </w:tc>
        <w:tc>
          <w:tcPr>
            <w:tcW w:type="dxa" w:w="2160"/>
            <w:shd w:fill="F2F2F2"/>
            <w:tcMar>
              <w:top w:w="100" w:type="dxa"/>
              <w:bottom w:w="100" w:type="dxa"/>
              <w:left w:w="180" w:type="dxa"/>
              <w:right w:w="180" w:type="dxa"/>
            </w:tcMar>
          </w:tcPr>
          <w:p>
            <w:r>
              <w:rPr>
                <w:rFonts w:ascii="Calibri" w:hAnsi="Calibri"/>
                <w:color w:val="333333"/>
                <w:sz w:val="19"/>
              </w:rPr>
              <w:t>100</w:t>
            </w:r>
          </w:p>
        </w:tc>
        <w:tc>
          <w:tcPr>
            <w:tcW w:type="dxa" w:w="2160"/>
            <w:shd w:fill="F2F2F2"/>
            <w:tcMar>
              <w:top w:w="100" w:type="dxa"/>
              <w:bottom w:w="100" w:type="dxa"/>
              <w:left w:w="180" w:type="dxa"/>
              <w:right w:w="180" w:type="dxa"/>
            </w:tcMar>
          </w:tcPr>
          <w:p>
            <w:r>
              <w:rPr>
                <w:rFonts w:ascii="Calibri" w:hAnsi="Calibri"/>
                <w:color w:val="333333"/>
                <w:sz w:val="19"/>
              </w:rPr>
              <w:t>0</w:t>
            </w:r>
          </w:p>
        </w:tc>
        <w:tc>
          <w:tcPr>
            <w:tcW w:type="dxa" w:w="2160"/>
            <w:shd w:fill="F2F2F2"/>
            <w:tcMar>
              <w:top w:w="100" w:type="dxa"/>
              <w:bottom w:w="100" w:type="dxa"/>
              <w:left w:w="180" w:type="dxa"/>
              <w:right w:w="180" w:type="dxa"/>
            </w:tcMar>
          </w:tcPr>
          <w:p>
            <w:r>
              <w:rPr>
                <w:rFonts w:ascii="Calibri" w:hAnsi="Calibri"/>
                <w:color w:val="333333"/>
                <w:sz w:val="19"/>
              </w:rPr>
              <w:t>PASS (100% Imputed)</w:t>
            </w:r>
          </w:p>
        </w:tc>
      </w:tr>
    </w:tbl>
    <w:p>
      <w:pPr>
        <w:spacing w:after="120" w:line="276" w:lineRule="auto"/>
      </w:pPr>
      <w:r>
        <w:rPr>
          <w:rFonts w:ascii="Calibri" w:hAnsi="Calibri"/>
          <w:b w:val="0"/>
          <w:i/>
          <w:color w:val="333333"/>
          <w:sz w:val="21"/>
        </w:rPr>
        <w:t>Table 2: Data Quality Verification Audit (Before vs. After Cleaning)</w:t>
      </w:r>
    </w:p>
    <w:p>
      <w:pPr>
        <w:pStyle w:val="Heading1"/>
        <w:keepNext/>
        <w:spacing w:before="240" w:after="120"/>
      </w:pPr>
      <w:r>
        <w:rPr>
          <w:b/>
          <w:color w:val="1F4E79"/>
          <w:sz w:val="32"/>
        </w:rPr>
        <w:t>12. Exploratory Data Analysis (EDA)</w:t>
      </w:r>
    </w:p>
    <w:p>
      <w:pPr>
        <w:spacing w:after="120" w:line="276" w:lineRule="auto"/>
      </w:pPr>
      <w:r>
        <w:rPr>
          <w:rFonts w:ascii="Calibri" w:hAnsi="Calibri"/>
          <w:b w:val="0"/>
          <w:i w:val="0"/>
          <w:color w:val="333333"/>
          <w:sz w:val="21"/>
        </w:rPr>
        <w:t>Exploratory analysis demonstrates that student performance is shaped by a multifaceted combination of formative engagement, midterm benchmarks, and classroom attendance. As seen in Figure 1, final scores follow an approximately normal distribution centered at a mean of 61.40, while student attendance averages 67.53%.</w:t>
      </w:r>
    </w:p>
    <w:p>
      <w:pPr>
        <w:spacing w:before="200" w:after="80"/>
        <w:jc w:val="center"/>
      </w:pPr>
      <w:r>
        <w:drawing>
          <wp:inline xmlns:a="http://schemas.openxmlformats.org/drawingml/2006/main" xmlns:pic="http://schemas.openxmlformats.org/drawingml/2006/picture">
            <wp:extent cx="5303520" cy="1988820"/>
            <wp:docPr id="1" name="Picture 1"/>
            <wp:cNvGraphicFramePr>
              <a:graphicFrameLocks noChangeAspect="1"/>
            </wp:cNvGraphicFramePr>
            <a:graphic>
              <a:graphicData uri="http://schemas.openxmlformats.org/drawingml/2006/picture">
                <pic:pic>
                  <pic:nvPicPr>
                    <pic:cNvPr id="0" name="fig1_distributions.png"/>
                    <pic:cNvPicPr/>
                  </pic:nvPicPr>
                  <pic:blipFill>
                    <a:blip r:embed="rId9"/>
                    <a:stretch>
                      <a:fillRect/>
                    </a:stretch>
                  </pic:blipFill>
                  <pic:spPr>
                    <a:xfrm>
                      <a:off x="0" y="0"/>
                      <a:ext cx="5303520" cy="1988820"/>
                    </a:xfrm>
                    <a:prstGeom prst="rect"/>
                  </pic:spPr>
                </pic:pic>
              </a:graphicData>
            </a:graphic>
          </wp:inline>
        </w:drawing>
      </w:r>
    </w:p>
    <w:p>
      <w:pPr>
        <w:spacing w:after="280"/>
        <w:jc w:val="center"/>
      </w:pPr>
      <w:r>
        <w:rPr>
          <w:rFonts w:ascii="Calibri" w:hAnsi="Calibri"/>
          <w:i/>
          <w:color w:val="595959"/>
          <w:sz w:val="19"/>
        </w:rPr>
        <w:t>Figure 1: Univariate Distributions of Final Academic Scores and Student Attendance Rates</w:t>
      </w:r>
    </w:p>
    <w:p>
      <w:pPr>
        <w:spacing w:after="120" w:line="276" w:lineRule="auto"/>
      </w:pPr>
      <w:r>
        <w:rPr>
          <w:rFonts w:ascii="Calibri" w:hAnsi="Calibri"/>
          <w:b w:val="0"/>
          <w:i w:val="0"/>
          <w:color w:val="333333"/>
          <w:sz w:val="21"/>
        </w:rPr>
        <w:t>Figure 2 illustrates bivariate relationships between core academic inputs and final examination scores. Attendance and daily study hours both exhibit statistically significant positive associations with final outcomes.</w:t>
      </w:r>
    </w:p>
    <w:p>
      <w:pPr>
        <w:spacing w:before="200" w:after="80"/>
        <w:jc w:val="center"/>
      </w:pPr>
      <w:r>
        <w:drawing>
          <wp:inline xmlns:a="http://schemas.openxmlformats.org/drawingml/2006/main" xmlns:pic="http://schemas.openxmlformats.org/drawingml/2006/picture">
            <wp:extent cx="5303520" cy="2121408"/>
            <wp:docPr id="2" name="Picture 2"/>
            <wp:cNvGraphicFramePr>
              <a:graphicFrameLocks noChangeAspect="1"/>
            </wp:cNvGraphicFramePr>
            <a:graphic>
              <a:graphicData uri="http://schemas.openxmlformats.org/drawingml/2006/picture">
                <pic:pic>
                  <pic:nvPicPr>
                    <pic:cNvPr id="0" name="fig2_bivariate_relationships.png"/>
                    <pic:cNvPicPr/>
                  </pic:nvPicPr>
                  <pic:blipFill>
                    <a:blip r:embed="rId10"/>
                    <a:stretch>
                      <a:fillRect/>
                    </a:stretch>
                  </pic:blipFill>
                  <pic:spPr>
                    <a:xfrm>
                      <a:off x="0" y="0"/>
                      <a:ext cx="5303520" cy="2121408"/>
                    </a:xfrm>
                    <a:prstGeom prst="rect"/>
                  </pic:spPr>
                </pic:pic>
              </a:graphicData>
            </a:graphic>
          </wp:inline>
        </w:drawing>
      </w:r>
    </w:p>
    <w:p>
      <w:pPr>
        <w:spacing w:after="280"/>
        <w:jc w:val="center"/>
      </w:pPr>
      <w:r>
        <w:rPr>
          <w:rFonts w:ascii="Calibri" w:hAnsi="Calibri"/>
          <w:i/>
          <w:color w:val="595959"/>
          <w:sz w:val="19"/>
        </w:rPr>
        <w:t>Figure 2: Bivariate Scatter &amp; Linear Trend Relationships with Final Exam Scores</w:t>
      </w:r>
    </w:p>
    <w:p>
      <w:pPr>
        <w:spacing w:after="120" w:line="276" w:lineRule="auto"/>
      </w:pPr>
      <w:r>
        <w:rPr>
          <w:rFonts w:ascii="Calibri" w:hAnsi="Calibri"/>
          <w:b w:val="0"/>
          <w:i w:val="0"/>
          <w:color w:val="333333"/>
          <w:sz w:val="21"/>
        </w:rPr>
        <w:t>The inter-feature correlation matrix (Figure 3) highlights that midterm score, assignment score, and attendance percentage share the strongest co-movements with academic outcomes, whereas sleep hours exhibit a non-linear threshold effect below 6.0 hours.</w:t>
      </w:r>
    </w:p>
    <w:p>
      <w:pPr>
        <w:spacing w:before="200" w:after="80"/>
        <w:jc w:val="center"/>
      </w:pPr>
      <w:r>
        <w:drawing>
          <wp:inline xmlns:a="http://schemas.openxmlformats.org/drawingml/2006/main" xmlns:pic="http://schemas.openxmlformats.org/drawingml/2006/picture">
            <wp:extent cx="5303520" cy="4124960"/>
            <wp:docPr id="3" name="Picture 3"/>
            <wp:cNvGraphicFramePr>
              <a:graphicFrameLocks noChangeAspect="1"/>
            </wp:cNvGraphicFramePr>
            <a:graphic>
              <a:graphicData uri="http://schemas.openxmlformats.org/drawingml/2006/picture">
                <pic:pic>
                  <pic:nvPicPr>
                    <pic:cNvPr id="0" name="fig3_correlation_matrix.png"/>
                    <pic:cNvPicPr/>
                  </pic:nvPicPr>
                  <pic:blipFill>
                    <a:blip r:embed="rId11"/>
                    <a:stretch>
                      <a:fillRect/>
                    </a:stretch>
                  </pic:blipFill>
                  <pic:spPr>
                    <a:xfrm>
                      <a:off x="0" y="0"/>
                      <a:ext cx="5303520" cy="4124960"/>
                    </a:xfrm>
                    <a:prstGeom prst="rect"/>
                  </pic:spPr>
                </pic:pic>
              </a:graphicData>
            </a:graphic>
          </wp:inline>
        </w:drawing>
      </w:r>
    </w:p>
    <w:p>
      <w:pPr>
        <w:spacing w:after="280"/>
        <w:jc w:val="center"/>
      </w:pPr>
      <w:r>
        <w:rPr>
          <w:rFonts w:ascii="Calibri" w:hAnsi="Calibri"/>
          <w:i/>
          <w:color w:val="595959"/>
          <w:sz w:val="19"/>
        </w:rPr>
        <w:t>Figure 3: Correlation Heatmap Across Continuous Student Behavioral &amp; Academic Attributes</w:t>
      </w:r>
    </w:p>
    <w:p>
      <w:pPr>
        <w:pStyle w:val="Heading1"/>
        <w:keepNext/>
        <w:spacing w:before="240" w:after="120"/>
      </w:pPr>
      <w:r>
        <w:rPr>
          <w:b/>
          <w:color w:val="1F4E79"/>
          <w:sz w:val="32"/>
        </w:rPr>
        <w:t>13. Institutional KPI Analysis</w:t>
      </w:r>
    </w:p>
    <w:p>
      <w:pPr>
        <w:spacing w:after="120" w:line="276" w:lineRule="auto"/>
      </w:pPr>
      <w:r>
        <w:rPr>
          <w:rFonts w:ascii="Calibri" w:hAnsi="Calibri"/>
          <w:b w:val="0"/>
          <w:i w:val="0"/>
          <w:color w:val="333333"/>
          <w:sz w:val="21"/>
        </w:rPr>
        <w:t>Core Key Performance Indicators were computed programmatically from the cleaned dataset. These metrics provide administrative leadership with an instant executive snapshot of cohort health.</w:t>
      </w:r>
    </w:p>
    <w:tbl>
      <w:tblPr>
        <w:tblW w:type="auto" w:w="0"/>
        <w:jc w:val="center"/>
        <w:tblLook w:firstColumn="1" w:firstRow="1" w:lastColumn="0" w:lastRow="0" w:noHBand="0" w:noVBand="1" w:val="04A0"/>
      </w:tblPr>
      <w:tblGrid>
        <w:gridCol w:w="2340"/>
        <w:gridCol w:w="2340"/>
        <w:gridCol w:w="2340"/>
        <w:gridCol w:w="2340"/>
      </w:tblGrid>
      <w:tr>
        <w:tc>
          <w:tcPr>
            <w:tcW w:type="dxa" w:w="3168"/>
            <w:shd w:fill="1F4E79"/>
            <w:tcMar>
              <w:top w:w="140" w:type="dxa"/>
              <w:bottom w:w="140" w:type="dxa"/>
              <w:left w:w="180" w:type="dxa"/>
              <w:right w:w="180" w:type="dxa"/>
            </w:tcMar>
          </w:tcPr>
          <w:p>
            <w:pPr>
              <w:jc w:val="left"/>
            </w:pPr>
            <w:r>
              <w:rPr>
                <w:rFonts w:ascii="Calibri" w:hAnsi="Calibri"/>
                <w:b/>
                <w:color w:val="FFFFFF"/>
                <w:sz w:val="19"/>
              </w:rPr>
              <w:t>Key Performance Indicator</w:t>
            </w:r>
          </w:p>
        </w:tc>
        <w:tc>
          <w:tcPr>
            <w:tcW w:type="dxa" w:w="2016"/>
            <w:shd w:fill="1F4E79"/>
            <w:tcMar>
              <w:top w:w="140" w:type="dxa"/>
              <w:bottom w:w="140" w:type="dxa"/>
              <w:left w:w="180" w:type="dxa"/>
              <w:right w:w="180" w:type="dxa"/>
            </w:tcMar>
          </w:tcPr>
          <w:p>
            <w:pPr>
              <w:jc w:val="left"/>
            </w:pPr>
            <w:r>
              <w:rPr>
                <w:rFonts w:ascii="Calibri" w:hAnsi="Calibri"/>
                <w:b/>
                <w:color w:val="FFFFFF"/>
                <w:sz w:val="19"/>
              </w:rPr>
              <w:t>Computed Value</w:t>
            </w:r>
          </w:p>
        </w:tc>
        <w:tc>
          <w:tcPr>
            <w:tcW w:type="dxa" w:w="2016"/>
            <w:shd w:fill="1F4E79"/>
            <w:tcMar>
              <w:top w:w="140" w:type="dxa"/>
              <w:bottom w:w="140" w:type="dxa"/>
              <w:left w:w="180" w:type="dxa"/>
              <w:right w:w="180" w:type="dxa"/>
            </w:tcMar>
          </w:tcPr>
          <w:p>
            <w:pPr>
              <w:jc w:val="left"/>
            </w:pPr>
            <w:r>
              <w:rPr>
                <w:rFonts w:ascii="Calibri" w:hAnsi="Calibri"/>
                <w:b/>
                <w:color w:val="FFFFFF"/>
                <w:sz w:val="19"/>
              </w:rPr>
              <w:t>Institutional Benchmark</w:t>
            </w:r>
          </w:p>
        </w:tc>
        <w:tc>
          <w:tcPr>
            <w:tcW w:type="dxa" w:w="2160"/>
            <w:shd w:fill="1F4E79"/>
            <w:tcMar>
              <w:top w:w="140" w:type="dxa"/>
              <w:bottom w:w="140" w:type="dxa"/>
              <w:left w:w="180" w:type="dxa"/>
              <w:right w:w="180" w:type="dxa"/>
            </w:tcMar>
          </w:tcPr>
          <w:p>
            <w:pPr>
              <w:jc w:val="left"/>
            </w:pPr>
            <w:r>
              <w:rPr>
                <w:rFonts w:ascii="Calibri" w:hAnsi="Calibri"/>
                <w:b/>
                <w:color w:val="FFFFFF"/>
                <w:sz w:val="19"/>
              </w:rPr>
              <w:t>Strategic Health Status</w:t>
            </w:r>
          </w:p>
        </w:tc>
      </w:tr>
      <w:tr>
        <w:tc>
          <w:tcPr>
            <w:tcW w:type="dxa" w:w="3168"/>
            <w:shd w:fill="FFFFFF"/>
            <w:tcMar>
              <w:top w:w="100" w:type="dxa"/>
              <w:bottom w:w="100" w:type="dxa"/>
              <w:left w:w="180" w:type="dxa"/>
              <w:right w:w="180" w:type="dxa"/>
            </w:tcMar>
          </w:tcPr>
          <w:p>
            <w:r>
              <w:rPr>
                <w:rFonts w:ascii="Calibri" w:hAnsi="Calibri"/>
                <w:color w:val="333333"/>
                <w:sz w:val="19"/>
              </w:rPr>
              <w:t>Average Final Score</w:t>
            </w:r>
          </w:p>
        </w:tc>
        <w:tc>
          <w:tcPr>
            <w:tcW w:type="dxa" w:w="2016"/>
            <w:shd w:fill="FFFFFF"/>
            <w:tcMar>
              <w:top w:w="100" w:type="dxa"/>
              <w:bottom w:w="100" w:type="dxa"/>
              <w:left w:w="180" w:type="dxa"/>
              <w:right w:w="180" w:type="dxa"/>
            </w:tcMar>
          </w:tcPr>
          <w:p>
            <w:r>
              <w:rPr>
                <w:rFonts w:ascii="Calibri" w:hAnsi="Calibri"/>
                <w:color w:val="333333"/>
                <w:sz w:val="19"/>
              </w:rPr>
              <w:t>61.40 / 100</w:t>
            </w:r>
          </w:p>
        </w:tc>
        <w:tc>
          <w:tcPr>
            <w:tcW w:type="dxa" w:w="2016"/>
            <w:shd w:fill="FFFFFF"/>
            <w:tcMar>
              <w:top w:w="100" w:type="dxa"/>
              <w:bottom w:w="100" w:type="dxa"/>
              <w:left w:w="180" w:type="dxa"/>
              <w:right w:w="180" w:type="dxa"/>
            </w:tcMar>
          </w:tcPr>
          <w:p>
            <w:r>
              <w:rPr>
                <w:rFonts w:ascii="Calibri" w:hAnsi="Calibri"/>
                <w:color w:val="333333"/>
                <w:sz w:val="19"/>
              </w:rPr>
              <w:t>&gt;= 65.00</w:t>
            </w:r>
          </w:p>
        </w:tc>
        <w:tc>
          <w:tcPr>
            <w:tcW w:type="dxa" w:w="2160"/>
            <w:shd w:fill="FFFFFF"/>
            <w:tcMar>
              <w:top w:w="100" w:type="dxa"/>
              <w:bottom w:w="100" w:type="dxa"/>
              <w:left w:w="180" w:type="dxa"/>
              <w:right w:w="180" w:type="dxa"/>
            </w:tcMar>
          </w:tcPr>
          <w:p>
            <w:r>
              <w:rPr>
                <w:rFonts w:ascii="Calibri" w:hAnsi="Calibri"/>
                <w:color w:val="333333"/>
                <w:sz w:val="19"/>
              </w:rPr>
              <w:t>Moderate (Near Target)</w:t>
            </w:r>
          </w:p>
        </w:tc>
      </w:tr>
      <w:tr>
        <w:tc>
          <w:tcPr>
            <w:tcW w:type="dxa" w:w="3168"/>
            <w:shd w:fill="F2F2F2"/>
            <w:tcMar>
              <w:top w:w="100" w:type="dxa"/>
              <w:bottom w:w="100" w:type="dxa"/>
              <w:left w:w="180" w:type="dxa"/>
              <w:right w:w="180" w:type="dxa"/>
            </w:tcMar>
          </w:tcPr>
          <w:p>
            <w:r>
              <w:rPr>
                <w:rFonts w:ascii="Calibri" w:hAnsi="Calibri"/>
                <w:color w:val="333333"/>
                <w:sz w:val="19"/>
              </w:rPr>
              <w:t>Average Attendance Rate</w:t>
            </w:r>
          </w:p>
        </w:tc>
        <w:tc>
          <w:tcPr>
            <w:tcW w:type="dxa" w:w="2016"/>
            <w:shd w:fill="F2F2F2"/>
            <w:tcMar>
              <w:top w:w="100" w:type="dxa"/>
              <w:bottom w:w="100" w:type="dxa"/>
              <w:left w:w="180" w:type="dxa"/>
              <w:right w:w="180" w:type="dxa"/>
            </w:tcMar>
          </w:tcPr>
          <w:p>
            <w:r>
              <w:rPr>
                <w:rFonts w:ascii="Calibri" w:hAnsi="Calibri"/>
                <w:color w:val="333333"/>
                <w:sz w:val="19"/>
              </w:rPr>
              <w:t>67.53%</w:t>
            </w:r>
          </w:p>
        </w:tc>
        <w:tc>
          <w:tcPr>
            <w:tcW w:type="dxa" w:w="2016"/>
            <w:shd w:fill="F2F2F2"/>
            <w:tcMar>
              <w:top w:w="100" w:type="dxa"/>
              <w:bottom w:w="100" w:type="dxa"/>
              <w:left w:w="180" w:type="dxa"/>
              <w:right w:w="180" w:type="dxa"/>
            </w:tcMar>
          </w:tcPr>
          <w:p>
            <w:r>
              <w:rPr>
                <w:rFonts w:ascii="Calibri" w:hAnsi="Calibri"/>
                <w:color w:val="333333"/>
                <w:sz w:val="19"/>
              </w:rPr>
              <w:t>&gt;= 75.00%</w:t>
            </w:r>
          </w:p>
        </w:tc>
        <w:tc>
          <w:tcPr>
            <w:tcW w:type="dxa" w:w="2160"/>
            <w:shd w:fill="F2F2F2"/>
            <w:tcMar>
              <w:top w:w="100" w:type="dxa"/>
              <w:bottom w:w="100" w:type="dxa"/>
              <w:left w:w="180" w:type="dxa"/>
              <w:right w:w="180" w:type="dxa"/>
            </w:tcMar>
          </w:tcPr>
          <w:p>
            <w:r>
              <w:rPr>
                <w:rFonts w:ascii="Calibri" w:hAnsi="Calibri"/>
                <w:color w:val="333333"/>
                <w:sz w:val="19"/>
              </w:rPr>
              <w:t>Needs Focus (Intervention Required)</w:t>
            </w:r>
          </w:p>
        </w:tc>
      </w:tr>
      <w:tr>
        <w:tc>
          <w:tcPr>
            <w:tcW w:type="dxa" w:w="3168"/>
            <w:shd w:fill="FFFFFF"/>
            <w:tcMar>
              <w:top w:w="100" w:type="dxa"/>
              <w:bottom w:w="100" w:type="dxa"/>
              <w:left w:w="180" w:type="dxa"/>
              <w:right w:w="180" w:type="dxa"/>
            </w:tcMar>
          </w:tcPr>
          <w:p>
            <w:r>
              <w:rPr>
                <w:rFonts w:ascii="Calibri" w:hAnsi="Calibri"/>
                <w:color w:val="333333"/>
                <w:sz w:val="19"/>
              </w:rPr>
              <w:t>Average Daily Study Hours</w:t>
            </w:r>
          </w:p>
        </w:tc>
        <w:tc>
          <w:tcPr>
            <w:tcW w:type="dxa" w:w="2016"/>
            <w:shd w:fill="FFFFFF"/>
            <w:tcMar>
              <w:top w:w="100" w:type="dxa"/>
              <w:bottom w:w="100" w:type="dxa"/>
              <w:left w:w="180" w:type="dxa"/>
              <w:right w:w="180" w:type="dxa"/>
            </w:tcMar>
          </w:tcPr>
          <w:p>
            <w:r>
              <w:rPr>
                <w:rFonts w:ascii="Calibri" w:hAnsi="Calibri"/>
                <w:color w:val="333333"/>
                <w:sz w:val="19"/>
              </w:rPr>
              <w:t>3.62 hrs/day</w:t>
            </w:r>
          </w:p>
        </w:tc>
        <w:tc>
          <w:tcPr>
            <w:tcW w:type="dxa" w:w="2016"/>
            <w:shd w:fill="FFFFFF"/>
            <w:tcMar>
              <w:top w:w="100" w:type="dxa"/>
              <w:bottom w:w="100" w:type="dxa"/>
              <w:left w:w="180" w:type="dxa"/>
              <w:right w:w="180" w:type="dxa"/>
            </w:tcMar>
          </w:tcPr>
          <w:p>
            <w:r>
              <w:rPr>
                <w:rFonts w:ascii="Calibri" w:hAnsi="Calibri"/>
                <w:color w:val="333333"/>
                <w:sz w:val="19"/>
              </w:rPr>
              <w:t>&gt;= 3.50 hrs</w:t>
            </w:r>
          </w:p>
        </w:tc>
        <w:tc>
          <w:tcPr>
            <w:tcW w:type="dxa" w:w="2160"/>
            <w:shd w:fill="FFFFFF"/>
            <w:tcMar>
              <w:top w:w="100" w:type="dxa"/>
              <w:bottom w:w="100" w:type="dxa"/>
              <w:left w:w="180" w:type="dxa"/>
              <w:right w:w="180" w:type="dxa"/>
            </w:tcMar>
          </w:tcPr>
          <w:p>
            <w:r>
              <w:rPr>
                <w:rFonts w:ascii="Calibri" w:hAnsi="Calibri"/>
                <w:color w:val="333333"/>
                <w:sz w:val="19"/>
              </w:rPr>
              <w:t>Target Met</w:t>
            </w:r>
          </w:p>
        </w:tc>
      </w:tr>
      <w:tr>
        <w:tc>
          <w:tcPr>
            <w:tcW w:type="dxa" w:w="3168"/>
            <w:shd w:fill="F2F2F2"/>
            <w:tcMar>
              <w:top w:w="100" w:type="dxa"/>
              <w:bottom w:w="100" w:type="dxa"/>
              <w:left w:w="180" w:type="dxa"/>
              <w:right w:w="180" w:type="dxa"/>
            </w:tcMar>
          </w:tcPr>
          <w:p>
            <w:r>
              <w:rPr>
                <w:rFonts w:ascii="Calibri" w:hAnsi="Calibri"/>
                <w:color w:val="333333"/>
                <w:sz w:val="19"/>
              </w:rPr>
              <w:t>High-Performing Students (Score &gt;= 80)</w:t>
            </w:r>
          </w:p>
        </w:tc>
        <w:tc>
          <w:tcPr>
            <w:tcW w:type="dxa" w:w="2016"/>
            <w:shd w:fill="F2F2F2"/>
            <w:tcMar>
              <w:top w:w="100" w:type="dxa"/>
              <w:bottom w:w="100" w:type="dxa"/>
              <w:left w:w="180" w:type="dxa"/>
              <w:right w:w="180" w:type="dxa"/>
            </w:tcMar>
          </w:tcPr>
          <w:p>
            <w:r>
              <w:rPr>
                <w:rFonts w:ascii="Calibri" w:hAnsi="Calibri"/>
                <w:color w:val="333333"/>
                <w:sz w:val="19"/>
              </w:rPr>
              <w:t>7.66%</w:t>
            </w:r>
          </w:p>
        </w:tc>
        <w:tc>
          <w:tcPr>
            <w:tcW w:type="dxa" w:w="2016"/>
            <w:shd w:fill="F2F2F2"/>
            <w:tcMar>
              <w:top w:w="100" w:type="dxa"/>
              <w:bottom w:w="100" w:type="dxa"/>
              <w:left w:w="180" w:type="dxa"/>
              <w:right w:w="180" w:type="dxa"/>
            </w:tcMar>
          </w:tcPr>
          <w:p>
            <w:r>
              <w:rPr>
                <w:rFonts w:ascii="Calibri" w:hAnsi="Calibri"/>
                <w:color w:val="333333"/>
                <w:sz w:val="19"/>
              </w:rPr>
              <w:t>&gt;= 10.00%</w:t>
            </w:r>
          </w:p>
        </w:tc>
        <w:tc>
          <w:tcPr>
            <w:tcW w:type="dxa" w:w="2160"/>
            <w:shd w:fill="F2F2F2"/>
            <w:tcMar>
              <w:top w:w="100" w:type="dxa"/>
              <w:bottom w:w="100" w:type="dxa"/>
              <w:left w:w="180" w:type="dxa"/>
              <w:right w:w="180" w:type="dxa"/>
            </w:tcMar>
          </w:tcPr>
          <w:p>
            <w:r>
              <w:rPr>
                <w:rFonts w:ascii="Calibri" w:hAnsi="Calibri"/>
                <w:color w:val="333333"/>
                <w:sz w:val="19"/>
              </w:rPr>
              <w:t>Near Benchmark</w:t>
            </w:r>
          </w:p>
        </w:tc>
      </w:tr>
      <w:tr>
        <w:tc>
          <w:tcPr>
            <w:tcW w:type="dxa" w:w="3168"/>
            <w:shd w:fill="FFFFFF"/>
            <w:tcMar>
              <w:top w:w="100" w:type="dxa"/>
              <w:bottom w:w="100" w:type="dxa"/>
              <w:left w:w="180" w:type="dxa"/>
              <w:right w:w="180" w:type="dxa"/>
            </w:tcMar>
          </w:tcPr>
          <w:p>
            <w:r>
              <w:rPr>
                <w:rFonts w:ascii="Calibri" w:hAnsi="Calibri"/>
                <w:color w:val="333333"/>
                <w:sz w:val="19"/>
              </w:rPr>
              <w:t>High-Risk Student Cohort</w:t>
            </w:r>
          </w:p>
        </w:tc>
        <w:tc>
          <w:tcPr>
            <w:tcW w:type="dxa" w:w="2016"/>
            <w:shd w:fill="FFFFFF"/>
            <w:tcMar>
              <w:top w:w="100" w:type="dxa"/>
              <w:bottom w:w="100" w:type="dxa"/>
              <w:left w:w="180" w:type="dxa"/>
              <w:right w:w="180" w:type="dxa"/>
            </w:tcMar>
          </w:tcPr>
          <w:p>
            <w:r>
              <w:rPr>
                <w:rFonts w:ascii="Calibri" w:hAnsi="Calibri"/>
                <w:color w:val="333333"/>
                <w:sz w:val="19"/>
              </w:rPr>
              <w:t>17.65%</w:t>
            </w:r>
          </w:p>
        </w:tc>
        <w:tc>
          <w:tcPr>
            <w:tcW w:type="dxa" w:w="2016"/>
            <w:shd w:fill="FFFFFF"/>
            <w:tcMar>
              <w:top w:w="100" w:type="dxa"/>
              <w:bottom w:w="100" w:type="dxa"/>
              <w:left w:w="180" w:type="dxa"/>
              <w:right w:w="180" w:type="dxa"/>
            </w:tcMar>
          </w:tcPr>
          <w:p>
            <w:r>
              <w:rPr>
                <w:rFonts w:ascii="Calibri" w:hAnsi="Calibri"/>
                <w:color w:val="333333"/>
                <w:sz w:val="19"/>
              </w:rPr>
              <w:t>&lt;= 15.00%</w:t>
            </w:r>
          </w:p>
        </w:tc>
        <w:tc>
          <w:tcPr>
            <w:tcW w:type="dxa" w:w="2160"/>
            <w:shd w:fill="FFFFFF"/>
            <w:tcMar>
              <w:top w:w="100" w:type="dxa"/>
              <w:bottom w:w="100" w:type="dxa"/>
              <w:left w:w="180" w:type="dxa"/>
              <w:right w:w="180" w:type="dxa"/>
            </w:tcMar>
          </w:tcPr>
          <w:p>
            <w:r>
              <w:rPr>
                <w:rFonts w:ascii="Calibri" w:hAnsi="Calibri"/>
                <w:color w:val="333333"/>
                <w:sz w:val="19"/>
              </w:rPr>
              <w:t>Elevated (Immediate Action Required)</w:t>
            </w:r>
          </w:p>
        </w:tc>
      </w:tr>
      <w:tr>
        <w:tc>
          <w:tcPr>
            <w:tcW w:type="dxa" w:w="3168"/>
            <w:shd w:fill="F2F2F2"/>
            <w:tcMar>
              <w:top w:w="100" w:type="dxa"/>
              <w:bottom w:w="100" w:type="dxa"/>
              <w:left w:w="180" w:type="dxa"/>
              <w:right w:w="180" w:type="dxa"/>
            </w:tcMar>
          </w:tcPr>
          <w:p>
            <w:r>
              <w:rPr>
                <w:rFonts w:ascii="Calibri" w:hAnsi="Calibri"/>
                <w:color w:val="333333"/>
                <w:sz w:val="19"/>
              </w:rPr>
              <w:t>Average Assignment Score</w:t>
            </w:r>
          </w:p>
        </w:tc>
        <w:tc>
          <w:tcPr>
            <w:tcW w:type="dxa" w:w="2016"/>
            <w:shd w:fill="F2F2F2"/>
            <w:tcMar>
              <w:top w:w="100" w:type="dxa"/>
              <w:bottom w:w="100" w:type="dxa"/>
              <w:left w:w="180" w:type="dxa"/>
              <w:right w:w="180" w:type="dxa"/>
            </w:tcMar>
          </w:tcPr>
          <w:p>
            <w:r>
              <w:rPr>
                <w:rFonts w:ascii="Calibri" w:hAnsi="Calibri"/>
                <w:color w:val="333333"/>
                <w:sz w:val="19"/>
              </w:rPr>
              <w:t>53.59 / 100</w:t>
            </w:r>
          </w:p>
        </w:tc>
        <w:tc>
          <w:tcPr>
            <w:tcW w:type="dxa" w:w="2016"/>
            <w:shd w:fill="F2F2F2"/>
            <w:tcMar>
              <w:top w:w="100" w:type="dxa"/>
              <w:bottom w:w="100" w:type="dxa"/>
              <w:left w:w="180" w:type="dxa"/>
              <w:right w:w="180" w:type="dxa"/>
            </w:tcMar>
          </w:tcPr>
          <w:p>
            <w:r>
              <w:rPr>
                <w:rFonts w:ascii="Calibri" w:hAnsi="Calibri"/>
                <w:color w:val="333333"/>
                <w:sz w:val="19"/>
              </w:rPr>
              <w:t>&gt;= 60.00</w:t>
            </w:r>
          </w:p>
        </w:tc>
        <w:tc>
          <w:tcPr>
            <w:tcW w:type="dxa" w:w="2160"/>
            <w:shd w:fill="F2F2F2"/>
            <w:tcMar>
              <w:top w:w="100" w:type="dxa"/>
              <w:bottom w:w="100" w:type="dxa"/>
              <w:left w:w="180" w:type="dxa"/>
              <w:right w:w="180" w:type="dxa"/>
            </w:tcMar>
          </w:tcPr>
          <w:p>
            <w:r>
              <w:rPr>
                <w:rFonts w:ascii="Calibri" w:hAnsi="Calibri"/>
                <w:color w:val="333333"/>
                <w:sz w:val="19"/>
              </w:rPr>
              <w:t>Needs Focus</w:t>
            </w:r>
          </w:p>
        </w:tc>
      </w:tr>
      <w:tr>
        <w:tc>
          <w:tcPr>
            <w:tcW w:type="dxa" w:w="3168"/>
            <w:shd w:fill="FFFFFF"/>
            <w:tcMar>
              <w:top w:w="100" w:type="dxa"/>
              <w:bottom w:w="100" w:type="dxa"/>
              <w:left w:w="180" w:type="dxa"/>
              <w:right w:w="180" w:type="dxa"/>
            </w:tcMar>
          </w:tcPr>
          <w:p>
            <w:r>
              <w:rPr>
                <w:rFonts w:ascii="Calibri" w:hAnsi="Calibri"/>
                <w:color w:val="333333"/>
                <w:sz w:val="19"/>
              </w:rPr>
              <w:t>Average Midterm Score</w:t>
            </w:r>
          </w:p>
        </w:tc>
        <w:tc>
          <w:tcPr>
            <w:tcW w:type="dxa" w:w="2016"/>
            <w:shd w:fill="FFFFFF"/>
            <w:tcMar>
              <w:top w:w="100" w:type="dxa"/>
              <w:bottom w:w="100" w:type="dxa"/>
              <w:left w:w="180" w:type="dxa"/>
              <w:right w:w="180" w:type="dxa"/>
            </w:tcMar>
          </w:tcPr>
          <w:p>
            <w:r>
              <w:rPr>
                <w:rFonts w:ascii="Calibri" w:hAnsi="Calibri"/>
                <w:color w:val="333333"/>
                <w:sz w:val="19"/>
              </w:rPr>
              <w:t>54.78 / 100</w:t>
            </w:r>
          </w:p>
        </w:tc>
        <w:tc>
          <w:tcPr>
            <w:tcW w:type="dxa" w:w="2016"/>
            <w:shd w:fill="FFFFFF"/>
            <w:tcMar>
              <w:top w:w="100" w:type="dxa"/>
              <w:bottom w:w="100" w:type="dxa"/>
              <w:left w:w="180" w:type="dxa"/>
              <w:right w:w="180" w:type="dxa"/>
            </w:tcMar>
          </w:tcPr>
          <w:p>
            <w:r>
              <w:rPr>
                <w:rFonts w:ascii="Calibri" w:hAnsi="Calibri"/>
                <w:color w:val="333333"/>
                <w:sz w:val="19"/>
              </w:rPr>
              <w:t>&gt;= 60.00</w:t>
            </w:r>
          </w:p>
        </w:tc>
        <w:tc>
          <w:tcPr>
            <w:tcW w:type="dxa" w:w="2160"/>
            <w:shd w:fill="FFFFFF"/>
            <w:tcMar>
              <w:top w:w="100" w:type="dxa"/>
              <w:bottom w:w="100" w:type="dxa"/>
              <w:left w:w="180" w:type="dxa"/>
              <w:right w:w="180" w:type="dxa"/>
            </w:tcMar>
          </w:tcPr>
          <w:p>
            <w:r>
              <w:rPr>
                <w:rFonts w:ascii="Calibri" w:hAnsi="Calibri"/>
                <w:color w:val="333333"/>
                <w:sz w:val="19"/>
              </w:rPr>
              <w:t>Needs Focus</w:t>
            </w:r>
          </w:p>
        </w:tc>
      </w:tr>
      <w:tr>
        <w:tc>
          <w:tcPr>
            <w:tcW w:type="dxa" w:w="3168"/>
            <w:shd w:fill="F2F2F2"/>
            <w:tcMar>
              <w:top w:w="100" w:type="dxa"/>
              <w:bottom w:w="100" w:type="dxa"/>
              <w:left w:w="180" w:type="dxa"/>
              <w:right w:w="180" w:type="dxa"/>
            </w:tcMar>
          </w:tcPr>
          <w:p>
            <w:r>
              <w:rPr>
                <w:rFonts w:ascii="Calibri" w:hAnsi="Calibri"/>
                <w:color w:val="333333"/>
                <w:sz w:val="19"/>
              </w:rPr>
              <w:t>Average Historical Score</w:t>
            </w:r>
          </w:p>
        </w:tc>
        <w:tc>
          <w:tcPr>
            <w:tcW w:type="dxa" w:w="2016"/>
            <w:shd w:fill="F2F2F2"/>
            <w:tcMar>
              <w:top w:w="100" w:type="dxa"/>
              <w:bottom w:w="100" w:type="dxa"/>
              <w:left w:w="180" w:type="dxa"/>
              <w:right w:w="180" w:type="dxa"/>
            </w:tcMar>
          </w:tcPr>
          <w:p>
            <w:r>
              <w:rPr>
                <w:rFonts w:ascii="Calibri" w:hAnsi="Calibri"/>
                <w:color w:val="333333"/>
                <w:sz w:val="19"/>
              </w:rPr>
              <w:t>67.61 / 100</w:t>
            </w:r>
          </w:p>
        </w:tc>
        <w:tc>
          <w:tcPr>
            <w:tcW w:type="dxa" w:w="2016"/>
            <w:shd w:fill="F2F2F2"/>
            <w:tcMar>
              <w:top w:w="100" w:type="dxa"/>
              <w:bottom w:w="100" w:type="dxa"/>
              <w:left w:w="180" w:type="dxa"/>
              <w:right w:w="180" w:type="dxa"/>
            </w:tcMar>
          </w:tcPr>
          <w:p>
            <w:r>
              <w:rPr>
                <w:rFonts w:ascii="Calibri" w:hAnsi="Calibri"/>
                <w:color w:val="333333"/>
                <w:sz w:val="19"/>
              </w:rPr>
              <w:t>&gt;= 65.00</w:t>
            </w:r>
          </w:p>
        </w:tc>
        <w:tc>
          <w:tcPr>
            <w:tcW w:type="dxa" w:w="2160"/>
            <w:shd w:fill="F2F2F2"/>
            <w:tcMar>
              <w:top w:w="100" w:type="dxa"/>
              <w:bottom w:w="100" w:type="dxa"/>
              <w:left w:w="180" w:type="dxa"/>
              <w:right w:w="180" w:type="dxa"/>
            </w:tcMar>
          </w:tcPr>
          <w:p>
            <w:r>
              <w:rPr>
                <w:rFonts w:ascii="Calibri" w:hAnsi="Calibri"/>
                <w:color w:val="333333"/>
                <w:sz w:val="19"/>
              </w:rPr>
              <w:t>Stable</w:t>
            </w:r>
          </w:p>
        </w:tc>
      </w:tr>
    </w:tbl>
    <w:p>
      <w:pPr>
        <w:spacing w:after="120" w:line="276" w:lineRule="auto"/>
      </w:pPr>
      <w:r>
        <w:rPr>
          <w:rFonts w:ascii="Calibri" w:hAnsi="Calibri"/>
          <w:b w:val="0"/>
          <w:i/>
          <w:color w:val="333333"/>
          <w:sz w:val="21"/>
        </w:rPr>
        <w:t>Table 3: Institutional Key Performance Indicator (KPI) Summary Dashboard</w:t>
      </w:r>
    </w:p>
    <w:p>
      <w:pPr>
        <w:pStyle w:val="Heading1"/>
        <w:keepNext/>
        <w:spacing w:before="240" w:after="120"/>
      </w:pPr>
      <w:r>
        <w:rPr>
          <w:b/>
          <w:color w:val="1F4E79"/>
          <w:sz w:val="32"/>
        </w:rPr>
        <w:t>14. Machine Learning Methodology</w:t>
      </w:r>
    </w:p>
    <w:p>
      <w:pPr>
        <w:spacing w:after="120" w:line="276" w:lineRule="auto"/>
      </w:pPr>
      <w:r>
        <w:rPr>
          <w:rFonts w:ascii="Calibri" w:hAnsi="Calibri"/>
          <w:b w:val="0"/>
          <w:i w:val="0"/>
          <w:color w:val="333333"/>
          <w:sz w:val="21"/>
        </w:rPr>
        <w:t>Target Leakage Prevention: To ensure clinical validity in an operational setting, student_id and final_score were strictly excluded from the predictive feature matrix X. The classification target academic_risk represents a multi-class problem comprising High Risk, Moderate Risk, and Low Risk.</w:t>
        <w:br/>
        <w:br/>
        <w:t>Preprocessing Architecture: Data was partitioned into 80% Training and 20% Testing subsets with stratification on academic_risk (random_state=42). A scikit-learn ColumnTransformer was fitted strictly on X_train using SimpleImputer (median for continuous, mode for categorical), StandardScaler for continuous normalization, and OneHotEncoder(drop='first', handle_unknown='ignore') for nominal dimensions.</w:t>
      </w:r>
    </w:p>
    <w:p>
      <w:pPr>
        <w:pStyle w:val="Heading1"/>
        <w:keepNext/>
        <w:spacing w:before="240" w:after="120"/>
      </w:pPr>
      <w:r>
        <w:rPr>
          <w:b/>
          <w:color w:val="1F4E79"/>
          <w:sz w:val="32"/>
        </w:rPr>
        <w:t>15. Model Comparison</w:t>
      </w:r>
    </w:p>
    <w:p>
      <w:pPr>
        <w:spacing w:after="120" w:line="276" w:lineRule="auto"/>
      </w:pPr>
      <w:r>
        <w:rPr>
          <w:rFonts w:ascii="Calibri" w:hAnsi="Calibri"/>
          <w:b w:val="0"/>
          <w:i w:val="0"/>
          <w:color w:val="333333"/>
          <w:sz w:val="21"/>
        </w:rPr>
        <w:t>Three distinct classification algorithms were benchmarked on identical stratified test partitions. Table 4 presents the verified evaluation metrics.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1F4E79"/>
            <w:tcMar>
              <w:top w:w="140" w:type="dxa"/>
              <w:bottom w:w="140" w:type="dxa"/>
              <w:left w:w="180" w:type="dxa"/>
              <w:right w:w="180" w:type="dxa"/>
            </w:tcMar>
          </w:tcPr>
          <w:p>
            <w:pPr>
              <w:jc w:val="left"/>
            </w:pPr>
            <w:r>
              <w:rPr>
                <w:rFonts w:ascii="Calibri" w:hAnsi="Calibri"/>
                <w:b/>
                <w:color w:val="FFFFFF"/>
                <w:sz w:val="19"/>
              </w:rPr>
              <w:t>Classification Model</w:t>
            </w:r>
          </w:p>
        </w:tc>
        <w:tc>
          <w:tcPr>
            <w:tcW w:type="dxa" w:w="1296"/>
            <w:shd w:fill="1F4E79"/>
            <w:tcMar>
              <w:top w:w="140" w:type="dxa"/>
              <w:bottom w:w="140" w:type="dxa"/>
              <w:left w:w="180" w:type="dxa"/>
              <w:right w:w="180" w:type="dxa"/>
            </w:tcMar>
          </w:tcPr>
          <w:p>
            <w:pPr>
              <w:jc w:val="left"/>
            </w:pPr>
            <w:r>
              <w:rPr>
                <w:rFonts w:ascii="Calibri" w:hAnsi="Calibri"/>
                <w:b/>
                <w:color w:val="FFFFFF"/>
                <w:sz w:val="19"/>
              </w:rPr>
              <w:t>Accuracy</w:t>
            </w:r>
          </w:p>
        </w:tc>
        <w:tc>
          <w:tcPr>
            <w:tcW w:type="dxa" w:w="1440"/>
            <w:shd w:fill="1F4E79"/>
            <w:tcMar>
              <w:top w:w="140" w:type="dxa"/>
              <w:bottom w:w="140" w:type="dxa"/>
              <w:left w:w="180" w:type="dxa"/>
              <w:right w:w="180" w:type="dxa"/>
            </w:tcMar>
          </w:tcPr>
          <w:p>
            <w:pPr>
              <w:jc w:val="left"/>
            </w:pPr>
            <w:r>
              <w:rPr>
                <w:rFonts w:ascii="Calibri" w:hAnsi="Calibri"/>
                <w:b/>
                <w:color w:val="FFFFFF"/>
                <w:sz w:val="19"/>
              </w:rPr>
              <w:t>Weighted Precision</w:t>
            </w:r>
          </w:p>
        </w:tc>
        <w:tc>
          <w:tcPr>
            <w:tcW w:type="dxa" w:w="1296"/>
            <w:shd w:fill="1F4E79"/>
            <w:tcMar>
              <w:top w:w="140" w:type="dxa"/>
              <w:bottom w:w="140" w:type="dxa"/>
              <w:left w:w="180" w:type="dxa"/>
              <w:right w:w="180" w:type="dxa"/>
            </w:tcMar>
          </w:tcPr>
          <w:p>
            <w:pPr>
              <w:jc w:val="left"/>
            </w:pPr>
            <w:r>
              <w:rPr>
                <w:rFonts w:ascii="Calibri" w:hAnsi="Calibri"/>
                <w:b/>
                <w:color w:val="FFFFFF"/>
                <w:sz w:val="19"/>
              </w:rPr>
              <w:t>Weighted Recall</w:t>
            </w:r>
          </w:p>
        </w:tc>
        <w:tc>
          <w:tcPr>
            <w:tcW w:type="dxa" w:w="1440"/>
            <w:shd w:fill="1F4E79"/>
            <w:tcMar>
              <w:top w:w="140" w:type="dxa"/>
              <w:bottom w:w="140" w:type="dxa"/>
              <w:left w:w="180" w:type="dxa"/>
              <w:right w:w="180" w:type="dxa"/>
            </w:tcMar>
          </w:tcPr>
          <w:p>
            <w:pPr>
              <w:jc w:val="left"/>
            </w:pPr>
            <w:r>
              <w:rPr>
                <w:rFonts w:ascii="Calibri" w:hAnsi="Calibri"/>
                <w:b/>
                <w:color w:val="FFFFFF"/>
                <w:sz w:val="19"/>
              </w:rPr>
              <w:t>Weighted F1-Score</w:t>
            </w:r>
          </w:p>
        </w:tc>
        <w:tc>
          <w:tcPr>
            <w:tcW w:type="dxa" w:w="1296"/>
            <w:shd w:fill="1F4E79"/>
            <w:tcMar>
              <w:top w:w="140" w:type="dxa"/>
              <w:bottom w:w="140" w:type="dxa"/>
              <w:left w:w="180" w:type="dxa"/>
              <w:right w:w="180" w:type="dxa"/>
            </w:tcMar>
          </w:tcPr>
          <w:p>
            <w:pPr>
              <w:jc w:val="left"/>
            </w:pPr>
            <w:r>
              <w:rPr>
                <w:rFonts w:ascii="Calibri" w:hAnsi="Calibri"/>
                <w:b/>
                <w:color w:val="FFFFFF"/>
                <w:sz w:val="19"/>
              </w:rPr>
              <w:t>ROC-AUC (OVR)</w:t>
            </w:r>
          </w:p>
        </w:tc>
      </w:tr>
      <w:tr>
        <w:tc>
          <w:tcPr>
            <w:tcW w:type="dxa" w:w="2592"/>
            <w:shd w:fill="FFFFFF"/>
            <w:tcMar>
              <w:top w:w="100" w:type="dxa"/>
              <w:bottom w:w="100" w:type="dxa"/>
              <w:left w:w="180" w:type="dxa"/>
              <w:right w:w="180" w:type="dxa"/>
            </w:tcMar>
          </w:tcPr>
          <w:p>
            <w:r>
              <w:rPr>
                <w:rFonts w:ascii="Calibri" w:hAnsi="Calibri"/>
                <w:color w:val="333333"/>
                <w:sz w:val="19"/>
              </w:rPr>
              <w:t>Logistic Regression</w:t>
            </w:r>
          </w:p>
        </w:tc>
        <w:tc>
          <w:tcPr>
            <w:tcW w:type="dxa" w:w="1296"/>
            <w:shd w:fill="FFFFFF"/>
            <w:tcMar>
              <w:top w:w="100" w:type="dxa"/>
              <w:bottom w:w="100" w:type="dxa"/>
              <w:left w:w="180" w:type="dxa"/>
              <w:right w:w="180" w:type="dxa"/>
            </w:tcMar>
          </w:tcPr>
          <w:p>
            <w:r>
              <w:rPr>
                <w:rFonts w:ascii="Calibri" w:hAnsi="Calibri"/>
                <w:color w:val="333333"/>
                <w:sz w:val="19"/>
              </w:rPr>
              <w:t>82.22%</w:t>
            </w:r>
          </w:p>
        </w:tc>
        <w:tc>
          <w:tcPr>
            <w:tcW w:type="dxa" w:w="1440"/>
            <w:shd w:fill="FFFFFF"/>
            <w:tcMar>
              <w:top w:w="100" w:type="dxa"/>
              <w:bottom w:w="100" w:type="dxa"/>
              <w:left w:w="180" w:type="dxa"/>
              <w:right w:w="180" w:type="dxa"/>
            </w:tcMar>
          </w:tcPr>
          <w:p>
            <w:r>
              <w:rPr>
                <w:rFonts w:ascii="Calibri" w:hAnsi="Calibri"/>
                <w:color w:val="333333"/>
                <w:sz w:val="19"/>
              </w:rPr>
              <w:t>82.25%</w:t>
            </w:r>
          </w:p>
        </w:tc>
        <w:tc>
          <w:tcPr>
            <w:tcW w:type="dxa" w:w="1296"/>
            <w:shd w:fill="FFFFFF"/>
            <w:tcMar>
              <w:top w:w="100" w:type="dxa"/>
              <w:bottom w:w="100" w:type="dxa"/>
              <w:left w:w="180" w:type="dxa"/>
              <w:right w:w="180" w:type="dxa"/>
            </w:tcMar>
          </w:tcPr>
          <w:p>
            <w:r>
              <w:rPr>
                <w:rFonts w:ascii="Calibri" w:hAnsi="Calibri"/>
                <w:color w:val="333333"/>
                <w:sz w:val="19"/>
              </w:rPr>
              <w:t>82.22%</w:t>
            </w:r>
          </w:p>
        </w:tc>
        <w:tc>
          <w:tcPr>
            <w:tcW w:type="dxa" w:w="1440"/>
            <w:shd w:fill="FFFFFF"/>
            <w:tcMar>
              <w:top w:w="100" w:type="dxa"/>
              <w:bottom w:w="100" w:type="dxa"/>
              <w:left w:w="180" w:type="dxa"/>
              <w:right w:w="180" w:type="dxa"/>
            </w:tcMar>
          </w:tcPr>
          <w:p>
            <w:r>
              <w:rPr>
                <w:rFonts w:ascii="Calibri" w:hAnsi="Calibri"/>
                <w:color w:val="333333"/>
                <w:sz w:val="19"/>
              </w:rPr>
              <w:t>81.98%</w:t>
            </w:r>
          </w:p>
        </w:tc>
        <w:tc>
          <w:tcPr>
            <w:tcW w:type="dxa" w:w="1296"/>
            <w:shd w:fill="FFFFFF"/>
            <w:tcMar>
              <w:top w:w="100" w:type="dxa"/>
              <w:bottom w:w="100" w:type="dxa"/>
              <w:left w:w="180" w:type="dxa"/>
              <w:right w:w="180" w:type="dxa"/>
            </w:tcMar>
          </w:tcPr>
          <w:p>
            <w:r>
              <w:rPr>
                <w:rFonts w:ascii="Calibri" w:hAnsi="Calibri"/>
                <w:color w:val="333333"/>
                <w:sz w:val="19"/>
              </w:rPr>
              <w:t>0.9313</w:t>
            </w:r>
          </w:p>
        </w:tc>
      </w:tr>
      <w:tr>
        <w:tc>
          <w:tcPr>
            <w:tcW w:type="dxa" w:w="2592"/>
            <w:shd w:fill="F2F2F2"/>
            <w:tcMar>
              <w:top w:w="100" w:type="dxa"/>
              <w:bottom w:w="100" w:type="dxa"/>
              <w:left w:w="180" w:type="dxa"/>
              <w:right w:w="180" w:type="dxa"/>
            </w:tcMar>
          </w:tcPr>
          <w:p>
            <w:r>
              <w:rPr>
                <w:rFonts w:ascii="Calibri" w:hAnsi="Calibri"/>
                <w:color w:val="333333"/>
                <w:sz w:val="19"/>
              </w:rPr>
              <w:t>Random Forest</w:t>
            </w:r>
          </w:p>
        </w:tc>
        <w:tc>
          <w:tcPr>
            <w:tcW w:type="dxa" w:w="1296"/>
            <w:shd w:fill="F2F2F2"/>
            <w:tcMar>
              <w:top w:w="100" w:type="dxa"/>
              <w:bottom w:w="100" w:type="dxa"/>
              <w:left w:w="180" w:type="dxa"/>
              <w:right w:w="180" w:type="dxa"/>
            </w:tcMar>
          </w:tcPr>
          <w:p>
            <w:r>
              <w:rPr>
                <w:rFonts w:ascii="Calibri" w:hAnsi="Calibri"/>
                <w:color w:val="333333"/>
                <w:sz w:val="19"/>
              </w:rPr>
              <w:t>83.21%</w:t>
            </w:r>
          </w:p>
        </w:tc>
        <w:tc>
          <w:tcPr>
            <w:tcW w:type="dxa" w:w="1440"/>
            <w:shd w:fill="F2F2F2"/>
            <w:tcMar>
              <w:top w:w="100" w:type="dxa"/>
              <w:bottom w:w="100" w:type="dxa"/>
              <w:left w:w="180" w:type="dxa"/>
              <w:right w:w="180" w:type="dxa"/>
            </w:tcMar>
          </w:tcPr>
          <w:p>
            <w:r>
              <w:rPr>
                <w:rFonts w:ascii="Calibri" w:hAnsi="Calibri"/>
                <w:color w:val="333333"/>
                <w:sz w:val="19"/>
              </w:rPr>
              <w:t>83.92%</w:t>
            </w:r>
          </w:p>
        </w:tc>
        <w:tc>
          <w:tcPr>
            <w:tcW w:type="dxa" w:w="1296"/>
            <w:shd w:fill="F2F2F2"/>
            <w:tcMar>
              <w:top w:w="100" w:type="dxa"/>
              <w:bottom w:w="100" w:type="dxa"/>
              <w:left w:w="180" w:type="dxa"/>
              <w:right w:w="180" w:type="dxa"/>
            </w:tcMar>
          </w:tcPr>
          <w:p>
            <w:r>
              <w:rPr>
                <w:rFonts w:ascii="Calibri" w:hAnsi="Calibri"/>
                <w:color w:val="333333"/>
                <w:sz w:val="19"/>
              </w:rPr>
              <w:t>83.21%</w:t>
            </w:r>
          </w:p>
        </w:tc>
        <w:tc>
          <w:tcPr>
            <w:tcW w:type="dxa" w:w="1440"/>
            <w:shd w:fill="F2F2F2"/>
            <w:tcMar>
              <w:top w:w="100" w:type="dxa"/>
              <w:bottom w:w="100" w:type="dxa"/>
              <w:left w:w="180" w:type="dxa"/>
              <w:right w:w="180" w:type="dxa"/>
            </w:tcMar>
          </w:tcPr>
          <w:p>
            <w:r>
              <w:rPr>
                <w:rFonts w:ascii="Calibri" w:hAnsi="Calibri"/>
                <w:color w:val="333333"/>
                <w:sz w:val="19"/>
              </w:rPr>
              <w:t>82.75%</w:t>
            </w:r>
          </w:p>
        </w:tc>
        <w:tc>
          <w:tcPr>
            <w:tcW w:type="dxa" w:w="1296"/>
            <w:shd w:fill="F2F2F2"/>
            <w:tcMar>
              <w:top w:w="100" w:type="dxa"/>
              <w:bottom w:w="100" w:type="dxa"/>
              <w:left w:w="180" w:type="dxa"/>
              <w:right w:w="180" w:type="dxa"/>
            </w:tcMar>
          </w:tcPr>
          <w:p>
            <w:r>
              <w:rPr>
                <w:rFonts w:ascii="Calibri" w:hAnsi="Calibri"/>
                <w:color w:val="333333"/>
                <w:sz w:val="19"/>
              </w:rPr>
              <w:t>0.9251</w:t>
            </w:r>
          </w:p>
        </w:tc>
      </w:tr>
      <w:tr>
        <w:tc>
          <w:tcPr>
            <w:tcW w:type="dxa" w:w="2592"/>
            <w:shd w:fill="FFFFFF"/>
            <w:tcMar>
              <w:top w:w="100" w:type="dxa"/>
              <w:bottom w:w="100" w:type="dxa"/>
              <w:left w:w="180" w:type="dxa"/>
              <w:right w:w="180" w:type="dxa"/>
            </w:tcMar>
          </w:tcPr>
          <w:p>
            <w:r>
              <w:rPr>
                <w:rFonts w:ascii="Calibri" w:hAnsi="Calibri"/>
                <w:color w:val="333333"/>
                <w:sz w:val="19"/>
              </w:rPr>
              <w:t>Gradient Boosting</w:t>
            </w:r>
          </w:p>
        </w:tc>
        <w:tc>
          <w:tcPr>
            <w:tcW w:type="dxa" w:w="1296"/>
            <w:shd w:fill="FFFFFF"/>
            <w:tcMar>
              <w:top w:w="100" w:type="dxa"/>
              <w:bottom w:w="100" w:type="dxa"/>
              <w:left w:w="180" w:type="dxa"/>
              <w:right w:w="180" w:type="dxa"/>
            </w:tcMar>
          </w:tcPr>
          <w:p>
            <w:r>
              <w:rPr>
                <w:rFonts w:ascii="Calibri" w:hAnsi="Calibri"/>
                <w:color w:val="333333"/>
                <w:sz w:val="19"/>
              </w:rPr>
              <w:t>78.77%</w:t>
            </w:r>
          </w:p>
        </w:tc>
        <w:tc>
          <w:tcPr>
            <w:tcW w:type="dxa" w:w="1440"/>
            <w:shd w:fill="FFFFFF"/>
            <w:tcMar>
              <w:top w:w="100" w:type="dxa"/>
              <w:bottom w:w="100" w:type="dxa"/>
              <w:left w:w="180" w:type="dxa"/>
              <w:right w:w="180" w:type="dxa"/>
            </w:tcMar>
          </w:tcPr>
          <w:p>
            <w:r>
              <w:rPr>
                <w:rFonts w:ascii="Calibri" w:hAnsi="Calibri"/>
                <w:color w:val="333333"/>
                <w:sz w:val="19"/>
              </w:rPr>
              <w:t>78.70%</w:t>
            </w:r>
          </w:p>
        </w:tc>
        <w:tc>
          <w:tcPr>
            <w:tcW w:type="dxa" w:w="1296"/>
            <w:shd w:fill="FFFFFF"/>
            <w:tcMar>
              <w:top w:w="100" w:type="dxa"/>
              <w:bottom w:w="100" w:type="dxa"/>
              <w:left w:w="180" w:type="dxa"/>
              <w:right w:w="180" w:type="dxa"/>
            </w:tcMar>
          </w:tcPr>
          <w:p>
            <w:r>
              <w:rPr>
                <w:rFonts w:ascii="Calibri" w:hAnsi="Calibri"/>
                <w:color w:val="333333"/>
                <w:sz w:val="19"/>
              </w:rPr>
              <w:t>78.77%</w:t>
            </w:r>
          </w:p>
        </w:tc>
        <w:tc>
          <w:tcPr>
            <w:tcW w:type="dxa" w:w="1440"/>
            <w:shd w:fill="FFFFFF"/>
            <w:tcMar>
              <w:top w:w="100" w:type="dxa"/>
              <w:bottom w:w="100" w:type="dxa"/>
              <w:left w:w="180" w:type="dxa"/>
              <w:right w:w="180" w:type="dxa"/>
            </w:tcMar>
          </w:tcPr>
          <w:p>
            <w:r>
              <w:rPr>
                <w:rFonts w:ascii="Calibri" w:hAnsi="Calibri"/>
                <w:color w:val="333333"/>
                <w:sz w:val="19"/>
              </w:rPr>
              <w:t>78.45%</w:t>
            </w:r>
          </w:p>
        </w:tc>
        <w:tc>
          <w:tcPr>
            <w:tcW w:type="dxa" w:w="1296"/>
            <w:shd w:fill="FFFFFF"/>
            <w:tcMar>
              <w:top w:w="100" w:type="dxa"/>
              <w:bottom w:w="100" w:type="dxa"/>
              <w:left w:w="180" w:type="dxa"/>
              <w:right w:w="180" w:type="dxa"/>
            </w:tcMar>
          </w:tcPr>
          <w:p>
            <w:r>
              <w:rPr>
                <w:rFonts w:ascii="Calibri" w:hAnsi="Calibri"/>
                <w:color w:val="333333"/>
                <w:sz w:val="19"/>
              </w:rPr>
              <w:t>0.9075</w:t>
            </w:r>
          </w:p>
        </w:tc>
      </w:tr>
    </w:tbl>
    <w:p>
      <w:pPr>
        <w:spacing w:after="120" w:line="276" w:lineRule="auto"/>
      </w:pPr>
      <w:r>
        <w:rPr>
          <w:rFonts w:ascii="Calibri" w:hAnsi="Calibri"/>
          <w:b w:val="0"/>
          <w:i/>
          <w:color w:val="333333"/>
          <w:sz w:val="21"/>
        </w:rPr>
        <w:t>Table 4: Comprehensive Multi-Class Classification Model Benchmark Comparison</w:t>
      </w:r>
    </w:p>
    <w:p>
      <w:pPr>
        <w:pStyle w:val="Heading1"/>
        <w:keepNext/>
        <w:spacing w:before="240" w:after="120"/>
      </w:pPr>
      <w:r>
        <w:rPr>
          <w:b/>
          <w:color w:val="1F4E79"/>
          <w:sz w:val="32"/>
        </w:rPr>
        <w:t>16. Detailed Model Evaluation</w:t>
      </w:r>
    </w:p>
    <w:p>
      <w:pPr>
        <w:spacing w:after="120" w:line="276" w:lineRule="auto"/>
      </w:pPr>
      <w:r>
        <w:rPr>
          <w:rFonts w:ascii="Calibri" w:hAnsi="Calibri"/>
          <w:b w:val="0"/>
          <w:i w:val="0"/>
          <w:color w:val="333333"/>
          <w:sz w:val="21"/>
        </w:rPr>
        <w:t>The Random Forest algorithm was chosen as the champion architecture based on superior Weighted F1-Score (82.75%) and Accuracy (83.21%). The ensemble of 150 bagged decision trees effectively navigates complex interactions between attendance and continuous assessments without suffering from linear boundary saturation.</w:t>
      </w:r>
    </w:p>
    <w:p>
      <w:pPr>
        <w:pStyle w:val="Heading1"/>
        <w:keepNext/>
        <w:spacing w:before="240" w:after="120"/>
      </w:pPr>
      <w:r>
        <w:rPr>
          <w:b/>
          <w:color w:val="1F4E79"/>
          <w:sz w:val="32"/>
        </w:rPr>
        <w:t>17. Academic Risk Prediction &amp; Confusion Matrix</w:t>
      </w:r>
    </w:p>
    <w:p>
      <w:pPr>
        <w:spacing w:after="120" w:line="276" w:lineRule="auto"/>
      </w:pPr>
      <w:r>
        <w:rPr>
          <w:rFonts w:ascii="Calibri" w:hAnsi="Calibri"/>
          <w:b w:val="0"/>
          <w:i w:val="0"/>
          <w:color w:val="333333"/>
          <w:sz w:val="21"/>
        </w:rPr>
        <w:t>Cohort Distribution: Across the full cleaned cohort (N = 2,023), 357 students (17.6%) fall into the High Risk category, 1,185 students (58.6%) occupy Moderate Risk, and 481 students (23.8%) remain at Low Risk (Figure 4).</w:t>
      </w:r>
    </w:p>
    <w:p>
      <w:pPr>
        <w:spacing w:before="200" w:after="80"/>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fig4_risk_distribution.png"/>
                    <pic:cNvPicPr/>
                  </pic:nvPicPr>
                  <pic:blipFill>
                    <a:blip r:embed="rId12"/>
                    <a:stretch>
                      <a:fillRect/>
                    </a:stretch>
                  </pic:blipFill>
                  <pic:spPr>
                    <a:xfrm>
                      <a:off x="0" y="0"/>
                      <a:ext cx="5303520" cy="3409406"/>
                    </a:xfrm>
                    <a:prstGeom prst="rect"/>
                  </pic:spPr>
                </pic:pic>
              </a:graphicData>
            </a:graphic>
          </wp:inline>
        </w:drawing>
      </w:r>
    </w:p>
    <w:p>
      <w:pPr>
        <w:spacing w:after="280"/>
        <w:jc w:val="center"/>
      </w:pPr>
      <w:r>
        <w:rPr>
          <w:rFonts w:ascii="Calibri" w:hAnsi="Calibri"/>
          <w:i/>
          <w:color w:val="595959"/>
          <w:sz w:val="19"/>
        </w:rPr>
        <w:t>Figure 4: Academic Risk Category Distribution Across Full Institutional Cohort</w:t>
      </w:r>
    </w:p>
    <w:p>
      <w:pPr>
        <w:spacing w:after="120" w:line="276" w:lineRule="auto"/>
      </w:pPr>
      <w:r>
        <w:rPr>
          <w:rFonts w:ascii="Calibri" w:hAnsi="Calibri"/>
          <w:b w:val="0"/>
          <w:i w:val="0"/>
          <w:color w:val="333333"/>
          <w:sz w:val="21"/>
        </w:rPr>
        <w:t>Figure 5 displays the Confusion Matrix on the independent test set (N = 405). The diagonal represents true positive predictions. Notably, false negative classifications for High Risk students (classifying a High Risk student as Low Risk) remain near zero, which is essential for preventing student dropout.</w:t>
      </w:r>
    </w:p>
    <w:p>
      <w:pPr>
        <w:spacing w:before="200" w:after="80"/>
        <w:jc w:val="center"/>
      </w:pPr>
      <w:r>
        <w:drawing>
          <wp:inline xmlns:a="http://schemas.openxmlformats.org/drawingml/2006/main" xmlns:pic="http://schemas.openxmlformats.org/drawingml/2006/picture">
            <wp:extent cx="5303520" cy="4079631"/>
            <wp:docPr id="5" name="Picture 5"/>
            <wp:cNvGraphicFramePr>
              <a:graphicFrameLocks noChangeAspect="1"/>
            </wp:cNvGraphicFramePr>
            <a:graphic>
              <a:graphicData uri="http://schemas.openxmlformats.org/drawingml/2006/picture">
                <pic:pic>
                  <pic:nvPicPr>
                    <pic:cNvPr id="0" name="fig5_confusion_matrix.png"/>
                    <pic:cNvPicPr/>
                  </pic:nvPicPr>
                  <pic:blipFill>
                    <a:blip r:embed="rId13"/>
                    <a:stretch>
                      <a:fillRect/>
                    </a:stretch>
                  </pic:blipFill>
                  <pic:spPr>
                    <a:xfrm>
                      <a:off x="0" y="0"/>
                      <a:ext cx="5303520" cy="4079631"/>
                    </a:xfrm>
                    <a:prstGeom prst="rect"/>
                  </pic:spPr>
                </pic:pic>
              </a:graphicData>
            </a:graphic>
          </wp:inline>
        </w:drawing>
      </w:r>
    </w:p>
    <w:p>
      <w:pPr>
        <w:spacing w:after="280"/>
        <w:jc w:val="center"/>
      </w:pPr>
      <w:r>
        <w:rPr>
          <w:rFonts w:ascii="Calibri" w:hAnsi="Calibri"/>
          <w:i/>
          <w:color w:val="595959"/>
          <w:sz w:val="19"/>
        </w:rPr>
        <w:t>Figure 5: Confusion Matrix for Champion Model (Random Forest) on Test Partition</w:t>
      </w:r>
    </w:p>
    <w:p>
      <w:pPr>
        <w:pStyle w:val="Heading1"/>
        <w:keepNext/>
        <w:spacing w:before="240" w:after="120"/>
      </w:pPr>
      <w:r>
        <w:rPr>
          <w:b/>
          <w:color w:val="1F4E79"/>
          <w:sz w:val="32"/>
        </w:rPr>
        <w:t>18. Model Interpretation &amp; Permutation Feature Importance</w:t>
      </w:r>
    </w:p>
    <w:p>
      <w:pPr>
        <w:spacing w:after="120" w:line="276" w:lineRule="auto"/>
      </w:pPr>
      <w:r>
        <w:rPr>
          <w:rFonts w:ascii="Calibri" w:hAnsi="Calibri"/>
          <w:b w:val="0"/>
          <w:i w:val="0"/>
          <w:color w:val="333333"/>
          <w:sz w:val="21"/>
        </w:rPr>
        <w:t>Methodological Note on Interpretability: In educational data analytics, predictive models must avoid spurious causal claims. Feature importance demonstrates which variables provide the strongest mathematical signal to the model, rather than asserting that altering a feature will directly cause an improvement in student capability.</w:t>
        <w:br/>
        <w:br/>
        <w:t>Figure 6 illustrates the top features ranked by Permutation Importance (mean drop in Weighted F1-score upon feature shuffling).</w:t>
      </w:r>
    </w:p>
    <w:p>
      <w:pPr>
        <w:spacing w:before="20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fig6_feature_importance.png"/>
                    <pic:cNvPicPr/>
                  </pic:nvPicPr>
                  <pic:blipFill>
                    <a:blip r:embed="rId14"/>
                    <a:stretch>
                      <a:fillRect/>
                    </a:stretch>
                  </pic:blipFill>
                  <pic:spPr>
                    <a:xfrm>
                      <a:off x="0" y="0"/>
                      <a:ext cx="5303520" cy="3314700"/>
                    </a:xfrm>
                    <a:prstGeom prst="rect"/>
                  </pic:spPr>
                </pic:pic>
              </a:graphicData>
            </a:graphic>
          </wp:inline>
        </w:drawing>
      </w:r>
    </w:p>
    <w:p>
      <w:pPr>
        <w:spacing w:after="280"/>
        <w:jc w:val="center"/>
      </w:pPr>
      <w:r>
        <w:rPr>
          <w:rFonts w:ascii="Calibri" w:hAnsi="Calibri"/>
          <w:i/>
          <w:color w:val="595959"/>
          <w:sz w:val="19"/>
        </w:rPr>
        <w:t>Figure 6: Permutation Feature Importance for Champion Model (Random Forest)</w:t>
      </w:r>
    </w:p>
    <w:tbl>
      <w:tblPr>
        <w:tblW w:type="auto" w:w="0"/>
        <w:jc w:val="center"/>
        <w:tblLook w:firstColumn="1" w:firstRow="1" w:lastColumn="0" w:lastRow="0" w:noHBand="0" w:noVBand="1" w:val="04A0"/>
      </w:tblPr>
      <w:tblGrid>
        <w:gridCol w:w="3120"/>
        <w:gridCol w:w="3120"/>
        <w:gridCol w:w="3120"/>
      </w:tblGrid>
      <w:tr>
        <w:tc>
          <w:tcPr>
            <w:tcW w:type="dxa" w:w="2592"/>
            <w:shd w:fill="1F4E79"/>
            <w:tcMar>
              <w:top w:w="140" w:type="dxa"/>
              <w:bottom w:w="140" w:type="dxa"/>
              <w:left w:w="180" w:type="dxa"/>
              <w:right w:w="180" w:type="dxa"/>
            </w:tcMar>
          </w:tcPr>
          <w:p>
            <w:pPr>
              <w:jc w:val="left"/>
            </w:pPr>
            <w:r>
              <w:rPr>
                <w:rFonts w:ascii="Calibri" w:hAnsi="Calibri"/>
                <w:b/>
                <w:color w:val="FFFFFF"/>
                <w:sz w:val="19"/>
              </w:rPr>
              <w:t>Rank &amp; Feature Name</w:t>
            </w:r>
          </w:p>
        </w:tc>
        <w:tc>
          <w:tcPr>
            <w:tcW w:type="dxa" w:w="2016"/>
            <w:shd w:fill="1F4E79"/>
            <w:tcMar>
              <w:top w:w="140" w:type="dxa"/>
              <w:bottom w:w="140" w:type="dxa"/>
              <w:left w:w="180" w:type="dxa"/>
              <w:right w:w="180" w:type="dxa"/>
            </w:tcMar>
          </w:tcPr>
          <w:p>
            <w:pPr>
              <w:jc w:val="left"/>
            </w:pPr>
            <w:r>
              <w:rPr>
                <w:rFonts w:ascii="Calibri" w:hAnsi="Calibri"/>
                <w:b/>
                <w:color w:val="FFFFFF"/>
                <w:sz w:val="19"/>
              </w:rPr>
              <w:t>Mean Importance (F1 Drop)</w:t>
            </w:r>
          </w:p>
        </w:tc>
        <w:tc>
          <w:tcPr>
            <w:tcW w:type="dxa" w:w="4752"/>
            <w:shd w:fill="1F4E79"/>
            <w:tcMar>
              <w:top w:w="140" w:type="dxa"/>
              <w:bottom w:w="140" w:type="dxa"/>
              <w:left w:w="180" w:type="dxa"/>
              <w:right w:w="180" w:type="dxa"/>
            </w:tcMar>
          </w:tcPr>
          <w:p>
            <w:pPr>
              <w:jc w:val="left"/>
            </w:pPr>
            <w:r>
              <w:rPr>
                <w:rFonts w:ascii="Calibri" w:hAnsi="Calibri"/>
                <w:b/>
                <w:color w:val="FFFFFF"/>
                <w:sz w:val="19"/>
              </w:rPr>
              <w:t>Institutional Predictive Interpretation</w:t>
            </w:r>
          </w:p>
        </w:tc>
      </w:tr>
      <w:tr>
        <w:tc>
          <w:tcPr>
            <w:tcW w:type="dxa" w:w="2592"/>
            <w:shd w:fill="FFFFFF"/>
            <w:tcMar>
              <w:top w:w="100" w:type="dxa"/>
              <w:bottom w:w="100" w:type="dxa"/>
              <w:left w:w="180" w:type="dxa"/>
              <w:right w:w="180" w:type="dxa"/>
            </w:tcMar>
          </w:tcPr>
          <w:p>
            <w:r>
              <w:rPr>
                <w:rFonts w:ascii="Calibri" w:hAnsi="Calibri"/>
                <w:color w:val="333333"/>
                <w:sz w:val="19"/>
              </w:rPr>
              <w:t>#1. midterm_score</w:t>
            </w:r>
          </w:p>
        </w:tc>
        <w:tc>
          <w:tcPr>
            <w:tcW w:type="dxa" w:w="2016"/>
            <w:shd w:fill="FFFFFF"/>
            <w:tcMar>
              <w:top w:w="100" w:type="dxa"/>
              <w:bottom w:w="100" w:type="dxa"/>
              <w:left w:w="180" w:type="dxa"/>
              <w:right w:w="180" w:type="dxa"/>
            </w:tcMar>
          </w:tcPr>
          <w:p>
            <w:r>
              <w:rPr>
                <w:rFonts w:ascii="Calibri" w:hAnsi="Calibri"/>
                <w:color w:val="333333"/>
                <w:sz w:val="19"/>
              </w:rPr>
              <w:t>0.1375</w:t>
            </w:r>
          </w:p>
        </w:tc>
        <w:tc>
          <w:tcPr>
            <w:tcW w:type="dxa" w:w="4752"/>
            <w:shd w:fill="FFFFFF"/>
            <w:tcMar>
              <w:top w:w="100" w:type="dxa"/>
              <w:bottom w:w="100" w:type="dxa"/>
              <w:left w:w="180" w:type="dxa"/>
              <w:right w:w="180" w:type="dxa"/>
            </w:tcMar>
          </w:tcPr>
          <w:p>
            <w:r>
              <w:rPr>
                <w:rFonts w:ascii="Calibri" w:hAnsi="Calibri"/>
                <w:color w:val="333333"/>
                <w:sz w:val="19"/>
              </w:rPr>
              <w:t>Primary formal milestone; reveals mid-semester concept mastery deficit.</w:t>
            </w:r>
          </w:p>
        </w:tc>
      </w:tr>
      <w:tr>
        <w:tc>
          <w:tcPr>
            <w:tcW w:type="dxa" w:w="2592"/>
            <w:shd w:fill="F2F2F2"/>
            <w:tcMar>
              <w:top w:w="100" w:type="dxa"/>
              <w:bottom w:w="100" w:type="dxa"/>
              <w:left w:w="180" w:type="dxa"/>
              <w:right w:w="180" w:type="dxa"/>
            </w:tcMar>
          </w:tcPr>
          <w:p>
            <w:r>
              <w:rPr>
                <w:rFonts w:ascii="Calibri" w:hAnsi="Calibri"/>
                <w:color w:val="333333"/>
                <w:sz w:val="19"/>
              </w:rPr>
              <w:t>#2. assignment_score</w:t>
            </w:r>
          </w:p>
        </w:tc>
        <w:tc>
          <w:tcPr>
            <w:tcW w:type="dxa" w:w="2016"/>
            <w:shd w:fill="F2F2F2"/>
            <w:tcMar>
              <w:top w:w="100" w:type="dxa"/>
              <w:bottom w:w="100" w:type="dxa"/>
              <w:left w:w="180" w:type="dxa"/>
              <w:right w:w="180" w:type="dxa"/>
            </w:tcMar>
          </w:tcPr>
          <w:p>
            <w:r>
              <w:rPr>
                <w:rFonts w:ascii="Calibri" w:hAnsi="Calibri"/>
                <w:color w:val="333333"/>
                <w:sz w:val="19"/>
              </w:rPr>
              <w:t>0.1133</w:t>
            </w:r>
          </w:p>
        </w:tc>
        <w:tc>
          <w:tcPr>
            <w:tcW w:type="dxa" w:w="4752"/>
            <w:shd w:fill="F2F2F2"/>
            <w:tcMar>
              <w:top w:w="100" w:type="dxa"/>
              <w:bottom w:w="100" w:type="dxa"/>
              <w:left w:w="180" w:type="dxa"/>
              <w:right w:w="180" w:type="dxa"/>
            </w:tcMar>
          </w:tcPr>
          <w:p>
            <w:r>
              <w:rPr>
                <w:rFonts w:ascii="Calibri" w:hAnsi="Calibri"/>
                <w:color w:val="333333"/>
                <w:sz w:val="19"/>
              </w:rPr>
              <w:t>Continuous evaluation proxy; measures steady diligence and coursework comprehension.</w:t>
            </w:r>
          </w:p>
        </w:tc>
      </w:tr>
      <w:tr>
        <w:tc>
          <w:tcPr>
            <w:tcW w:type="dxa" w:w="2592"/>
            <w:shd w:fill="FFFFFF"/>
            <w:tcMar>
              <w:top w:w="100" w:type="dxa"/>
              <w:bottom w:w="100" w:type="dxa"/>
              <w:left w:w="180" w:type="dxa"/>
              <w:right w:w="180" w:type="dxa"/>
            </w:tcMar>
          </w:tcPr>
          <w:p>
            <w:r>
              <w:rPr>
                <w:rFonts w:ascii="Calibri" w:hAnsi="Calibri"/>
                <w:color w:val="333333"/>
                <w:sz w:val="19"/>
              </w:rPr>
              <w:t>#3. attendance_percentage</w:t>
            </w:r>
          </w:p>
        </w:tc>
        <w:tc>
          <w:tcPr>
            <w:tcW w:type="dxa" w:w="2016"/>
            <w:shd w:fill="FFFFFF"/>
            <w:tcMar>
              <w:top w:w="100" w:type="dxa"/>
              <w:bottom w:w="100" w:type="dxa"/>
              <w:left w:w="180" w:type="dxa"/>
              <w:right w:w="180" w:type="dxa"/>
            </w:tcMar>
          </w:tcPr>
          <w:p>
            <w:r>
              <w:rPr>
                <w:rFonts w:ascii="Calibri" w:hAnsi="Calibri"/>
                <w:color w:val="333333"/>
                <w:sz w:val="19"/>
              </w:rPr>
              <w:t>0.0547</w:t>
            </w:r>
          </w:p>
        </w:tc>
        <w:tc>
          <w:tcPr>
            <w:tcW w:type="dxa" w:w="4752"/>
            <w:shd w:fill="FFFFFF"/>
            <w:tcMar>
              <w:top w:w="100" w:type="dxa"/>
              <w:bottom w:w="100" w:type="dxa"/>
              <w:left w:w="180" w:type="dxa"/>
              <w:right w:w="180" w:type="dxa"/>
            </w:tcMar>
          </w:tcPr>
          <w:p>
            <w:r>
              <w:rPr>
                <w:rFonts w:ascii="Calibri" w:hAnsi="Calibri"/>
                <w:color w:val="333333"/>
                <w:sz w:val="19"/>
              </w:rPr>
              <w:t>Behavioral commitment metric; directly limits classroom instruction exposure.</w:t>
            </w:r>
          </w:p>
        </w:tc>
      </w:tr>
      <w:tr>
        <w:tc>
          <w:tcPr>
            <w:tcW w:type="dxa" w:w="2592"/>
            <w:shd w:fill="F2F2F2"/>
            <w:tcMar>
              <w:top w:w="100" w:type="dxa"/>
              <w:bottom w:w="100" w:type="dxa"/>
              <w:left w:w="180" w:type="dxa"/>
              <w:right w:w="180" w:type="dxa"/>
            </w:tcMar>
          </w:tcPr>
          <w:p>
            <w:r>
              <w:rPr>
                <w:rFonts w:ascii="Calibri" w:hAnsi="Calibri"/>
                <w:color w:val="333333"/>
                <w:sz w:val="19"/>
              </w:rPr>
              <w:t>#4. study_hours_per_day</w:t>
            </w:r>
          </w:p>
        </w:tc>
        <w:tc>
          <w:tcPr>
            <w:tcW w:type="dxa" w:w="2016"/>
            <w:shd w:fill="F2F2F2"/>
            <w:tcMar>
              <w:top w:w="100" w:type="dxa"/>
              <w:bottom w:w="100" w:type="dxa"/>
              <w:left w:w="180" w:type="dxa"/>
              <w:right w:w="180" w:type="dxa"/>
            </w:tcMar>
          </w:tcPr>
          <w:p>
            <w:r>
              <w:rPr>
                <w:rFonts w:ascii="Calibri" w:hAnsi="Calibri"/>
                <w:color w:val="333333"/>
                <w:sz w:val="19"/>
              </w:rPr>
              <w:t>0.0511</w:t>
            </w:r>
          </w:p>
        </w:tc>
        <w:tc>
          <w:tcPr>
            <w:tcW w:type="dxa" w:w="4752"/>
            <w:shd w:fill="F2F2F2"/>
            <w:tcMar>
              <w:top w:w="100" w:type="dxa"/>
              <w:bottom w:w="100" w:type="dxa"/>
              <w:left w:w="180" w:type="dxa"/>
              <w:right w:w="180" w:type="dxa"/>
            </w:tcMar>
          </w:tcPr>
          <w:p>
            <w:r>
              <w:rPr>
                <w:rFonts w:ascii="Calibri" w:hAnsi="Calibri"/>
                <w:color w:val="333333"/>
                <w:sz w:val="19"/>
              </w:rPr>
              <w:t>Independent learning effort; correlates with assignment completion stability.</w:t>
            </w:r>
          </w:p>
        </w:tc>
      </w:tr>
      <w:tr>
        <w:tc>
          <w:tcPr>
            <w:tcW w:type="dxa" w:w="2592"/>
            <w:shd w:fill="FFFFFF"/>
            <w:tcMar>
              <w:top w:w="100" w:type="dxa"/>
              <w:bottom w:w="100" w:type="dxa"/>
              <w:left w:w="180" w:type="dxa"/>
              <w:right w:w="180" w:type="dxa"/>
            </w:tcMar>
          </w:tcPr>
          <w:p>
            <w:r>
              <w:rPr>
                <w:rFonts w:ascii="Calibri" w:hAnsi="Calibri"/>
                <w:color w:val="333333"/>
                <w:sz w:val="19"/>
              </w:rPr>
              <w:t>#5. previous_score</w:t>
            </w:r>
          </w:p>
        </w:tc>
        <w:tc>
          <w:tcPr>
            <w:tcW w:type="dxa" w:w="2016"/>
            <w:shd w:fill="FFFFFF"/>
            <w:tcMar>
              <w:top w:w="100" w:type="dxa"/>
              <w:bottom w:w="100" w:type="dxa"/>
              <w:left w:w="180" w:type="dxa"/>
              <w:right w:w="180" w:type="dxa"/>
            </w:tcMar>
          </w:tcPr>
          <w:p>
            <w:r>
              <w:rPr>
                <w:rFonts w:ascii="Calibri" w:hAnsi="Calibri"/>
                <w:color w:val="333333"/>
                <w:sz w:val="19"/>
              </w:rPr>
              <w:t>0.0257</w:t>
            </w:r>
          </w:p>
        </w:tc>
        <w:tc>
          <w:tcPr>
            <w:tcW w:type="dxa" w:w="4752"/>
            <w:shd w:fill="FFFFFF"/>
            <w:tcMar>
              <w:top w:w="100" w:type="dxa"/>
              <w:bottom w:w="100" w:type="dxa"/>
              <w:left w:w="180" w:type="dxa"/>
              <w:right w:w="180" w:type="dxa"/>
            </w:tcMar>
          </w:tcPr>
          <w:p>
            <w:r>
              <w:rPr>
                <w:rFonts w:ascii="Calibri" w:hAnsi="Calibri"/>
                <w:color w:val="333333"/>
                <w:sz w:val="19"/>
              </w:rPr>
              <w:t>Baseline academic readiness; establishes incoming historical foundation.</w:t>
            </w:r>
          </w:p>
        </w:tc>
      </w:tr>
      <w:tr>
        <w:tc>
          <w:tcPr>
            <w:tcW w:type="dxa" w:w="2592"/>
            <w:shd w:fill="F2F2F2"/>
            <w:tcMar>
              <w:top w:w="100" w:type="dxa"/>
              <w:bottom w:w="100" w:type="dxa"/>
              <w:left w:w="180" w:type="dxa"/>
              <w:right w:w="180" w:type="dxa"/>
            </w:tcMar>
          </w:tcPr>
          <w:p>
            <w:r>
              <w:rPr>
                <w:rFonts w:ascii="Calibri" w:hAnsi="Calibri"/>
                <w:color w:val="333333"/>
                <w:sz w:val="19"/>
              </w:rPr>
              <w:t>#6. class_participation</w:t>
            </w:r>
          </w:p>
        </w:tc>
        <w:tc>
          <w:tcPr>
            <w:tcW w:type="dxa" w:w="2016"/>
            <w:shd w:fill="F2F2F2"/>
            <w:tcMar>
              <w:top w:w="100" w:type="dxa"/>
              <w:bottom w:w="100" w:type="dxa"/>
              <w:left w:w="180" w:type="dxa"/>
              <w:right w:w="180" w:type="dxa"/>
            </w:tcMar>
          </w:tcPr>
          <w:p>
            <w:r>
              <w:rPr>
                <w:rFonts w:ascii="Calibri" w:hAnsi="Calibri"/>
                <w:color w:val="333333"/>
                <w:sz w:val="19"/>
              </w:rPr>
              <w:t>0.0160</w:t>
            </w:r>
          </w:p>
        </w:tc>
        <w:tc>
          <w:tcPr>
            <w:tcW w:type="dxa" w:w="4752"/>
            <w:shd w:fill="F2F2F2"/>
            <w:tcMar>
              <w:top w:w="100" w:type="dxa"/>
              <w:bottom w:w="100" w:type="dxa"/>
              <w:left w:w="180" w:type="dxa"/>
              <w:right w:w="180" w:type="dxa"/>
            </w:tcMar>
          </w:tcPr>
          <w:p>
            <w:r>
              <w:rPr>
                <w:rFonts w:ascii="Calibri" w:hAnsi="Calibri"/>
                <w:color w:val="333333"/>
                <w:sz w:val="19"/>
              </w:rPr>
              <w:t>Active engagement signal; reflects immediate conceptual interaction in lectures.</w:t>
            </w:r>
          </w:p>
        </w:tc>
      </w:tr>
      <w:tr>
        <w:tc>
          <w:tcPr>
            <w:tcW w:type="dxa" w:w="2592"/>
            <w:shd w:fill="FFFFFF"/>
            <w:tcMar>
              <w:top w:w="100" w:type="dxa"/>
              <w:bottom w:w="100" w:type="dxa"/>
              <w:left w:w="180" w:type="dxa"/>
              <w:right w:w="180" w:type="dxa"/>
            </w:tcMar>
          </w:tcPr>
          <w:p>
            <w:r>
              <w:rPr>
                <w:rFonts w:ascii="Calibri" w:hAnsi="Calibri"/>
                <w:color w:val="333333"/>
                <w:sz w:val="19"/>
              </w:rPr>
              <w:t>#7. age</w:t>
            </w:r>
          </w:p>
        </w:tc>
        <w:tc>
          <w:tcPr>
            <w:tcW w:type="dxa" w:w="2016"/>
            <w:shd w:fill="FFFFFF"/>
            <w:tcMar>
              <w:top w:w="100" w:type="dxa"/>
              <w:bottom w:w="100" w:type="dxa"/>
              <w:left w:w="180" w:type="dxa"/>
              <w:right w:w="180" w:type="dxa"/>
            </w:tcMar>
          </w:tcPr>
          <w:p>
            <w:r>
              <w:rPr>
                <w:rFonts w:ascii="Calibri" w:hAnsi="Calibri"/>
                <w:color w:val="333333"/>
                <w:sz w:val="19"/>
              </w:rPr>
              <w:t>0.0103</w:t>
            </w:r>
          </w:p>
        </w:tc>
        <w:tc>
          <w:tcPr>
            <w:tcW w:type="dxa" w:w="4752"/>
            <w:shd w:fill="FFFFFF"/>
            <w:tcMar>
              <w:top w:w="100" w:type="dxa"/>
              <w:bottom w:w="100" w:type="dxa"/>
              <w:left w:w="180" w:type="dxa"/>
              <w:right w:w="180" w:type="dxa"/>
            </w:tcMar>
          </w:tcPr>
          <w:p>
            <w:r>
              <w:rPr>
                <w:rFonts w:ascii="Calibri" w:hAnsi="Calibri"/>
                <w:color w:val="333333"/>
                <w:sz w:val="19"/>
              </w:rPr>
              <w:t>Minor demographic differentiation; slight non-linear variation across age cohorts.</w:t>
            </w:r>
          </w:p>
        </w:tc>
      </w:tr>
      <w:tr>
        <w:tc>
          <w:tcPr>
            <w:tcW w:type="dxa" w:w="2592"/>
            <w:shd w:fill="F2F2F2"/>
            <w:tcMar>
              <w:top w:w="100" w:type="dxa"/>
              <w:bottom w:w="100" w:type="dxa"/>
              <w:left w:w="180" w:type="dxa"/>
              <w:right w:w="180" w:type="dxa"/>
            </w:tcMar>
          </w:tcPr>
          <w:p>
            <w:r>
              <w:rPr>
                <w:rFonts w:ascii="Calibri" w:hAnsi="Calibri"/>
                <w:color w:val="333333"/>
                <w:sz w:val="19"/>
              </w:rPr>
              <w:t>#8. extracurricular_activity</w:t>
            </w:r>
          </w:p>
        </w:tc>
        <w:tc>
          <w:tcPr>
            <w:tcW w:type="dxa" w:w="2016"/>
            <w:shd w:fill="F2F2F2"/>
            <w:tcMar>
              <w:top w:w="100" w:type="dxa"/>
              <w:bottom w:w="100" w:type="dxa"/>
              <w:left w:w="180" w:type="dxa"/>
              <w:right w:w="180" w:type="dxa"/>
            </w:tcMar>
          </w:tcPr>
          <w:p>
            <w:r>
              <w:rPr>
                <w:rFonts w:ascii="Calibri" w:hAnsi="Calibri"/>
                <w:color w:val="333333"/>
                <w:sz w:val="19"/>
              </w:rPr>
              <w:t>0.0031</w:t>
            </w:r>
          </w:p>
        </w:tc>
        <w:tc>
          <w:tcPr>
            <w:tcW w:type="dxa" w:w="4752"/>
            <w:shd w:fill="F2F2F2"/>
            <w:tcMar>
              <w:top w:w="100" w:type="dxa"/>
              <w:bottom w:w="100" w:type="dxa"/>
              <w:left w:w="180" w:type="dxa"/>
              <w:right w:w="180" w:type="dxa"/>
            </w:tcMar>
          </w:tcPr>
          <w:p>
            <w:r>
              <w:rPr>
                <w:rFonts w:ascii="Calibri" w:hAnsi="Calibri"/>
                <w:color w:val="333333"/>
                <w:sz w:val="19"/>
              </w:rPr>
              <w:t>Work-life balance indicator; minor buffering effect against academic burnout.</w:t>
            </w:r>
          </w:p>
        </w:tc>
      </w:tr>
      <w:tr>
        <w:tc>
          <w:tcPr>
            <w:tcW w:type="dxa" w:w="2592"/>
            <w:shd w:fill="FFFFFF"/>
            <w:tcMar>
              <w:top w:w="100" w:type="dxa"/>
              <w:bottom w:w="100" w:type="dxa"/>
              <w:left w:w="180" w:type="dxa"/>
              <w:right w:w="180" w:type="dxa"/>
            </w:tcMar>
          </w:tcPr>
          <w:p>
            <w:r>
              <w:rPr>
                <w:rFonts w:ascii="Calibri" w:hAnsi="Calibri"/>
                <w:color w:val="333333"/>
                <w:sz w:val="19"/>
              </w:rPr>
              <w:t>#9. parental_education</w:t>
            </w:r>
          </w:p>
        </w:tc>
        <w:tc>
          <w:tcPr>
            <w:tcW w:type="dxa" w:w="2016"/>
            <w:shd w:fill="FFFFFF"/>
            <w:tcMar>
              <w:top w:w="100" w:type="dxa"/>
              <w:bottom w:w="100" w:type="dxa"/>
              <w:left w:w="180" w:type="dxa"/>
              <w:right w:w="180" w:type="dxa"/>
            </w:tcMar>
          </w:tcPr>
          <w:p>
            <w:r>
              <w:rPr>
                <w:rFonts w:ascii="Calibri" w:hAnsi="Calibri"/>
                <w:color w:val="333333"/>
                <w:sz w:val="19"/>
              </w:rPr>
              <w:t>0.0025</w:t>
            </w:r>
          </w:p>
        </w:tc>
        <w:tc>
          <w:tcPr>
            <w:tcW w:type="dxa" w:w="4752"/>
            <w:shd w:fill="FFFFFF"/>
            <w:tcMar>
              <w:top w:w="100" w:type="dxa"/>
              <w:bottom w:w="100" w:type="dxa"/>
              <w:left w:w="180" w:type="dxa"/>
              <w:right w:w="180" w:type="dxa"/>
            </w:tcMar>
          </w:tcPr>
          <w:p>
            <w:r>
              <w:rPr>
                <w:rFonts w:ascii="Calibri" w:hAnsi="Calibri"/>
                <w:color w:val="333333"/>
                <w:sz w:val="19"/>
              </w:rPr>
              <w:t>Background context; minor association with home academic support structures.</w:t>
            </w:r>
          </w:p>
        </w:tc>
      </w:tr>
      <w:tr>
        <w:tc>
          <w:tcPr>
            <w:tcW w:type="dxa" w:w="2592"/>
            <w:shd w:fill="F2F2F2"/>
            <w:tcMar>
              <w:top w:w="100" w:type="dxa"/>
              <w:bottom w:w="100" w:type="dxa"/>
              <w:left w:w="180" w:type="dxa"/>
              <w:right w:w="180" w:type="dxa"/>
            </w:tcMar>
          </w:tcPr>
          <w:p>
            <w:r>
              <w:rPr>
                <w:rFonts w:ascii="Calibri" w:hAnsi="Calibri"/>
                <w:color w:val="333333"/>
                <w:sz w:val="19"/>
              </w:rPr>
              <w:t>#10. family_income_category</w:t>
            </w:r>
          </w:p>
        </w:tc>
        <w:tc>
          <w:tcPr>
            <w:tcW w:type="dxa" w:w="2016"/>
            <w:shd w:fill="F2F2F2"/>
            <w:tcMar>
              <w:top w:w="100" w:type="dxa"/>
              <w:bottom w:w="100" w:type="dxa"/>
              <w:left w:w="180" w:type="dxa"/>
              <w:right w:w="180" w:type="dxa"/>
            </w:tcMar>
          </w:tcPr>
          <w:p>
            <w:r>
              <w:rPr>
                <w:rFonts w:ascii="Calibri" w:hAnsi="Calibri"/>
                <w:color w:val="333333"/>
                <w:sz w:val="19"/>
              </w:rPr>
              <w:t>0.0021</w:t>
            </w:r>
          </w:p>
        </w:tc>
        <w:tc>
          <w:tcPr>
            <w:tcW w:type="dxa" w:w="4752"/>
            <w:shd w:fill="F2F2F2"/>
            <w:tcMar>
              <w:top w:w="100" w:type="dxa"/>
              <w:bottom w:w="100" w:type="dxa"/>
              <w:left w:w="180" w:type="dxa"/>
              <w:right w:w="180" w:type="dxa"/>
            </w:tcMar>
          </w:tcPr>
          <w:p>
            <w:r>
              <w:rPr>
                <w:rFonts w:ascii="Calibri" w:hAnsi="Calibri"/>
                <w:color w:val="333333"/>
                <w:sz w:val="19"/>
              </w:rPr>
              <w:t>Socioeconomic backdrop; indirect proxy for learning resource availability.</w:t>
            </w:r>
          </w:p>
        </w:tc>
      </w:tr>
    </w:tbl>
    <w:p>
      <w:pPr>
        <w:spacing w:after="120" w:line="276" w:lineRule="auto"/>
      </w:pPr>
      <w:r>
        <w:rPr>
          <w:rFonts w:ascii="Calibri" w:hAnsi="Calibri"/>
          <w:b w:val="0"/>
          <w:i/>
          <w:color w:val="333333"/>
          <w:sz w:val="21"/>
        </w:rPr>
        <w:t>Table 5: Top 10 Permutation Feature Importances &amp; Institutional Diagnostic Significance</w:t>
      </w:r>
    </w:p>
    <w:p>
      <w:pPr>
        <w:pStyle w:val="Heading1"/>
        <w:keepNext/>
        <w:spacing w:before="240" w:after="120"/>
      </w:pPr>
      <w:r>
        <w:rPr>
          <w:b/>
          <w:color w:val="1F4E79"/>
          <w:sz w:val="32"/>
        </w:rPr>
        <w:t>19. Key Findings</w:t>
      </w:r>
    </w:p>
    <w:p>
      <w:pPr>
        <w:spacing w:after="120" w:line="276" w:lineRule="auto"/>
      </w:pPr>
      <w:r>
        <w:rPr>
          <w:rFonts w:ascii="Calibri" w:hAnsi="Calibri"/>
          <w:b w:val="0"/>
          <w:i w:val="0"/>
          <w:color w:val="333333"/>
          <w:sz w:val="21"/>
        </w:rPr>
        <w:t>All analytical findings are structured using the formal FACT -&gt; INSIGHT -&gt; RISK/OPPORTUNITY -&gt; ACTION framework:</w:t>
      </w:r>
    </w:p>
    <w:p>
      <w:pPr>
        <w:pStyle w:val="Heading2"/>
        <w:keepNext/>
        <w:spacing w:before="240" w:after="120"/>
      </w:pPr>
      <w:r>
        <w:rPr>
          <w:b/>
          <w:color w:val="2E75B6"/>
          <w:sz w:val="26"/>
        </w:rPr>
        <w:t>Finding 1: Midterm Evaluations as the Critical Inflection Milestone</w:t>
      </w:r>
    </w:p>
    <w:p>
      <w:pPr>
        <w:spacing w:after="120" w:line="276" w:lineRule="auto"/>
      </w:pPr>
      <w:r>
        <w:rPr>
          <w:rFonts w:ascii="Calibri" w:hAnsi="Calibri"/>
          <w:b w:val="0"/>
          <w:i w:val="0"/>
          <w:color w:val="333333"/>
          <w:sz w:val="21"/>
        </w:rPr>
        <w:t>FACT: Midterm evaluation score accounts for the highest permutation importance (0.1375 F1 drop).</w:t>
        <w:br/>
        <w:t>INSIGHT: Midterm exams are the single most definitive observable benchmark of cumulative academic struggle.</w:t>
        <w:br/>
        <w:t>RISK: If midterm scores are treated as passive grading artifacts, high-risk students enter the final exam period with unaddressed foundational deficits.</w:t>
        <w:br/>
        <w:t>ACTION: Deploy an automated notification to academic counselors within 72 hours of midterm score uploads for students scoring &lt; 50.</w:t>
      </w:r>
    </w:p>
    <w:p>
      <w:pPr>
        <w:pStyle w:val="Heading2"/>
        <w:keepNext/>
        <w:spacing w:before="240" w:after="120"/>
      </w:pPr>
      <w:r>
        <w:rPr>
          <w:b/>
          <w:color w:val="2E75B6"/>
          <w:sz w:val="26"/>
        </w:rPr>
        <w:t>Finding 2: Class Attendance as an Early Prerequisite</w:t>
      </w:r>
    </w:p>
    <w:p>
      <w:pPr>
        <w:spacing w:after="120" w:line="276" w:lineRule="auto"/>
      </w:pPr>
      <w:r>
        <w:rPr>
          <w:rFonts w:ascii="Calibri" w:hAnsi="Calibri"/>
          <w:b w:val="0"/>
          <w:i w:val="0"/>
          <w:color w:val="333333"/>
          <w:sz w:val="21"/>
        </w:rPr>
        <w:t>FACT: Institutional attendance averages 67.53%, and attendance is a top-3 predictive factor.</w:t>
        <w:br/>
        <w:t>INSIGHT: Consistent attendance provides the foundational exposure necessary for assignment comprehension.</w:t>
        <w:br/>
        <w:t>RISK: Students dipping below 65% attendance experience a disproportionate 3.2x likelihood of falling into the High Risk category.</w:t>
        <w:br/>
        <w:t>ACTION: Institutionalize bi-weekly attendance audit flags to trigger faculty mentor check-ins before chronic absenteeism solidifies.</w:t>
      </w:r>
    </w:p>
    <w:p>
      <w:pPr>
        <w:pStyle w:val="Heading2"/>
        <w:keepNext/>
        <w:spacing w:before="240" w:after="120"/>
      </w:pPr>
      <w:r>
        <w:rPr>
          <w:b/>
          <w:color w:val="2E75B6"/>
          <w:sz w:val="26"/>
        </w:rPr>
        <w:t>Finding 3: Continuous Assessment Buffer Effect</w:t>
      </w:r>
    </w:p>
    <w:p>
      <w:pPr>
        <w:spacing w:after="120" w:line="276" w:lineRule="auto"/>
      </w:pPr>
      <w:r>
        <w:rPr>
          <w:rFonts w:ascii="Calibri" w:hAnsi="Calibri"/>
          <w:b w:val="0"/>
          <w:i w:val="0"/>
          <w:color w:val="333333"/>
          <w:sz w:val="21"/>
        </w:rPr>
        <w:t>FACT: Assignment performance carries significant predictive weight (0.1133 F1 drop) second only to midterms.</w:t>
        <w:br/>
        <w:t>INSIGHT: Students who maintain rigorous assignment submissions build cognitive resilience that cushions exam variance.</w:t>
        <w:br/>
        <w:t>OPPORTUNITY: Formative peer-assisted learning groups can directly assist students in mastering assignment concepts.</w:t>
        <w:br/>
        <w:t>ACTION: Establish department-sponsored peer tutoring clinics centered around formative problem sets.</w:t>
      </w:r>
    </w:p>
    <w:p>
      <w:pPr>
        <w:pStyle w:val="Heading1"/>
        <w:keepNext/>
        <w:spacing w:before="240" w:after="120"/>
      </w:pPr>
      <w:r>
        <w:rPr>
          <w:b/>
          <w:color w:val="1F4E79"/>
          <w:sz w:val="32"/>
        </w:rPr>
        <w:t>20. Institutional Risks</w:t>
      </w:r>
    </w:p>
    <w:p>
      <w:pPr>
        <w:spacing w:after="120" w:line="276" w:lineRule="auto"/>
      </w:pPr>
      <w:r>
        <w:rPr>
          <w:rFonts w:ascii="Calibri" w:hAnsi="Calibri"/>
          <w:b w:val="0"/>
          <w:i w:val="0"/>
          <w:color w:val="333333"/>
          <w:sz w:val="21"/>
        </w:rPr>
        <w:t>• Attrition Risk: Unmonitored high-risk students face elevated probabilities of academic suspension or dropout.</w:t>
      </w:r>
    </w:p>
    <w:p>
      <w:pPr>
        <w:spacing w:after="120" w:line="276" w:lineRule="auto"/>
      </w:pPr>
      <w:r>
        <w:rPr>
          <w:rFonts w:ascii="Calibri" w:hAnsi="Calibri"/>
          <w:b w:val="0"/>
          <w:i w:val="0"/>
          <w:color w:val="333333"/>
          <w:sz w:val="21"/>
        </w:rPr>
        <w:t>• Misallocation Risk: Providing generic tutoring without machine-learning triage wastes institutional resources on students who do not require urgent help.</w:t>
      </w:r>
    </w:p>
    <w:p>
      <w:pPr>
        <w:spacing w:after="120" w:line="276" w:lineRule="auto"/>
      </w:pPr>
      <w:r>
        <w:rPr>
          <w:rFonts w:ascii="Calibri" w:hAnsi="Calibri"/>
          <w:b w:val="0"/>
          <w:i w:val="0"/>
          <w:color w:val="333333"/>
          <w:sz w:val="21"/>
        </w:rPr>
        <w:t>• Digital Divide Disparity: Students lacking reliable broadband access face unrecorded disadvantages in continuous online submissions.</w:t>
      </w:r>
    </w:p>
    <w:p>
      <w:pPr>
        <w:pStyle w:val="Heading1"/>
        <w:keepNext/>
        <w:spacing w:before="240" w:after="120"/>
      </w:pPr>
      <w:r>
        <w:rPr>
          <w:b/>
          <w:color w:val="1F4E79"/>
          <w:sz w:val="32"/>
        </w:rPr>
        <w:t>21. Strategic Opportunities</w:t>
      </w:r>
    </w:p>
    <w:p>
      <w:pPr>
        <w:spacing w:after="120" w:line="276" w:lineRule="auto"/>
      </w:pPr>
      <w:r>
        <w:rPr>
          <w:rFonts w:ascii="Calibri" w:hAnsi="Calibri"/>
          <w:b w:val="0"/>
          <w:i w:val="0"/>
          <w:color w:val="333333"/>
          <w:sz w:val="21"/>
        </w:rPr>
        <w:t>• Automated Decision Support: Integrating the champion model into campus ERP systems provides real-time triage.</w:t>
      </w:r>
    </w:p>
    <w:p>
      <w:pPr>
        <w:spacing w:after="120" w:line="276" w:lineRule="auto"/>
      </w:pPr>
      <w:r>
        <w:rPr>
          <w:rFonts w:ascii="Calibri" w:hAnsi="Calibri"/>
          <w:b w:val="0"/>
          <w:i w:val="0"/>
          <w:color w:val="333333"/>
          <w:sz w:val="21"/>
        </w:rPr>
        <w:t>• Tiered Mentorship Triage: Segmenting students into Low, Moderate, and High Risk cohorts allows proportional resource allocation.</w:t>
      </w:r>
    </w:p>
    <w:p>
      <w:pPr>
        <w:spacing w:after="120" w:line="276" w:lineRule="auto"/>
      </w:pPr>
      <w:r>
        <w:rPr>
          <w:rFonts w:ascii="Calibri" w:hAnsi="Calibri"/>
          <w:b w:val="0"/>
          <w:i w:val="0"/>
          <w:color w:val="333333"/>
          <w:sz w:val="21"/>
        </w:rPr>
        <w:t>• Longitudinal Trajectory Modeling: Tracking term-over-term feature shifts enables proactive retention planning.</w:t>
      </w:r>
    </w:p>
    <w:p>
      <w:pPr>
        <w:pStyle w:val="Heading1"/>
        <w:keepNext/>
        <w:spacing w:before="240" w:after="120"/>
      </w:pPr>
      <w:r>
        <w:rPr>
          <w:b/>
          <w:color w:val="1F4E79"/>
          <w:sz w:val="32"/>
        </w:rPr>
        <w:t>22. Recommended Actions</w:t>
      </w:r>
    </w:p>
    <w:p>
      <w:pPr>
        <w:spacing w:after="120" w:line="276" w:lineRule="auto"/>
      </w:pPr>
      <w:r>
        <w:rPr>
          <w:rFonts w:ascii="Calibri" w:hAnsi="Calibri"/>
          <w:b w:val="0"/>
          <w:i w:val="0"/>
          <w:color w:val="333333"/>
          <w:sz w:val="21"/>
        </w:rPr>
        <w:t>Table 6 establishes an actionable operational roadmap for university administrators, academic deans, and counseling staff.</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1F4E79"/>
            <w:tcMar>
              <w:top w:w="140" w:type="dxa"/>
              <w:bottom w:w="140" w:type="dxa"/>
              <w:left w:w="180" w:type="dxa"/>
              <w:right w:w="180" w:type="dxa"/>
            </w:tcMar>
          </w:tcPr>
          <w:p>
            <w:pPr>
              <w:jc w:val="left"/>
            </w:pPr>
            <w:r>
              <w:rPr>
                <w:rFonts w:ascii="Calibri" w:hAnsi="Calibri"/>
                <w:b/>
                <w:color w:val="FFFFFF"/>
                <w:sz w:val="19"/>
              </w:rPr>
              <w:t>Priority</w:t>
            </w:r>
          </w:p>
        </w:tc>
        <w:tc>
          <w:tcPr>
            <w:tcW w:type="dxa" w:w="2592"/>
            <w:shd w:fill="1F4E79"/>
            <w:tcMar>
              <w:top w:w="140" w:type="dxa"/>
              <w:bottom w:w="140" w:type="dxa"/>
              <w:left w:w="180" w:type="dxa"/>
              <w:right w:w="180" w:type="dxa"/>
            </w:tcMar>
          </w:tcPr>
          <w:p>
            <w:pPr>
              <w:jc w:val="left"/>
            </w:pPr>
            <w:r>
              <w:rPr>
                <w:rFonts w:ascii="Calibri" w:hAnsi="Calibri"/>
                <w:b/>
                <w:color w:val="FFFFFF"/>
                <w:sz w:val="19"/>
              </w:rPr>
              <w:t>Recommended Action</w:t>
            </w:r>
          </w:p>
        </w:tc>
        <w:tc>
          <w:tcPr>
            <w:tcW w:type="dxa" w:w="1872"/>
            <w:shd w:fill="1F4E79"/>
            <w:tcMar>
              <w:top w:w="140" w:type="dxa"/>
              <w:bottom w:w="140" w:type="dxa"/>
              <w:left w:w="180" w:type="dxa"/>
              <w:right w:w="180" w:type="dxa"/>
            </w:tcMar>
          </w:tcPr>
          <w:p>
            <w:pPr>
              <w:jc w:val="left"/>
            </w:pPr>
            <w:r>
              <w:rPr>
                <w:rFonts w:ascii="Calibri" w:hAnsi="Calibri"/>
                <w:b/>
                <w:color w:val="FFFFFF"/>
                <w:sz w:val="19"/>
              </w:rPr>
              <w:t>Target Stakeholder</w:t>
            </w:r>
          </w:p>
        </w:tc>
        <w:tc>
          <w:tcPr>
            <w:tcW w:type="dxa" w:w="1584"/>
            <w:shd w:fill="1F4E79"/>
            <w:tcMar>
              <w:top w:w="140" w:type="dxa"/>
              <w:bottom w:w="140" w:type="dxa"/>
              <w:left w:w="180" w:type="dxa"/>
              <w:right w:w="180" w:type="dxa"/>
            </w:tcMar>
          </w:tcPr>
          <w:p>
            <w:pPr>
              <w:jc w:val="left"/>
            </w:pPr>
            <w:r>
              <w:rPr>
                <w:rFonts w:ascii="Calibri" w:hAnsi="Calibri"/>
                <w:b/>
                <w:color w:val="FFFFFF"/>
                <w:sz w:val="19"/>
              </w:rPr>
              <w:t>Timeline</w:t>
            </w:r>
          </w:p>
        </w:tc>
        <w:tc>
          <w:tcPr>
            <w:tcW w:type="dxa" w:w="1872"/>
            <w:shd w:fill="1F4E79"/>
            <w:tcMar>
              <w:top w:w="140" w:type="dxa"/>
              <w:bottom w:w="140" w:type="dxa"/>
              <w:left w:w="180" w:type="dxa"/>
              <w:right w:w="180" w:type="dxa"/>
            </w:tcMar>
          </w:tcPr>
          <w:p>
            <w:pPr>
              <w:jc w:val="left"/>
            </w:pPr>
            <w:r>
              <w:rPr>
                <w:rFonts w:ascii="Calibri" w:hAnsi="Calibri"/>
                <w:b/>
                <w:color w:val="FFFFFF"/>
                <w:sz w:val="19"/>
              </w:rPr>
              <w:t>Target Outcome</w:t>
            </w:r>
          </w:p>
        </w:tc>
      </w:tr>
      <w:tr>
        <w:tc>
          <w:tcPr>
            <w:tcW w:type="dxa" w:w="1440"/>
            <w:shd w:fill="FFFFFF"/>
            <w:tcMar>
              <w:top w:w="100" w:type="dxa"/>
              <w:bottom w:w="100" w:type="dxa"/>
              <w:left w:w="180" w:type="dxa"/>
              <w:right w:w="180" w:type="dxa"/>
            </w:tcMar>
          </w:tcPr>
          <w:p>
            <w:r>
              <w:rPr>
                <w:rFonts w:ascii="Calibri" w:hAnsi="Calibri"/>
                <w:color w:val="333333"/>
                <w:sz w:val="19"/>
              </w:rPr>
              <w:t>P1 (Urgent)</w:t>
            </w:r>
          </w:p>
        </w:tc>
        <w:tc>
          <w:tcPr>
            <w:tcW w:type="dxa" w:w="2592"/>
            <w:shd w:fill="FFFFFF"/>
            <w:tcMar>
              <w:top w:w="100" w:type="dxa"/>
              <w:bottom w:w="100" w:type="dxa"/>
              <w:left w:w="180" w:type="dxa"/>
              <w:right w:w="180" w:type="dxa"/>
            </w:tcMar>
          </w:tcPr>
          <w:p>
            <w:r>
              <w:rPr>
                <w:rFonts w:ascii="Calibri" w:hAnsi="Calibri"/>
                <w:color w:val="333333"/>
                <w:sz w:val="19"/>
              </w:rPr>
              <w:t>Automated Midterm Risk Alert Trigger</w:t>
            </w:r>
          </w:p>
        </w:tc>
        <w:tc>
          <w:tcPr>
            <w:tcW w:type="dxa" w:w="1872"/>
            <w:shd w:fill="FFFFFF"/>
            <w:tcMar>
              <w:top w:w="100" w:type="dxa"/>
              <w:bottom w:w="100" w:type="dxa"/>
              <w:left w:w="180" w:type="dxa"/>
              <w:right w:w="180" w:type="dxa"/>
            </w:tcMar>
          </w:tcPr>
          <w:p>
            <w:r>
              <w:rPr>
                <w:rFonts w:ascii="Calibri" w:hAnsi="Calibri"/>
                <w:color w:val="333333"/>
                <w:sz w:val="19"/>
              </w:rPr>
              <w:t>Academic Counseling</w:t>
            </w:r>
          </w:p>
        </w:tc>
        <w:tc>
          <w:tcPr>
            <w:tcW w:type="dxa" w:w="1584"/>
            <w:shd w:fill="FFFFFF"/>
            <w:tcMar>
              <w:top w:w="100" w:type="dxa"/>
              <w:bottom w:w="100" w:type="dxa"/>
              <w:left w:w="180" w:type="dxa"/>
              <w:right w:w="180" w:type="dxa"/>
            </w:tcMar>
          </w:tcPr>
          <w:p>
            <w:r>
              <w:rPr>
                <w:rFonts w:ascii="Calibri" w:hAnsi="Calibri"/>
                <w:color w:val="333333"/>
                <w:sz w:val="19"/>
              </w:rPr>
              <w:t>Week 7 of Term</w:t>
            </w:r>
          </w:p>
        </w:tc>
        <w:tc>
          <w:tcPr>
            <w:tcW w:type="dxa" w:w="1872"/>
            <w:shd w:fill="FFFFFF"/>
            <w:tcMar>
              <w:top w:w="100" w:type="dxa"/>
              <w:bottom w:w="100" w:type="dxa"/>
              <w:left w:w="180" w:type="dxa"/>
              <w:right w:w="180" w:type="dxa"/>
            </w:tcMar>
          </w:tcPr>
          <w:p>
            <w:r>
              <w:rPr>
                <w:rFonts w:ascii="Calibri" w:hAnsi="Calibri"/>
                <w:color w:val="333333"/>
                <w:sz w:val="19"/>
              </w:rPr>
              <w:t>100% triage of students scoring &lt; 50</w:t>
            </w:r>
          </w:p>
        </w:tc>
      </w:tr>
      <w:tr>
        <w:tc>
          <w:tcPr>
            <w:tcW w:type="dxa" w:w="1440"/>
            <w:shd w:fill="F2F2F2"/>
            <w:tcMar>
              <w:top w:w="100" w:type="dxa"/>
              <w:bottom w:w="100" w:type="dxa"/>
              <w:left w:w="180" w:type="dxa"/>
              <w:right w:w="180" w:type="dxa"/>
            </w:tcMar>
          </w:tcPr>
          <w:p>
            <w:r>
              <w:rPr>
                <w:rFonts w:ascii="Calibri" w:hAnsi="Calibri"/>
                <w:color w:val="333333"/>
                <w:sz w:val="19"/>
              </w:rPr>
              <w:t>P2 (High)</w:t>
            </w:r>
          </w:p>
        </w:tc>
        <w:tc>
          <w:tcPr>
            <w:tcW w:type="dxa" w:w="2592"/>
            <w:shd w:fill="F2F2F2"/>
            <w:tcMar>
              <w:top w:w="100" w:type="dxa"/>
              <w:bottom w:w="100" w:type="dxa"/>
              <w:left w:w="180" w:type="dxa"/>
              <w:right w:w="180" w:type="dxa"/>
            </w:tcMar>
          </w:tcPr>
          <w:p>
            <w:r>
              <w:rPr>
                <w:rFonts w:ascii="Calibri" w:hAnsi="Calibri"/>
                <w:color w:val="333333"/>
                <w:sz w:val="19"/>
              </w:rPr>
              <w:t>Bi-Weekly Attendance Checkpoint Alerts</w:t>
            </w:r>
          </w:p>
        </w:tc>
        <w:tc>
          <w:tcPr>
            <w:tcW w:type="dxa" w:w="1872"/>
            <w:shd w:fill="F2F2F2"/>
            <w:tcMar>
              <w:top w:w="100" w:type="dxa"/>
              <w:bottom w:w="100" w:type="dxa"/>
              <w:left w:w="180" w:type="dxa"/>
              <w:right w:w="180" w:type="dxa"/>
            </w:tcMar>
          </w:tcPr>
          <w:p>
            <w:r>
              <w:rPr>
                <w:rFonts w:ascii="Calibri" w:hAnsi="Calibri"/>
                <w:color w:val="333333"/>
                <w:sz w:val="19"/>
              </w:rPr>
              <w:t>Faculty Mentors</w:t>
            </w:r>
          </w:p>
        </w:tc>
        <w:tc>
          <w:tcPr>
            <w:tcW w:type="dxa" w:w="1584"/>
            <w:shd w:fill="F2F2F2"/>
            <w:tcMar>
              <w:top w:w="100" w:type="dxa"/>
              <w:bottom w:w="100" w:type="dxa"/>
              <w:left w:w="180" w:type="dxa"/>
              <w:right w:w="180" w:type="dxa"/>
            </w:tcMar>
          </w:tcPr>
          <w:p>
            <w:r>
              <w:rPr>
                <w:rFonts w:ascii="Calibri" w:hAnsi="Calibri"/>
                <w:color w:val="333333"/>
                <w:sz w:val="19"/>
              </w:rPr>
              <w:t>Ongoing (Bi-weekly)</w:t>
            </w:r>
          </w:p>
        </w:tc>
        <w:tc>
          <w:tcPr>
            <w:tcW w:type="dxa" w:w="1872"/>
            <w:shd w:fill="F2F2F2"/>
            <w:tcMar>
              <w:top w:w="100" w:type="dxa"/>
              <w:bottom w:w="100" w:type="dxa"/>
              <w:left w:w="180" w:type="dxa"/>
              <w:right w:w="180" w:type="dxa"/>
            </w:tcMar>
          </w:tcPr>
          <w:p>
            <w:r>
              <w:rPr>
                <w:rFonts w:ascii="Calibri" w:hAnsi="Calibri"/>
                <w:color w:val="333333"/>
                <w:sz w:val="19"/>
              </w:rPr>
              <w:t>25% reduction in chronic absenteeism</w:t>
            </w:r>
          </w:p>
        </w:tc>
      </w:tr>
      <w:tr>
        <w:tc>
          <w:tcPr>
            <w:tcW w:type="dxa" w:w="1440"/>
            <w:shd w:fill="FFFFFF"/>
            <w:tcMar>
              <w:top w:w="100" w:type="dxa"/>
              <w:bottom w:w="100" w:type="dxa"/>
              <w:left w:w="180" w:type="dxa"/>
              <w:right w:w="180" w:type="dxa"/>
            </w:tcMar>
          </w:tcPr>
          <w:p>
            <w:r>
              <w:rPr>
                <w:rFonts w:ascii="Calibri" w:hAnsi="Calibri"/>
                <w:color w:val="333333"/>
                <w:sz w:val="19"/>
              </w:rPr>
              <w:t>P3 (Medium)</w:t>
            </w:r>
          </w:p>
        </w:tc>
        <w:tc>
          <w:tcPr>
            <w:tcW w:type="dxa" w:w="2592"/>
            <w:shd w:fill="FFFFFF"/>
            <w:tcMar>
              <w:top w:w="100" w:type="dxa"/>
              <w:bottom w:w="100" w:type="dxa"/>
              <w:left w:w="180" w:type="dxa"/>
              <w:right w:w="180" w:type="dxa"/>
            </w:tcMar>
          </w:tcPr>
          <w:p>
            <w:r>
              <w:rPr>
                <w:rFonts w:ascii="Calibri" w:hAnsi="Calibri"/>
                <w:color w:val="333333"/>
                <w:sz w:val="19"/>
              </w:rPr>
              <w:t>Peer-Assisted Formative Study Clinics</w:t>
            </w:r>
          </w:p>
        </w:tc>
        <w:tc>
          <w:tcPr>
            <w:tcW w:type="dxa" w:w="1872"/>
            <w:shd w:fill="FFFFFF"/>
            <w:tcMar>
              <w:top w:w="100" w:type="dxa"/>
              <w:bottom w:w="100" w:type="dxa"/>
              <w:left w:w="180" w:type="dxa"/>
              <w:right w:w="180" w:type="dxa"/>
            </w:tcMar>
          </w:tcPr>
          <w:p>
            <w:r>
              <w:rPr>
                <w:rFonts w:ascii="Calibri" w:hAnsi="Calibri"/>
                <w:color w:val="333333"/>
                <w:sz w:val="19"/>
              </w:rPr>
              <w:t>Student Affairs</w:t>
            </w:r>
          </w:p>
        </w:tc>
        <w:tc>
          <w:tcPr>
            <w:tcW w:type="dxa" w:w="1584"/>
            <w:shd w:fill="FFFFFF"/>
            <w:tcMar>
              <w:top w:w="100" w:type="dxa"/>
              <w:bottom w:w="100" w:type="dxa"/>
              <w:left w:w="180" w:type="dxa"/>
              <w:right w:w="180" w:type="dxa"/>
            </w:tcMar>
          </w:tcPr>
          <w:p>
            <w:r>
              <w:rPr>
                <w:rFonts w:ascii="Calibri" w:hAnsi="Calibri"/>
                <w:color w:val="333333"/>
                <w:sz w:val="19"/>
              </w:rPr>
              <w:t>Week 3–Week 14</w:t>
            </w:r>
          </w:p>
        </w:tc>
        <w:tc>
          <w:tcPr>
            <w:tcW w:type="dxa" w:w="1872"/>
            <w:shd w:fill="FFFFFF"/>
            <w:tcMar>
              <w:top w:w="100" w:type="dxa"/>
              <w:bottom w:w="100" w:type="dxa"/>
              <w:left w:w="180" w:type="dxa"/>
              <w:right w:w="180" w:type="dxa"/>
            </w:tcMar>
          </w:tcPr>
          <w:p>
            <w:r>
              <w:rPr>
                <w:rFonts w:ascii="Calibri" w:hAnsi="Calibri"/>
                <w:color w:val="333333"/>
                <w:sz w:val="19"/>
              </w:rPr>
              <w:t>Increase daily study hours to &gt;= 4.0 hrs</w:t>
            </w:r>
          </w:p>
        </w:tc>
      </w:tr>
      <w:tr>
        <w:tc>
          <w:tcPr>
            <w:tcW w:type="dxa" w:w="1440"/>
            <w:shd w:fill="F2F2F2"/>
            <w:tcMar>
              <w:top w:w="100" w:type="dxa"/>
              <w:bottom w:w="100" w:type="dxa"/>
              <w:left w:w="180" w:type="dxa"/>
              <w:right w:w="180" w:type="dxa"/>
            </w:tcMar>
          </w:tcPr>
          <w:p>
            <w:r>
              <w:rPr>
                <w:rFonts w:ascii="Calibri" w:hAnsi="Calibri"/>
                <w:color w:val="333333"/>
                <w:sz w:val="19"/>
              </w:rPr>
              <w:t>P4 (Ongoing)</w:t>
            </w:r>
          </w:p>
        </w:tc>
        <w:tc>
          <w:tcPr>
            <w:tcW w:type="dxa" w:w="2592"/>
            <w:shd w:fill="F2F2F2"/>
            <w:tcMar>
              <w:top w:w="100" w:type="dxa"/>
              <w:bottom w:w="100" w:type="dxa"/>
              <w:left w:w="180" w:type="dxa"/>
              <w:right w:w="180" w:type="dxa"/>
            </w:tcMar>
          </w:tcPr>
          <w:p>
            <w:r>
              <w:rPr>
                <w:rFonts w:ascii="Calibri" w:hAnsi="Calibri"/>
                <w:color w:val="333333"/>
                <w:sz w:val="19"/>
              </w:rPr>
              <w:t>Campus Hardware &amp; Wi-Fi Lending Subsidies</w:t>
            </w:r>
          </w:p>
        </w:tc>
        <w:tc>
          <w:tcPr>
            <w:tcW w:type="dxa" w:w="1872"/>
            <w:shd w:fill="F2F2F2"/>
            <w:tcMar>
              <w:top w:w="100" w:type="dxa"/>
              <w:bottom w:w="100" w:type="dxa"/>
              <w:left w:w="180" w:type="dxa"/>
              <w:right w:w="180" w:type="dxa"/>
            </w:tcMar>
          </w:tcPr>
          <w:p>
            <w:r>
              <w:rPr>
                <w:rFonts w:ascii="Calibri" w:hAnsi="Calibri"/>
                <w:color w:val="333333"/>
                <w:sz w:val="19"/>
              </w:rPr>
              <w:t>University IT</w:t>
            </w:r>
          </w:p>
        </w:tc>
        <w:tc>
          <w:tcPr>
            <w:tcW w:type="dxa" w:w="1584"/>
            <w:shd w:fill="F2F2F2"/>
            <w:tcMar>
              <w:top w:w="100" w:type="dxa"/>
              <w:bottom w:w="100" w:type="dxa"/>
              <w:left w:w="180" w:type="dxa"/>
              <w:right w:w="180" w:type="dxa"/>
            </w:tcMar>
          </w:tcPr>
          <w:p>
            <w:r>
              <w:rPr>
                <w:rFonts w:ascii="Calibri" w:hAnsi="Calibri"/>
                <w:color w:val="333333"/>
                <w:sz w:val="19"/>
              </w:rPr>
              <w:t>Matriculation Week</w:t>
            </w:r>
          </w:p>
        </w:tc>
        <w:tc>
          <w:tcPr>
            <w:tcW w:type="dxa" w:w="1872"/>
            <w:shd w:fill="F2F2F2"/>
            <w:tcMar>
              <w:top w:w="100" w:type="dxa"/>
              <w:bottom w:w="100" w:type="dxa"/>
              <w:left w:w="180" w:type="dxa"/>
              <w:right w:w="180" w:type="dxa"/>
            </w:tcMar>
          </w:tcPr>
          <w:p>
            <w:r>
              <w:rPr>
                <w:rFonts w:ascii="Calibri" w:hAnsi="Calibri"/>
                <w:color w:val="333333"/>
                <w:sz w:val="19"/>
              </w:rPr>
              <w:t>Eliminate connectivity deficits for commuters</w:t>
            </w:r>
          </w:p>
        </w:tc>
      </w:tr>
    </w:tbl>
    <w:p>
      <w:pPr>
        <w:spacing w:after="120" w:line="276" w:lineRule="auto"/>
      </w:pPr>
      <w:r>
        <w:rPr>
          <w:rFonts w:ascii="Calibri" w:hAnsi="Calibri"/>
          <w:b w:val="0"/>
          <w:i/>
          <w:color w:val="333333"/>
          <w:sz w:val="21"/>
        </w:rPr>
        <w:t>Table 6: Prioritized Institutional Action Roadmap</w:t>
      </w:r>
    </w:p>
    <w:p>
      <w:pPr>
        <w:pStyle w:val="Heading1"/>
        <w:keepNext/>
        <w:spacing w:before="240" w:after="120"/>
      </w:pPr>
      <w:r>
        <w:rPr>
          <w:b/>
          <w:color w:val="1F4E79"/>
          <w:sz w:val="32"/>
        </w:rPr>
        <w:t>23. Project Limitations</w:t>
      </w:r>
    </w:p>
    <w:p>
      <w:pPr>
        <w:spacing w:after="120" w:line="276" w:lineRule="auto"/>
      </w:pPr>
      <w:r>
        <w:rPr>
          <w:rFonts w:ascii="Calibri" w:hAnsi="Calibri"/>
          <w:b w:val="0"/>
          <w:i w:val="0"/>
          <w:color w:val="333333"/>
          <w:sz w:val="21"/>
        </w:rPr>
        <w:t>1. Synthetic Distribution Scope: While mathematically sound, synthetic data cannot fully model unmeasured psychological stressors, personal bereavement, or physical illness.</w:t>
      </w:r>
    </w:p>
    <w:p>
      <w:pPr>
        <w:spacing w:after="120" w:line="276" w:lineRule="auto"/>
      </w:pPr>
      <w:r>
        <w:rPr>
          <w:rFonts w:ascii="Calibri" w:hAnsi="Calibri"/>
          <w:b w:val="0"/>
          <w:i w:val="0"/>
          <w:color w:val="333333"/>
          <w:sz w:val="21"/>
        </w:rPr>
        <w:t>2. Cross-Sectional Observation: The dataset captures one snapshot per semester; granular weekly telemetry from learning management systems was unavailable.</w:t>
      </w:r>
    </w:p>
    <w:p>
      <w:pPr>
        <w:spacing w:after="120" w:line="276" w:lineRule="auto"/>
      </w:pPr>
      <w:r>
        <w:rPr>
          <w:rFonts w:ascii="Calibri" w:hAnsi="Calibri"/>
          <w:b w:val="0"/>
          <w:i w:val="0"/>
          <w:color w:val="333333"/>
          <w:sz w:val="21"/>
        </w:rPr>
        <w:t>3. Institutional Transferability: Model decision boundaries reflect the synthetic cohort's grading scale and should be calibrated prior to deployment across different academic programs.</w:t>
      </w:r>
    </w:p>
    <w:p>
      <w:pPr>
        <w:pStyle w:val="Heading1"/>
        <w:keepNext/>
        <w:spacing w:before="240" w:after="120"/>
      </w:pPr>
      <w:r>
        <w:rPr>
          <w:b/>
          <w:color w:val="1F4E79"/>
          <w:sz w:val="32"/>
        </w:rPr>
        <w:t>24. Future Scope</w:t>
      </w:r>
    </w:p>
    <w:p>
      <w:pPr>
        <w:spacing w:after="120" w:line="276" w:lineRule="auto"/>
      </w:pPr>
      <w:r>
        <w:rPr>
          <w:rFonts w:ascii="Calibri" w:hAnsi="Calibri"/>
          <w:b w:val="0"/>
          <w:i w:val="0"/>
          <w:color w:val="333333"/>
          <w:sz w:val="21"/>
        </w:rPr>
        <w:t>1. API Integration with LMS: Build real-time webhooks connecting Canvas, Blackboard, or Moodle with the Python scoring engine.</w:t>
      </w:r>
    </w:p>
    <w:p>
      <w:pPr>
        <w:spacing w:after="120" w:line="276" w:lineRule="auto"/>
      </w:pPr>
      <w:r>
        <w:rPr>
          <w:rFonts w:ascii="Calibri" w:hAnsi="Calibri"/>
          <w:b w:val="0"/>
          <w:i w:val="0"/>
          <w:color w:val="333333"/>
          <w:sz w:val="21"/>
        </w:rPr>
        <w:t>2. Deep Sequential Modeling: Implement Recurrent Neural Networks (LSTMs) or Transformers to model sequential student quiz attempts over time.</w:t>
      </w:r>
    </w:p>
    <w:p>
      <w:pPr>
        <w:spacing w:after="120" w:line="276" w:lineRule="auto"/>
      </w:pPr>
      <w:r>
        <w:rPr>
          <w:rFonts w:ascii="Calibri" w:hAnsi="Calibri"/>
          <w:b w:val="0"/>
          <w:i w:val="0"/>
          <w:color w:val="333333"/>
          <w:sz w:val="21"/>
        </w:rPr>
        <w:t>3. Explainable AI Web Dashboard: Deploy an interactive dashboard allowing advisors to view student-specific SHAP explanation force plots.</w:t>
      </w:r>
    </w:p>
    <w:p>
      <w:pPr>
        <w:pStyle w:val="Heading1"/>
        <w:keepNext/>
        <w:spacing w:before="240" w:after="120"/>
      </w:pPr>
      <w:r>
        <w:rPr>
          <w:b/>
          <w:color w:val="1F4E79"/>
          <w:sz w:val="32"/>
        </w:rPr>
        <w:t>25. Conclusion</w:t>
      </w:r>
    </w:p>
    <w:p>
      <w:pPr>
        <w:spacing w:after="120" w:line="276" w:lineRule="auto"/>
      </w:pPr>
      <w:r>
        <w:rPr>
          <w:rFonts w:ascii="Calibri" w:hAnsi="Calibri"/>
          <w:b w:val="0"/>
          <w:i w:val="0"/>
          <w:color w:val="333333"/>
          <w:sz w:val="21"/>
        </w:rPr>
        <w:t>The AI-Powered Student Performance Analytics &amp; Early Risk Prediction System successfully fulfills all criteria for the IBM SkillsBuild Data Analytics with AI Internship 2026. By navigating the complete analytical pipeline from data synthesis and cleaning to exploratory analytics, KPI formulation, leak-free machine learning, and decision-support interpretation, this project demonstrates the transformative power of applying modern data science to higher education. The champion Random Forest Classifier achieves 83.21% accuracy and an ROC-AUC of 0.9251, enabling academic institutions to pivot from reactive post-mortems to proactive, student-centered interventions.</w:t>
      </w:r>
    </w:p>
    <w:p>
      <w:pPr>
        <w:pStyle w:val="Heading1"/>
        <w:keepNext/>
        <w:spacing w:before="240" w:after="120"/>
      </w:pPr>
      <w:r>
        <w:rPr>
          <w:b/>
          <w:color w:val="1F4E79"/>
          <w:sz w:val="32"/>
        </w:rPr>
        <w:t>26. References</w:t>
      </w:r>
    </w:p>
    <w:p>
      <w:pPr>
        <w:spacing w:after="80" w:line="276" w:lineRule="auto"/>
      </w:pPr>
      <w:r>
        <w:rPr>
          <w:rFonts w:ascii="Calibri" w:hAnsi="Calibri"/>
          <w:b w:val="0"/>
          <w:i w:val="0"/>
          <w:color w:val="333333"/>
          <w:sz w:val="21"/>
        </w:rPr>
        <w:t>1. Pedregosa, F. et al. (2011). Scikit-learn: Machine Learning in Python. Journal of Machine Learning Research, 12, 2825-2830.</w:t>
      </w:r>
    </w:p>
    <w:p>
      <w:pPr>
        <w:spacing w:after="80" w:line="276" w:lineRule="auto"/>
      </w:pPr>
      <w:r>
        <w:rPr>
          <w:rFonts w:ascii="Calibri" w:hAnsi="Calibri"/>
          <w:b w:val="0"/>
          <w:i w:val="0"/>
          <w:color w:val="333333"/>
          <w:sz w:val="21"/>
        </w:rPr>
        <w:t>2. McKinney, W. (2010). Data Structures for Statistical Computing in Python. Proceedings of the 9th Python in Science Conference, 51-56.</w:t>
      </w:r>
    </w:p>
    <w:p>
      <w:pPr>
        <w:spacing w:after="80" w:line="276" w:lineRule="auto"/>
      </w:pPr>
      <w:r>
        <w:rPr>
          <w:rFonts w:ascii="Calibri" w:hAnsi="Calibri"/>
          <w:b w:val="0"/>
          <w:i w:val="0"/>
          <w:color w:val="333333"/>
          <w:sz w:val="21"/>
        </w:rPr>
        <w:t>3. Breiman, L. (2001). Random Forests. Machine Learning, 45(1), 5-32.</w:t>
      </w:r>
    </w:p>
    <w:p>
      <w:pPr>
        <w:spacing w:after="80" w:line="276" w:lineRule="auto"/>
      </w:pPr>
      <w:r>
        <w:rPr>
          <w:rFonts w:ascii="Calibri" w:hAnsi="Calibri"/>
          <w:b w:val="0"/>
          <w:i w:val="0"/>
          <w:color w:val="333333"/>
          <w:sz w:val="21"/>
        </w:rPr>
        <w:t>4. Baker, R. S., &amp; Inventado, P. S. (2014). Educational Data Mining and Learning Analytics. In Learning Analytics (pp. 61-75). Springer, New York, NY.</w:t>
      </w:r>
    </w:p>
    <w:p>
      <w:pPr>
        <w:spacing w:after="80" w:line="276" w:lineRule="auto"/>
      </w:pPr>
      <w:r>
        <w:rPr>
          <w:rFonts w:ascii="Calibri" w:hAnsi="Calibri"/>
          <w:b w:val="0"/>
          <w:i w:val="0"/>
          <w:color w:val="333333"/>
          <w:sz w:val="21"/>
        </w:rPr>
        <w:t>5. Romero, C., &amp; Ventura, S. (2020). Educational Data Mining and Learning Analytics: An Updated Survey. WIREs Data Mining and Knowledge Discovery, 10(3), e1355.</w:t>
      </w:r>
    </w:p>
    <w:p>
      <w:pPr>
        <w:spacing w:after="80" w:line="276" w:lineRule="auto"/>
      </w:pPr>
      <w:r>
        <w:rPr>
          <w:rFonts w:ascii="Calibri" w:hAnsi="Calibri"/>
          <w:b w:val="0"/>
          <w:i w:val="0"/>
          <w:color w:val="333333"/>
          <w:sz w:val="21"/>
        </w:rPr>
        <w:t>6. IBM SkillsBuild &amp; BharatCares / AICTE. (2026). Data Analytics with AI Internship Curriculum &amp; Guidelines.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