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0"/>
        <w:jc w:val="center"/>
      </w:pPr>
      <w:r>
        <w:rPr>
          <w:b/>
          <w:color w:val="1F4E79"/>
          <w:sz w:val="36"/>
        </w:rPr>
        <w:t>Transformer Architecture &amp; QKV Mechanisms</w:t>
        <w:br/>
        <w:t>Question &amp; Answer Worksheet</w:t>
      </w:r>
    </w:p>
    <w:p>
      <w:pPr>
        <w:spacing w:before="280" w:after="80"/>
      </w:pPr>
      <w:r>
        <w:rPr>
          <w:b/>
          <w:color w:val="2E5B82"/>
          <w:sz w:val="24"/>
        </w:rPr>
        <w:t>Question 1: What is Sub-Word Tokenization and how does it handle Out-of-Vocabulary (OOV) words?</w:t>
      </w:r>
    </w:p>
    <w:p>
      <w:pPr>
        <w:spacing w:after="200"/>
      </w:pPr>
      <w:r>
        <w:t>Sub-word tokenization algorithms (such as Byte-Pair Encoding [BPE] and WordPiece) split unfamiliar, long, or complex words into smaller, frequently occurring sub-units (for example, 'internationalization' is split into 'inter', '##national', '##iza', and '##tion').</w:t>
        <w:br/>
        <w:br/>
        <w:t>How it solves OOV problems:</w:t>
        <w:br/>
        <w:t>• Complete Coverage: Even if an entire word was never seen during training, its constituent sub-word pieces or individual characters exist in the vocabulary, eliminating '[UNK]' (unknown token) errors.</w:t>
        <w:br/>
        <w:t>• Memory Efficiency: It keeps the model's vocabulary size compact and fixed while retaining the ability to process millions of unique words and morphological variations.</w:t>
      </w:r>
    </w:p>
    <w:p>
      <w:pPr>
        <w:spacing w:before="280" w:after="80"/>
      </w:pPr>
      <w:r>
        <w:rPr>
          <w:b/>
          <w:color w:val="2E5B82"/>
          <w:sz w:val="24"/>
        </w:rPr>
        <w:t>Question 2: How do Dense Word Embeddings differ from One-Hot Encodings?</w:t>
      </w:r>
    </w:p>
    <w:p>
      <w:pPr>
        <w:spacing w:after="200"/>
      </w:pPr>
      <w:r>
        <w:t>One-Hot Encodings represent words as high-dimensional, sparse vectors containing a single '1' and '0' everywhere else. In this space, every word vector is orthogonal and equidistant from every other word, meaning no semantic context or similarity is captured.</w:t>
        <w:br/>
        <w:br/>
        <w:t>Dense Word Embeddings represent words in a continuous, lower-dimensional vector space (e.g., 512 or 768 dimensions). Words with similar meanings or grammatical roles are mapped close to each other.</w:t>
        <w:br/>
        <w:br/>
        <w:t>Semantic Distance Metric:</w:t>
        <w:br/>
        <w:t>The proximity and similarity between two dense embedding vectors (A and B) are measured using Cosine Similarity:</w:t>
        <w:br/>
        <w:t>Cosine Similarity(A, B) = (A · B) / (||A|| × ||B||)</w:t>
      </w:r>
    </w:p>
    <w:p>
      <w:pPr>
        <w:spacing w:before="280" w:after="80"/>
      </w:pPr>
      <w:r>
        <w:rPr>
          <w:b/>
          <w:color w:val="2E5B82"/>
          <w:sz w:val="24"/>
        </w:rPr>
        <w:t>Question 3: How does Self-Attention resolve pronoun ambiguity (Coreference Resolution)?</w:t>
      </w:r>
    </w:p>
    <w:p>
      <w:pPr>
        <w:spacing w:after="200"/>
      </w:pPr>
      <w:r>
        <w:t>Consider the sentence: 'The city councilmen refused the demonstrators a permit because they feared violence.'</w:t>
        <w:br/>
        <w:br/>
        <w:t>The self-attention mechanism determines what the pronoun 'they' refers to by computing dot-product attention scores between the Query vector of 'they' and the Key vectors of all other words in the sentence.</w:t>
        <w:br/>
        <w:br/>
        <w:t>• Mechanics: Because the phrase 'feared violence' aligns semantically with the context of authority and denial ('city councilmen'), the dot product produces the highest numerical score for 'city councilmen'.</w:t>
        <w:br/>
        <w:t>• Outcome: Applying the Softmax function turns these scores into probabilities (e.g., 0.78 for 'city councilmen' vs 0.14 for 'demonstrators'), allowing the model to dynamically context-link 'they' to 'city councilmen'.</w:t>
      </w:r>
    </w:p>
    <w:p>
      <w:pPr>
        <w:spacing w:before="280" w:after="80"/>
      </w:pPr>
      <w:r>
        <w:rPr>
          <w:b/>
          <w:color w:val="2E5B82"/>
          <w:sz w:val="24"/>
        </w:rPr>
        <w:t>Question 4: What are Query, Key, and Value (QKV) vectors, and how is Transformer Attention computed?</w:t>
      </w:r>
    </w:p>
    <w:p>
      <w:pPr>
        <w:spacing w:after="200"/>
      </w:pPr>
      <w:r>
        <w:t>Inside the Transformer encoder layer, input token embeddings are projected via three separate learnable weight matrices (W_q, W_k, W_v) into three distinct vector representations:</w:t>
        <w:br/>
        <w:br/>
        <w:t>1. Query Vector (Q): Represents the search probe ('What information is this token seeking?').</w:t>
        <w:br/>
        <w:t>2. Key Vector (K): Represents the index/label ('What content or identity does this token offer?').</w:t>
        <w:br/>
        <w:t>3. Value Vector (V): Represents the actual feature content payload ('What information does this token pass along if selected?').</w:t>
        <w:br/>
        <w:br/>
        <w:t>Mathematical Attention Formula:</w:t>
        <w:br/>
        <w:t>Attention(Q, K, V) = softmax( (Q · K^T) / sqrt(d_k) ) · V</w:t>
        <w:br/>
        <w:br/>
        <w:t>Where d_k is the dimension of the Key vectors, used as a scaling factor to prevent extremely large dot products from causing vanishing gradients in the softmax step.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