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Project Design Phase II</w:t>
      </w:r>
    </w:p>
    <w:p>
      <w:pPr>
        <w:spacing w:before="0" w:after="0" w:line="276"/>
        <w:ind w:right="0" w:left="0" w:firstLine="0"/>
        <w:jc w:val="center"/>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Data Flow Diagram &amp; User Stories</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u w:val="single"/>
          <w:shd w:fill="auto" w:val="clear"/>
        </w:rPr>
        <w:br/>
      </w: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6 March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SWTID1741155693</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FitFlex</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both"/>
        <w:rPr>
          <w:rFonts w:ascii="Arial" w:hAnsi="Arial" w:cs="Arial" w:eastAsia="Arial"/>
          <w:b/>
          <w:color w:val="auto"/>
          <w:spacing w:val="0"/>
          <w:position w:val="0"/>
          <w:sz w:val="22"/>
          <w:u w:val="single"/>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object w:dxaOrig="5591" w:dyaOrig="7236">
          <v:rect xmlns:o="urn:schemas-microsoft-com:office:office" xmlns:v="urn:schemas-microsoft-com:vml" id="rectole0000000000" style="width:279.550000pt;height:361.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Arial" w:hAnsi="Arial" w:cs="Arial" w:eastAsia="Arial"/>
          <w:b/>
          <w:color w:val="auto"/>
          <w:spacing w:val="0"/>
          <w:position w:val="0"/>
          <w:sz w:val="22"/>
          <w:u w:val="single"/>
          <w:shd w:fill="auto" w:val="clear"/>
        </w:rPr>
      </w:pPr>
    </w:p>
    <w:p>
      <w:pPr>
        <w:spacing w:before="0" w:after="160" w:line="259"/>
        <w:ind w:right="0" w:left="0" w:firstLine="0"/>
        <w:jc w:val="both"/>
        <w:rPr>
          <w:rFonts w:ascii="Arial" w:hAnsi="Arial" w:cs="Arial" w:eastAsia="Arial"/>
          <w:b/>
          <w:color w:val="auto"/>
          <w:spacing w:val="0"/>
          <w:position w:val="0"/>
          <w:sz w:val="22"/>
          <w:u w:val="single"/>
          <w:shd w:fill="auto" w:val="clear"/>
        </w:rPr>
      </w:pPr>
    </w:p>
    <w:p>
      <w:pPr>
        <w:spacing w:before="0" w:after="160" w:line="259"/>
        <w:ind w:right="0" w:left="0" w:firstLine="0"/>
        <w:jc w:val="both"/>
        <w:rPr>
          <w:rFonts w:ascii="Arial" w:hAnsi="Arial" w:cs="Arial" w:eastAsia="Arial"/>
          <w:b/>
          <w:color w:val="auto"/>
          <w:spacing w:val="0"/>
          <w:position w:val="0"/>
          <w:sz w:val="22"/>
          <w:u w:val="single"/>
          <w:shd w:fill="auto" w:val="clear"/>
        </w:rPr>
      </w:pPr>
    </w:p>
    <w:p>
      <w:pPr>
        <w:numPr>
          <w:ilvl w:val="0"/>
          <w:numId w:val="15"/>
        </w:numPr>
        <w:spacing w:before="24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User selects a body part or equipment.</w:t>
      </w:r>
    </w:p>
    <w:p>
      <w:pPr>
        <w:numPr>
          <w:ilvl w:val="0"/>
          <w:numId w:val="15"/>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request is sent to Browse Exercises, which fetches relevant data from ExerciseDB API.</w:t>
      </w:r>
    </w:p>
    <w:p>
      <w:pPr>
        <w:numPr>
          <w:ilvl w:val="0"/>
          <w:numId w:val="15"/>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API returns a list of exercises, which is displayed to the User.</w:t>
      </w:r>
    </w:p>
    <w:p>
      <w:pPr>
        <w:numPr>
          <w:ilvl w:val="0"/>
          <w:numId w:val="15"/>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User selects a specific exercise, triggering the View Exercise Details process.</w:t>
      </w:r>
    </w:p>
    <w:p>
      <w:pPr>
        <w:numPr>
          <w:ilvl w:val="0"/>
          <w:numId w:val="15"/>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ExerciseDB API provides detailed exercise information.</w:t>
      </w:r>
    </w:p>
    <w:p>
      <w:pPr>
        <w:numPr>
          <w:ilvl w:val="0"/>
          <w:numId w:val="15"/>
        </w:numPr>
        <w:spacing w:before="0" w:after="24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 displays the details, and the User can either browse more exercises or select another one.</w:t>
      </w:r>
    </w:p>
    <w:p>
      <w:pPr>
        <w:spacing w:before="240" w:after="24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tbl>
      <w:tblPr/>
      <w:tblGrid>
        <w:gridCol w:w="1500"/>
        <w:gridCol w:w="1320"/>
        <w:gridCol w:w="2400"/>
        <w:gridCol w:w="2670"/>
        <w:gridCol w:w="1050"/>
        <w:gridCol w:w="1605"/>
      </w:tblGrid>
      <w:tr>
        <w:trPr>
          <w:trHeight w:val="275"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Type</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Number</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 Task</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Acceptance criteria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Priority</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Release</w:t>
            </w:r>
          </w:p>
        </w:tc>
      </w:tr>
      <w:tr>
        <w:trPr>
          <w:trHeight w:val="734"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browse exercises by selecting a body part.</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see a list of exercises related to the selected body parts.</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780"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USN-2</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browse exercise by selecting equipment.</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see a list of exercises related to the selected equipment.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749"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USN-3</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view detailed explanations about exercise. </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see exercise images, steps and target muscles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534"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USN-4</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see related Youtube videos. </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navigate to the related videos on Youtube.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Low</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r>
      <w:tr>
        <w:trPr>
          <w:trHeight w:val="794"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USN-5</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easily navigate to the home page. </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click the home button and return to the home page.</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bl>
    <w:p>
      <w:pPr>
        <w:spacing w:before="240" w:after="24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b/>
          <w:color w:val="auto"/>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