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w="http://schemas.openxmlformats.org/wordprocessingml/2006/main" ns1:Ignorable="w14 wp14">
  <w:body>
    <w:p>
      <w:pPr>
        <w:spacing w:after="320"/>
        <w:jc w:val="center"/>
      </w:pPr>
      <w:r>
        <w:rPr>
          <w:rFonts w:ascii="標楷體" w:hAnsi="標楷體" w:eastAsia="標楷體"/>
          <w:b/>
          <w:sz w:val="36"/>
        </w:rPr>
        <w:t>刑事聲請准許提起自訴狀</w:t>
      </w:r>
    </w:p>
    <w:tbl>
      <w:tblPr>
        <w:tblW w:type="dxa" w:w="9350"/>
        <w:jc w:val="center"/>
        <w:tblLayout w:type="fixed"/>
        <w:tblLook w:firstColumn="1" w:firstRow="1" w:lastColumn="0" w:lastRow="0" w:noHBand="0" w:noVBand="1" w:val="04A0"/>
      </w:tblPr>
      <w:tblGrid>
        <w:gridCol w:w="1550"/>
        <w:gridCol w:w="7800"/>
      </w:tblGrid>
      <w:tr>
        <w:tc>
          <w:tcPr>
            <w:tcW w:type="dxa" w:w="1550"/>
            <w:shd w:fill="F2F2F2"/>
            <w:vAlign w:val="center"/>
            <w:tcMar>
              <w:top w:w="80" w:type="dxa"/>
              <w:start w:w="120" w:type="dxa"/>
              <w:bottom w:w="80" w:type="dxa"/>
              <w:end w:w="120" w:type="dxa"/>
            </w:tcMar>
          </w:tcPr>
          <w:p>
            <w:pPr>
              <w:jc w:val="center"/>
            </w:pPr>
            <w:r>
              <w:rPr>
                <w:rFonts w:ascii="標楷體" w:hAnsi="標楷體" w:eastAsia="標楷體"/>
                <w:b/>
                <w:sz w:val="24"/>
              </w:rPr>
              <w:t>受文者</w:t>
            </w:r>
          </w:p>
        </w:tc>
        <w:tc>
          <w:tcPr>
            <w:tcW w:type="dxa" w:w="7800"/>
            <w:vAlign w:val="center"/>
            <w:tcMar>
              <w:top w:w="80" w:type="dxa"/>
              <w:start w:w="120" w:type="dxa"/>
              <w:bottom w:w="80" w:type="dxa"/>
              <w:end w:w="120" w:type="dxa"/>
            </w:tcMar>
          </w:tcPr>
          <w:p>
            <w:pPr>
              <w:spacing w:line="300" w:lineRule="auto" w:after="0"/>
            </w:pPr>
            <w:r>
              <w:rPr>
                <w:rFonts w:ascii="標楷體" w:hAnsi="標楷體" w:eastAsia="標楷體"/>
                <w:b w:val="0"/>
                <w:sz w:val="24"/>
              </w:rPr>
              <w:t>臺灣臺中地方法院　刑事庭　公鑒</w:t>
            </w:r>
          </w:p>
        </w:tc>
      </w:tr>
      <w:tr>
        <w:tc>
          <w:tcPr>
            <w:tcW w:type="dxa" w:w="1550"/>
            <w:shd w:fill="F2F2F2"/>
            <w:vAlign w:val="center"/>
            <w:tcMar>
              <w:top w:w="80" w:type="dxa"/>
              <w:start w:w="120" w:type="dxa"/>
              <w:bottom w:w="80" w:type="dxa"/>
              <w:end w:w="120" w:type="dxa"/>
            </w:tcMar>
          </w:tcPr>
          <w:p>
            <w:pPr>
              <w:jc w:val="center"/>
            </w:pPr>
            <w:r>
              <w:rPr>
                <w:rFonts w:ascii="標楷體" w:hAnsi="標楷體" w:eastAsia="標楷體"/>
                <w:b/>
                <w:sz w:val="24"/>
              </w:rPr>
              <w:t>案　號</w:t>
            </w:r>
          </w:p>
        </w:tc>
        <w:tc>
          <w:tcPr>
            <w:tcW w:type="dxa" w:w="7800"/>
            <w:vAlign w:val="center"/>
            <w:tcMar>
              <w:top w:w="80" w:type="dxa"/>
              <w:start w:w="120" w:type="dxa"/>
              <w:bottom w:w="80" w:type="dxa"/>
              <w:end w:w="120" w:type="dxa"/>
            </w:tcMar>
          </w:tcPr>
          <w:p>
            <w:pPr>
              <w:spacing w:line="300" w:lineRule="auto" w:after="0"/>
            </w:pPr>
            <w:r>
              <w:rPr>
                <w:rFonts w:ascii="標楷體" w:hAnsi="標楷體" w:eastAsia="標楷體"/>
                <w:b w:val="0"/>
                <w:sz w:val="24"/>
              </w:rPr>
              <w:t>高檢署駁回處分：115年度上聲議字第1817號</w:t>
              <w:br/>
              <w:t>原不起訴處分：臺中地檢署115年度偵字第19097號</w:t>
            </w:r>
          </w:p>
        </w:tc>
      </w:tr>
      <w:tr>
        <w:tc>
          <w:tcPr>
            <w:tcW w:type="dxa" w:w="1550"/>
            <w:shd w:fill="F2F2F2"/>
            <w:vAlign w:val="center"/>
            <w:tcMar>
              <w:top w:w="80" w:type="dxa"/>
              <w:start w:w="120" w:type="dxa"/>
              <w:bottom w:w="80" w:type="dxa"/>
              <w:end w:w="120" w:type="dxa"/>
            </w:tcMar>
          </w:tcPr>
          <w:p>
            <w:pPr>
              <w:jc w:val="center"/>
            </w:pPr>
            <w:r>
              <w:rPr>
                <w:rFonts w:ascii="標楷體" w:hAnsi="標楷體" w:eastAsia="標楷體"/>
                <w:b/>
                <w:sz w:val="24"/>
              </w:rPr>
              <w:t>聲請人</w:t>
            </w:r>
          </w:p>
        </w:tc>
        <w:tc>
          <w:tcPr>
            <w:tcW w:type="dxa" w:w="7800"/>
            <w:vAlign w:val="center"/>
            <w:tcMar>
              <w:top w:w="80" w:type="dxa"/>
              <w:start w:w="120" w:type="dxa"/>
              <w:bottom w:w="80" w:type="dxa"/>
              <w:end w:w="120" w:type="dxa"/>
            </w:tcMar>
          </w:tcPr>
          <w:p>
            <w:pPr>
              <w:spacing w:line="300" w:lineRule="auto" w:after="0"/>
            </w:pPr>
            <w:r>
              <w:rPr>
                <w:rFonts w:ascii="標楷體" w:hAnsi="標楷體" w:eastAsia="標楷體"/>
                <w:b w:val="0"/>
                <w:sz w:val="24"/>
              </w:rPr>
              <w:t>何珍禾（原告訴人）</w:t>
              <w:br/>
              <w:t>民國52年7月24日生　身分證統一編號：T120170206</w:t>
              <w:br/>
              <w:t>住（戶籍址）：屏東縣屏東市華盛街43號2樓之3</w:t>
              <w:br/>
              <w:t>送達代收址：臺中市南區德鑫街55號8樓（僅供收受文件）</w:t>
              <w:br/>
              <w:t>實際住居所：臺中市北屯區河北路二段213、215號（即系爭房地；遭換鎖後暫無法居住，詳本狀）</w:t>
            </w:r>
          </w:p>
        </w:tc>
      </w:tr>
      <w:tr>
        <w:tc>
          <w:tcPr>
            <w:tcW w:type="dxa" w:w="1550"/>
            <w:shd w:fill="F2F2F2"/>
            <w:vAlign w:val="center"/>
            <w:tcMar>
              <w:top w:w="80" w:type="dxa"/>
              <w:start w:w="120" w:type="dxa"/>
              <w:bottom w:w="80" w:type="dxa"/>
              <w:end w:w="120" w:type="dxa"/>
            </w:tcMar>
          </w:tcPr>
          <w:p>
            <w:pPr>
              <w:jc w:val="center"/>
            </w:pPr>
            <w:r>
              <w:rPr>
                <w:rFonts w:ascii="標楷體" w:hAnsi="標楷體" w:eastAsia="標楷體"/>
                <w:b/>
                <w:sz w:val="24"/>
              </w:rPr>
              <w:t>代理人</w:t>
            </w:r>
          </w:p>
        </w:tc>
        <w:tc>
          <w:tcPr>
            <w:tcW w:type="dxa" w:w="7800"/>
            <w:vAlign w:val="center"/>
            <w:tcMar>
              <w:top w:w="80" w:type="dxa"/>
              <w:start w:w="120" w:type="dxa"/>
              <w:bottom w:w="80" w:type="dxa"/>
              <w:end w:w="120" w:type="dxa"/>
            </w:tcMar>
          </w:tcPr>
          <w:p>
            <w:pPr>
              <w:spacing w:line="300" w:lineRule="auto" w:after="0"/>
            </w:pPr>
            <w:r>
              <w:rPr>
                <w:rFonts w:ascii="標楷體" w:hAnsi="標楷體" w:eastAsia="標楷體"/>
                <w:b w:val="0"/>
                <w:sz w:val="24"/>
              </w:rPr>
              <w:t>（法律扶助律師）　　　　　　　　　律師</w:t>
            </w:r>
          </w:p>
        </w:tc>
      </w:tr>
      <w:tr>
        <w:tc>
          <w:tcPr>
            <w:tcW w:type="dxa" w:w="1550"/>
            <w:shd w:fill="F2F2F2"/>
            <w:vAlign w:val="center"/>
            <w:tcMar>
              <w:top w:w="80" w:type="dxa"/>
              <w:start w:w="120" w:type="dxa"/>
              <w:bottom w:w="80" w:type="dxa"/>
              <w:end w:w="120" w:type="dxa"/>
            </w:tcMar>
          </w:tcPr>
          <w:p>
            <w:pPr>
              <w:jc w:val="center"/>
            </w:pPr>
            <w:r>
              <w:rPr>
                <w:rFonts w:ascii="標楷體" w:hAnsi="標楷體" w:eastAsia="標楷體"/>
                <w:b/>
                <w:sz w:val="24"/>
              </w:rPr>
              <w:t>被　告</w:t>
            </w:r>
          </w:p>
        </w:tc>
        <w:tc>
          <w:tcPr>
            <w:tcW w:type="dxa" w:w="7800"/>
            <w:vAlign w:val="center"/>
            <w:tcMar>
              <w:top w:w="80" w:type="dxa"/>
              <w:start w:w="120" w:type="dxa"/>
              <w:bottom w:w="80" w:type="dxa"/>
              <w:end w:w="120" w:type="dxa"/>
            </w:tcMar>
          </w:tcPr>
          <w:p>
            <w:pPr>
              <w:spacing w:line="300" w:lineRule="auto" w:after="0"/>
            </w:pPr>
            <w:r>
              <w:rPr>
                <w:rFonts w:ascii="標楷體" w:hAnsi="標楷體" w:eastAsia="標楷體"/>
                <w:b w:val="0"/>
                <w:sz w:val="24"/>
              </w:rPr>
              <w:t>吳桂蘭</w:t>
              <w:br/>
              <w:t>民國61年1月3日生　身分證統一編號：P221660145</w:t>
              <w:br/>
              <w:t>住：雲林縣水林鄉溪墘村湖子內46號</w:t>
              <w:br/>
              <w:t>居：臺中市北屯區遼寧路2段50號7樓</w:t>
            </w:r>
          </w:p>
        </w:tc>
      </w:tr>
    </w:tbl>
    <w:p/>
    <w:p>
      <w:pPr>
        <w:spacing w:line="324" w:lineRule="auto" w:after="100"/>
        <w:ind w:firstLine="480"/>
      </w:pPr>
      <w:r>
        <w:rPr>
          <w:rFonts w:ascii="標楷體" w:hAnsi="標楷體" w:eastAsia="標楷體"/>
          <w:b w:val="0"/>
          <w:sz w:val="24"/>
        </w:rPr>
        <w:t>為不服臺灣高等檢察署臺中檢察分署115年度上聲議字第1817號駁回再議處分，爰依刑事訴訟法第258條之1規定，於法定期間內委任律師提出理由狀，向鈞院聲請准許提起自訴事：</w:t>
      </w:r>
    </w:p>
    <w:p>
      <w:pPr>
        <w:keepNext/>
        <w:spacing w:before="200" w:after="120"/>
      </w:pPr>
      <w:r>
        <w:rPr>
          <w:rFonts w:ascii="標楷體" w:hAnsi="標楷體" w:eastAsia="標楷體"/>
          <w:b/>
          <w:sz w:val="26"/>
        </w:rPr>
        <w:t>壹、聲請之聲明</w:t>
      </w:r>
    </w:p>
    <w:p>
      <w:pPr>
        <w:spacing w:line="324" w:lineRule="auto" w:after="100"/>
        <w:ind w:firstLine="480"/>
      </w:pPr>
      <w:r>
        <w:rPr>
          <w:rFonts w:ascii="標楷體" w:hAnsi="標楷體" w:eastAsia="標楷體"/>
          <w:b w:val="0"/>
          <w:sz w:val="24"/>
        </w:rPr>
        <w:t>准許聲請人對被告吳桂蘭提起自訴。</w:t>
      </w:r>
    </w:p>
    <w:p>
      <w:pPr>
        <w:keepNext/>
        <w:spacing w:before="200" w:after="120"/>
      </w:pPr>
      <w:r>
        <w:rPr>
          <w:rFonts w:ascii="標楷體" w:hAnsi="標楷體" w:eastAsia="標楷體"/>
          <w:b/>
          <w:sz w:val="26"/>
        </w:rPr>
        <w:t>貳、程序合法性</w:t>
      </w:r>
    </w:p>
    <w:p>
      <w:pPr>
        <w:spacing w:line="324" w:lineRule="auto" w:after="100"/>
        <w:ind w:firstLine="480"/>
      </w:pPr>
      <w:r>
        <w:rPr>
          <w:rFonts w:ascii="標楷體" w:hAnsi="標楷體" w:eastAsia="標楷體"/>
          <w:b w:val="0"/>
          <w:sz w:val="24"/>
        </w:rPr>
        <w:t>聲請人於民國115年6月9日收受臺灣高等檢察署臺中檢察分署115年度上聲議字第1817號駁回再議處分書，茲於接受處分書後十日內，委任律師提出理由狀，向鈞院聲請准許提起自訴，程序上應屬合法。</w:t>
      </w:r>
    </w:p>
    <w:p>
      <w:pPr>
        <w:spacing w:line="324" w:lineRule="auto" w:after="100"/>
        <w:ind w:firstLine="480"/>
      </w:pPr>
      <w:r>
        <w:rPr>
          <w:rFonts w:ascii="標楷體" w:hAnsi="標楷體" w:eastAsia="標楷體"/>
          <w:b w:val="0"/>
          <w:sz w:val="24"/>
        </w:rPr>
        <w:t>又，卷附文書送達地址「臺中市南區德鑫街55號8樓」，係聲請人因遭被告換鎖後暫無法返還原住居所，暫借他人地址供收受文件之用，並非聲請人於換鎖前之實際住居所。聲請人於換鎖前之實際住居及使用處所為系爭房地（臺中市北屯區河北路二段213、215號），詳如後述。至收受日期及送達效力，仍請鈞院依卷附送達證書認定。</w:t>
      </w:r>
    </w:p>
    <w:p>
      <w:pPr>
        <w:keepNext/>
        <w:spacing w:before="200" w:after="120"/>
      </w:pPr>
      <w:r>
        <w:rPr>
          <w:rFonts w:ascii="標楷體" w:hAnsi="標楷體" w:eastAsia="標楷體"/>
          <w:b/>
          <w:sz w:val="26"/>
        </w:rPr>
        <w:t>參、原駁回處分之理由摘要</w:t>
      </w:r>
    </w:p>
    <w:p>
      <w:pPr>
        <w:spacing w:line="324" w:lineRule="auto" w:after="100"/>
        <w:ind w:firstLine="480"/>
      </w:pPr>
      <w:r>
        <w:rPr>
          <w:rFonts w:ascii="標楷體" w:hAnsi="標楷體" w:eastAsia="標楷體"/>
          <w:b w:val="0"/>
          <w:sz w:val="24"/>
        </w:rPr>
        <w:t>原駁回處分認再議無理由，其主要論據有三：一、認被告吳桂蘭與案外人彭鈴鈞之租賃權益讓渡協議書已於115年1月12日合意終止，且租金繳至1月20日止，故被告對系爭房地有合法使用權；二、認被告與聲請人間並無契約關係，聲請人非讓渡契約當事人，對被告之契約請求權有疑；三、援引最高法院108年度台上字第4184號、111年度台上字第2978號判決意旨，認強制罪之強暴對象須及於「人」，被告換鎖係對「物」、且換鎖時聲請人不在現場，無從對聲請人產生壓制力，與強制罪構成要件不符。</w:t>
      </w:r>
    </w:p>
    <w:p>
      <w:pPr>
        <w:spacing w:line="324" w:lineRule="auto" w:after="100"/>
        <w:ind w:firstLine="480"/>
      </w:pPr>
      <w:r>
        <w:rPr>
          <w:rFonts w:ascii="標楷體" w:hAnsi="標楷體" w:eastAsia="標楷體"/>
          <w:b w:val="0"/>
          <w:sz w:val="24"/>
        </w:rPr>
        <w:t>惟查，上開認定就卷內有利於聲請人之事證及相關罪名構成要件，尚有未盡審酌之處，茲分述如下。</w:t>
      </w:r>
    </w:p>
    <w:p>
      <w:pPr>
        <w:keepNext/>
        <w:spacing w:after="120" w:before="200"/>
        <w:ind/>
      </w:pPr>
      <w:r>
        <w:rPr>
          <w:rFonts w:ascii="標楷體" w:hAnsi="標楷體" w:eastAsia="標楷體"/>
          <w:b/>
          <w:sz w:val="26"/>
        </w:rPr>
        <w:t>肆、本狀主張範圍與證據使用方式</w:t>
      </w:r>
    </w:p>
    <w:p>
      <w:pPr>
        <w:spacing w:after="100" w:line="324" w:lineRule="auto"/>
        <w:ind w:firstLine="480"/>
      </w:pPr>
      <w:r>
        <w:rPr>
          <w:rFonts w:ascii="標楷體" w:hAnsi="標楷體" w:eastAsia="標楷體"/>
          <w:b w:val="0"/>
          <w:sz w:val="24"/>
        </w:rPr>
        <w:t>本件聲請之核心，係指原不起訴處分及駁回再議處分就115年1月21日前後換鎖排除占有一節，認事用法尚有未洽。聲請人主張之犯罪事實，重點在於：一、換鎖前聲請人已以系爭房地作為24小時居住生活及營業研發使用空間；二、被告於換鎖前已知悉聲請人為現實占有人，並預告將更換門鎖；三、雙方爭議既已進入調解程序，被告仍於調解期日前私自換鎖，造成聲請人住居、營業及財產支配之持續排除。</w:t>
      </w:r>
    </w:p>
    <w:p>
      <w:pPr>
        <w:spacing w:after="100" w:line="324" w:lineRule="auto"/>
        <w:ind w:firstLine="480"/>
      </w:pPr>
      <w:r>
        <w:rPr>
          <w:rFonts w:ascii="標楷體" w:hAnsi="標楷體" w:eastAsia="標楷體"/>
          <w:b w:val="0"/>
          <w:sz w:val="24"/>
        </w:rPr>
        <w:t>至於115年1月21日以後至1月30日之行蹤紀錄、車宿照片及相關資料，並非用以擴張為另案新犯罪事實，而係用以佐證被告1月21日換鎖行為之結果：聲請人確因遭換鎖排除而無法返回原本24小時使用之住居所，必須在外奔走、車宿，並承受持續性之生活排除與權利妨害。故該等資料請作為換鎖行為是否造成實際壓制力及持續妨害結果之補強證據。</w:t>
      </w:r>
    </w:p>
    <w:p>
      <w:pPr>
        <w:spacing w:after="100" w:line="324" w:lineRule="auto"/>
        <w:ind w:firstLine="480"/>
      </w:pPr>
      <w:r>
        <w:rPr>
          <w:rFonts w:ascii="標楷體" w:hAnsi="標楷體" w:eastAsia="標楷體"/>
          <w:b w:val="0"/>
          <w:sz w:val="24"/>
        </w:rPr>
        <w:t>換言之，本件並非單純指摘「對物換鎖」本身，而係主張被告明知該處為聲請人24小時居住生活使用之住居及營業空間，仍以私力更換門鎖，藉由控制出入口排除聲請人進入、居住、營業及取用財產。其物理手段雖呈現於門鎖，實際效果則作用於聲請人本人之住居、營業及財產使用權利，與原處分所稱單純對物行為不同。</w:t>
      </w:r>
    </w:p>
    <w:p>
      <w:pPr>
        <w:keepNext/>
        <w:spacing w:before="200" w:after="120"/>
      </w:pPr>
      <w:r>
        <w:rPr>
          <w:rFonts w:ascii="標楷體" w:hAnsi="標楷體" w:eastAsia="標楷體"/>
          <w:b/>
          <w:sz w:val="26"/>
        </w:rPr>
        <w:t>伍、聲請人就系爭房地有合法占有之權源，原處分認定有誤</w:t>
      </w:r>
    </w:p>
    <w:p>
      <w:pPr>
        <w:keepNext/>
        <w:spacing w:before="120" w:after="80"/>
      </w:pPr>
      <w:r>
        <w:rPr>
          <w:rFonts w:ascii="標楷體" w:hAnsi="標楷體" w:eastAsia="標楷體"/>
          <w:b/>
          <w:sz w:val="24"/>
        </w:rPr>
        <w:t>一、聲請人為系爭房地之合法占有人，被告亦明知此情</w:t>
      </w:r>
    </w:p>
    <w:p>
      <w:pPr>
        <w:spacing w:line="324" w:lineRule="auto" w:after="80"/>
        <w:ind w:left="480" w:hanging="480"/>
      </w:pPr>
      <w:r>
        <w:rPr>
          <w:rFonts w:ascii="標楷體" w:hAnsi="標楷體" w:eastAsia="標楷體"/>
          <w:b w:val="0"/>
          <w:sz w:val="24"/>
        </w:rPr>
        <w:t>（一）</w:t>
      </w:r>
      <w:r>
        <w:rPr>
          <w:rFonts w:ascii="標楷體" w:hAnsi="標楷體" w:eastAsia="標楷體"/>
          <w:b w:val="0"/>
          <w:sz w:val="24"/>
        </w:rPr>
        <w:t>原處分自承：案外人彭鈴鈞於114年10月30日簽署委託書，將系爭房地之租賃權益委託聲請人處理，該委託書影本附卷可稽。是聲請人係基於彭鈴鈞之合法委託授權而占有使用系爭房地，為有權占有，原處分對此有利於聲請人之卷證，竟未予評價。</w:t>
      </w:r>
    </w:p>
    <w:p>
      <w:pPr>
        <w:spacing w:line="324" w:lineRule="auto" w:after="80"/>
        <w:ind w:left="480" w:hanging="480"/>
      </w:pPr>
      <w:r>
        <w:rPr>
          <w:rFonts w:ascii="標楷體" w:hAnsi="標楷體" w:eastAsia="標楷體"/>
          <w:b w:val="0"/>
          <w:sz w:val="24"/>
        </w:rPr>
        <w:t>（二）被告明知聲請人為實質占有人及出資方：被告於錄音中親口表示「生意是你們的……你們去標、去承租該負的責任，我當你們的房客」，且於114年10月16日通訊軟體訊息明確稱「珍禾的你要請他拿錢下來」。足證被告自始明知並承認聲請人為系爭房地之實際經營者、出資人及合法占有人。又被告於114年11月28日與彭鈴鈞之LINE對話中，明白表示「現在你是二房東你有權利」，足證被告承認彭鈴鈞對系爭房地具二房東地位，從而聲請人基於彭鈴鈞之委託授權占有使用系爭房地，其合法占有地位為被告所明知。</w:t>
      </w:r>
      <w:r>
        <w:rPr>
          <w:rFonts w:ascii="標楷體" w:hAnsi="標楷體" w:eastAsia="標楷體"/>
          <w:b w:val="0"/>
          <w:sz w:val="24"/>
        </w:rPr>
      </w:r>
    </w:p>
    <w:p>
      <w:pPr>
        <w:spacing w:line="324" w:lineRule="auto" w:after="80"/>
        <w:ind w:left="480" w:hanging="480"/>
      </w:pPr>
      <w:r>
        <w:rPr>
          <w:rFonts w:ascii="標楷體" w:hAnsi="標楷體" w:eastAsia="標楷體"/>
          <w:b w:val="0"/>
          <w:sz w:val="24"/>
        </w:rPr>
        <w:t>原處分以「聲請人非讓渡契約當事人」即否定聲請人之占有權源，似將民事契約請求權問題與刑法第304條所稱「妨害人行使權利」之判斷混為一談。強制罪所保護者為個人意思決定及意思實現自由；本件應審究者，係聲請人既已現實占有並使用系爭房地，其居住、營業及取用財物等權利之行使，是否因被告換鎖而遭妨害，不應僅以雙方是否為讓渡契約當事人作為判斷依據。</w:t>
      </w:r>
    </w:p>
    <w:p>
      <w:pPr>
        <w:spacing w:line="324" w:lineRule="auto" w:after="100"/>
        <w:ind w:firstLine="480"/>
      </w:pPr>
      <w:r>
        <w:rPr>
          <w:rFonts w:ascii="標楷體" w:hAnsi="標楷體" w:eastAsia="標楷體"/>
          <w:b w:val="0"/>
          <w:sz w:val="24"/>
        </w:rPr>
        <w:t>綜上，聲請人係基於彭鈴鈞之委託授權而占有使用系爭房地，被告亦知悉此情。原處分僅以「無契約關係」否定聲請人之占有權源，認定尚有未洽。</w:t>
      </w:r>
    </w:p>
    <w:p>
      <w:pPr>
        <w:keepNext/>
        <w:spacing w:before="200" w:after="120"/>
      </w:pPr>
      <w:r>
        <w:rPr>
          <w:rFonts w:ascii="標楷體" w:hAnsi="標楷體" w:eastAsia="標楷體"/>
          <w:b/>
          <w:sz w:val="26"/>
        </w:rPr>
        <w:t>陸、被告縱有使用權爭執，亦不宜於調解程序進行中以換鎖私力排除聲請人占有</w:t>
      </w:r>
    </w:p>
    <w:p>
      <w:pPr>
        <w:keepNext/>
        <w:spacing w:before="120" w:after="80"/>
      </w:pPr>
      <w:r>
        <w:rPr>
          <w:rFonts w:ascii="標楷體" w:hAnsi="標楷體" w:eastAsia="標楷體"/>
          <w:b/>
          <w:sz w:val="24"/>
        </w:rPr>
        <w:t>一、爭議已進入調解程序，被告仍擅自換鎖，難認得以自助行為正當化</w:t>
      </w:r>
    </w:p>
    <w:p>
      <w:pPr>
        <w:spacing w:line="324" w:lineRule="auto" w:after="100"/>
        <w:ind w:firstLine="480"/>
      </w:pPr>
      <w:r>
        <w:rPr>
          <w:rFonts w:ascii="標楷體" w:hAnsi="標楷體" w:eastAsia="標楷體"/>
          <w:b w:val="0"/>
          <w:sz w:val="24"/>
        </w:rPr>
        <w:t>民法第151條雖就自助行為設有損害賠償責任之例外，惟其要件限於為保護自己權利，且有「不及受法院或其他有關機關援助，並非於其時為之，則請求權不得實行或其實行顯有困難」之情形。雙方爭議既已進入調解程序，且尚有民事訴訟、返還占有或強制執行等程序可循，被告逕以換鎖排除現實占有，是否仍符合自助行為之嚴格要件，顯有疑義。</w:t>
      </w:r>
    </w:p>
    <w:p>
      <w:pPr>
        <w:spacing w:line="324" w:lineRule="auto" w:after="80"/>
        <w:ind w:left="480" w:hanging="480"/>
      </w:pPr>
      <w:r>
        <w:rPr>
          <w:rFonts w:ascii="標楷體" w:hAnsi="標楷體" w:eastAsia="標楷體"/>
          <w:b w:val="0"/>
          <w:sz w:val="24"/>
        </w:rPr>
        <w:t>（一）</w:t>
      </w:r>
      <w:r>
        <w:rPr>
          <w:rFonts w:ascii="標楷體" w:hAnsi="標楷體" w:eastAsia="標楷體"/>
          <w:b w:val="0"/>
          <w:sz w:val="24"/>
        </w:rPr>
        <w:t>聲請人因租賃及押金爭議，早於115年1月14日即向調解委員會申請調解，調解期日定於115年2月4日。</w:t>
      </w:r>
    </w:p>
    <w:p>
      <w:pPr>
        <w:spacing w:line="324" w:lineRule="auto" w:after="80"/>
        <w:ind w:left="480" w:hanging="480"/>
      </w:pPr>
      <w:r>
        <w:rPr>
          <w:rFonts w:ascii="標楷體" w:hAnsi="標楷體" w:eastAsia="標楷體"/>
          <w:b w:val="0"/>
          <w:sz w:val="24"/>
        </w:rPr>
        <w:t>（二）被告知悉雙方已進入調解程序，仍於115年1月21日22時10分前、即調解期日之前，趁聲請人不在場時更換系爭房屋門鎖，排除聲請人之占有。此一行為係以私力先行改變占有現狀，與通常應循司法或調解程序處理之方式不符。</w:t>
      </w:r>
    </w:p>
    <w:p>
      <w:pPr>
        <w:spacing w:line="324" w:lineRule="auto" w:after="80"/>
        <w:ind w:left="480" w:hanging="480"/>
      </w:pPr>
      <w:r>
        <w:rPr>
          <w:rFonts w:ascii="標楷體" w:hAnsi="標楷體" w:eastAsia="標楷體"/>
          <w:b w:val="0"/>
          <w:sz w:val="24"/>
        </w:rPr>
        <w:t>（三）被告於115年1月20日親自張貼並簽名之「正式法律公告」中，記載排除聲請人占有之正確途徑為「依法提起民事返還占有物之訴」及「經合理催告後」處理，並自承「未經司法強制執行程序之搬運或處置，均屬違法」。然被告翌日即更換門鎖排除聲請人占有，與其公告所載應循合法程序處理之立場不符，足認其對合法程序及占有爭議均已有認識。</w:t>
      </w:r>
    </w:p>
    <w:p>
      <w:pPr>
        <w:spacing w:line="324" w:lineRule="auto" w:after="80"/>
        <w:ind w:left="480" w:hanging="480"/>
      </w:pPr>
      <w:r>
        <w:rPr>
          <w:rFonts w:ascii="標楷體" w:hAnsi="標楷體" w:eastAsia="標楷體"/>
          <w:b w:val="0"/>
          <w:sz w:val="24"/>
        </w:rPr>
        <w:t>（四）被告嗣於115年2月4日調解期日未到場（調解不成立證明書參照），亦顯示其未循既有調解程序解決爭議，而先以換鎖形成既成事實。原處分逕認被告換鎖係「合法之權利行使」，對已有調解程序可循而仍以私力排除占有之情節，尚未充分審酌。</w:t>
      </w:r>
    </w:p>
    <w:p>
      <w:pPr>
        <w:spacing w:line="324" w:lineRule="auto" w:after="80"/>
        <w:ind w:left="480" w:hanging="480"/>
      </w:pPr>
      <w:r>
        <w:rPr>
          <w:rFonts w:ascii="標楷體" w:hAnsi="標楷體" w:eastAsia="標楷體"/>
          <w:b w:val="0"/>
          <w:sz w:val="24"/>
        </w:rPr>
        <w:t>（五）又原處分採信被告所辯「彭鈴鈞於1月12日合意終止」。然彭鈴鈞之終止與否，係被告與彭鈴鈞間之民事關係；聲請人之占有權源則來自114年10月30日之委託授權。被告未對聲請人踐行合法返還請求、點交或司法程序，即逕自換鎖排除其占有，其合法性仍應審慎調查。</w:t>
      </w:r>
    </w:p>
    <w:p>
      <w:pPr>
        <w:spacing w:line="324" w:lineRule="auto" w:after="100"/>
        <w:ind w:firstLine="480"/>
      </w:pPr>
      <w:r>
        <w:rPr>
          <w:rFonts w:ascii="標楷體" w:hAnsi="標楷體" w:eastAsia="標楷體"/>
          <w:b w:val="0"/>
          <w:sz w:val="24"/>
        </w:rPr>
        <w:t>綜上，被告於調解程序進行中擅自換鎖，是否得以使用權爭執或自助行為主張排除違法，尚非無疑。原處分未就此詳予審酌，認定尚有未洽。</w:t>
      </w:r>
    </w:p>
    <w:p>
      <w:pPr>
        <w:keepNext/>
        <w:spacing w:before="200" w:after="120"/>
      </w:pPr>
      <w:r>
        <w:rPr>
          <w:rFonts w:ascii="標楷體" w:hAnsi="標楷體" w:eastAsia="標楷體"/>
          <w:b/>
          <w:sz w:val="26"/>
        </w:rPr>
        <w:t>柒、原處分援引之最高法院見解與本案事實基礎有別，應審究換鎖是否已妨害聲請人行使權利</w:t>
      </w:r>
    </w:p>
    <w:p>
      <w:pPr>
        <w:keepNext/>
        <w:spacing w:before="120" w:after="80"/>
      </w:pPr>
      <w:r>
        <w:rPr>
          <w:rFonts w:ascii="標楷體" w:hAnsi="標楷體" w:eastAsia="標楷體"/>
          <w:b/>
          <w:sz w:val="24"/>
        </w:rPr>
        <w:t>一、被告換鎖具有持續排除占有之效果，與單純一次性對物行為有別</w:t>
      </w:r>
    </w:p>
    <w:p>
      <w:pPr>
        <w:spacing w:line="324" w:lineRule="auto" w:after="100"/>
        <w:ind w:firstLine="480"/>
      </w:pPr>
      <w:r>
        <w:rPr>
          <w:rFonts w:ascii="標楷體" w:hAnsi="標楷體" w:eastAsia="標楷體"/>
          <w:b w:val="0"/>
          <w:sz w:val="24"/>
        </w:rPr>
        <w:t>刑法第304條之強制罪，明定行為態樣包含「使人行無義務之事」及「妨害人行使權利」。本件換鎖排除占有，係持續限制聲請人對居住及營業空間之進入與支配；聲請人於返回現場後，現實遭遇無法進入、居住及營業之結果，與單純一次性對物施力且未對人之權利行使發生後續限制之情形，事實基礎有別。</w:t>
      </w:r>
    </w:p>
    <w:p>
      <w:pPr>
        <w:spacing w:line="324" w:lineRule="auto" w:after="80"/>
        <w:ind w:left="480" w:hanging="480"/>
      </w:pPr>
      <w:r>
        <w:rPr>
          <w:rFonts w:ascii="標楷體" w:hAnsi="標楷體" w:eastAsia="標楷體"/>
          <w:b w:val="0"/>
          <w:sz w:val="24"/>
        </w:rPr>
        <w:t>（一）原處分援引之最高法院108年度台上字第4184號、111年度台上字第2978號判決，係針對「對物施以一次性強暴而被害人未在場感受壓制力」之個案。本案被告換鎖之效果則持續排除聲請人之占有，聲請人於返回現場時，現實遭遇無法進入、無法居住及營業之妨害。是本案是否得與上開判決之個案事實等同視之，仍應依卷證具體判斷。</w:t>
      </w:r>
    </w:p>
    <w:p>
      <w:pPr>
        <w:spacing w:line="324" w:lineRule="auto" w:after="80"/>
        <w:ind w:left="480" w:hanging="480"/>
      </w:pPr>
      <w:r>
        <w:rPr>
          <w:rFonts w:ascii="標楷體" w:hAnsi="標楷體" w:eastAsia="標楷體"/>
          <w:b w:val="0"/>
          <w:sz w:val="24"/>
        </w:rPr>
        <w:t>（二）強制罪除「使人行無義務之事」外，尚包含「妨害人行使權利」。被告換鎖如已造成聲請人不能行使其對系爭房地之居住使用、營業使用及取用財產等權利，即應審究其妨害結果是否已作用於聲請人本人。原處分僅以「換鎖係對物、聲請人換鎖當時不在場」立論，對「妨害人行使權利」之態樣是否成立，尚未充分審酌。</w:t>
      </w:r>
    </w:p>
    <w:p>
      <w:pPr>
        <w:spacing w:line="324" w:lineRule="auto" w:after="80"/>
        <w:ind w:left="480" w:hanging="480"/>
      </w:pPr>
      <w:r>
        <w:rPr>
          <w:rFonts w:ascii="標楷體" w:hAnsi="標楷體" w:eastAsia="標楷體"/>
          <w:b w:val="0"/>
          <w:sz w:val="24"/>
        </w:rPr>
        <w:t>又被告換鎖所生之妨害，並非換鎖當時一瞬間即告終了，而係持續存在：聲請人於換鎖後每次返回系爭房地，均現實遭遇無法進入、無法返家之結果，並於115年1月21日以後提出行蹤及車宿資料作為佐證。該等資料並非主張另一新犯罪事實，而係用以證明被告換鎖之效果持續作用於聲請人之生活、居住及財產使用，請鈞院併予審酌。</w:t>
      </w:r>
    </w:p>
    <w:p>
      <w:pPr>
        <w:spacing w:line="324" w:lineRule="auto" w:after="80"/>
        <w:ind w:left="480" w:hanging="480"/>
      </w:pPr>
      <w:r>
        <w:rPr>
          <w:rFonts w:ascii="標楷體" w:hAnsi="標楷體" w:eastAsia="標楷體"/>
          <w:b w:val="0"/>
          <w:sz w:val="24"/>
        </w:rPr>
        <w:t>（三）系爭房地為聲請人24小時居住生活之住居所：聲請人並無其他固定住所，係於系爭房地（河北路213、215號）一處兼供居住起居與研發營業，生活用品、衣物、廚具、電火鍋炊事痕跡、研發設備及重要財產均置於該處，並有樓上生活照片可資佐證。被告換鎖之效果，非僅妨害聲請人之營業使用，更使聲請人無法返還其原住居所，影響其日常生活及居住安定。此種對住居所出入口之控制，與一般單純店面換鎖或一次性對物行為仍有區別。此外，法務部行政執行署屏東分署於114年11月26日送達聲請人之公文封，其「受送達人居住所」欄載明聲請人之地址為「臺中市北屯區河北路二段215號（目前現住）」，足見換鎖前系爭房地已有行政機關文書記載為聲請人之現住居所；又被告於114年11月28日LINE中亦稱「你去通知珍禾，他的樓梯口有一張法院的通知，請他去拿」，亦可佐證被告知悉聲請人居住於系爭房地。</w:t>
      </w:r>
    </w:p>
    <w:p>
      <w:pPr>
        <w:spacing w:line="324" w:lineRule="auto" w:after="80"/>
        <w:ind w:left="480" w:hanging="480"/>
      </w:pPr>
      <w:r>
        <w:rPr>
          <w:rFonts w:ascii="標楷體" w:hAnsi="標楷體" w:eastAsia="標楷體"/>
          <w:b w:val="0"/>
          <w:sz w:val="24"/>
        </w:rPr>
        <w:t>（四）被告於115年1月19日律師函中已預告將逕行更換系爭房屋門鎖，並於換鎖前一日即115年1月20日親簽之公告中，自承聲請人為「現佔用人」、正「持續佔用空間及留置其私人物品」。足證被告於換鎖時，主觀上知悉聲請人為系爭房地之現實占有人，亦知悉雙方對占有狀態有所爭議，並非誤認房屋已空而換鎖；又聲請人於同日亦在系爭房地張貼嚴正聲明，公開主張其占有並表示不得換鎖。雙方於同日對貼公告，被告仍於翌日更換門鎖，應認其係針對聲請人之占有及使用狀態而為，並非單純對物之行為。</w:t>
      </w:r>
    </w:p>
    <w:p>
      <w:pPr>
        <w:spacing w:line="324" w:lineRule="auto" w:after="80"/>
        <w:ind w:left="480" w:hanging="480"/>
      </w:pPr>
      <w:r>
        <w:rPr>
          <w:rFonts w:ascii="標楷體" w:hAnsi="標楷體" w:eastAsia="標楷體"/>
          <w:b w:val="0"/>
          <w:sz w:val="24"/>
        </w:rPr>
        <w:t>（五）聲請人所有之研發設備、咖啡營業器材及生財器具均置於屋內。被告換鎖致聲請人無法進入、無法使用及取回其財產，已妨害聲請人對財產之支配與使用。該等財產現仍置於屋內，被告之換鎖效果持續存在，亦足作為妨害聲請人行使權利結果之判斷資料。</w:t>
      </w:r>
    </w:p>
    <w:p>
      <w:pPr>
        <w:spacing w:line="324" w:lineRule="auto" w:after="100"/>
        <w:ind w:firstLine="480"/>
      </w:pPr>
      <w:r>
        <w:rPr>
          <w:rFonts w:ascii="標楷體" w:hAnsi="標楷體" w:eastAsia="標楷體"/>
          <w:b w:val="0"/>
          <w:sz w:val="24"/>
        </w:rPr>
        <w:t>綜上，原處分援引之前開判決與本案事實基礎是否相同，尚待區辨；且原處分對刑法第304條「妨害人行使權利」之態樣，尚有未充分審酌之處。</w:t>
      </w:r>
    </w:p>
    <w:p>
      <w:pPr>
        <w:keepNext/>
        <w:spacing w:before="200" w:after="120"/>
      </w:pPr>
      <w:r>
        <w:rPr>
          <w:rFonts w:ascii="標楷體" w:hAnsi="標楷體" w:eastAsia="標楷體"/>
          <w:b/>
          <w:sz w:val="26"/>
        </w:rPr>
        <w:t>捌、被告擅自換鎖並進入或控制聲請人住居所出入口，涉犯無故侵入住宅罪部分應予調查</w:t>
      </w:r>
    </w:p>
    <w:p>
      <w:pPr>
        <w:keepNext/>
        <w:spacing w:before="120" w:after="80"/>
      </w:pPr>
      <w:r>
        <w:rPr>
          <w:rFonts w:ascii="標楷體" w:hAnsi="標楷體" w:eastAsia="標楷體"/>
          <w:b/>
          <w:sz w:val="24"/>
        </w:rPr>
        <w:t>一、系爭房地既為聲請人住居所，被告未經同意更換門鎖並進入或控制出入口，應予調查</w:t>
      </w:r>
    </w:p>
    <w:p>
      <w:pPr>
        <w:spacing w:line="324" w:lineRule="auto" w:after="100"/>
        <w:ind w:firstLine="480"/>
      </w:pPr>
      <w:r>
        <w:rPr>
          <w:rFonts w:ascii="標楷體" w:hAnsi="標楷體" w:eastAsia="標楷體"/>
          <w:b w:val="0"/>
          <w:sz w:val="24"/>
        </w:rPr>
        <w:t>刑法第306條規定，無故侵入他人住宅、建築物或附連圍繞之土地或船艦者，處一年以下有期徒刑、拘役或九千元以下罰金；無故隱匿其內，或受退去之要求而仍留滯者，亦同。本罪旨在保護個人之住居安寧與支配權。</w:t>
      </w:r>
    </w:p>
    <w:p>
      <w:pPr>
        <w:spacing w:line="324" w:lineRule="auto" w:after="80"/>
        <w:ind w:left="480" w:hanging="480"/>
      </w:pPr>
      <w:r>
        <w:rPr>
          <w:rFonts w:ascii="標楷體" w:hAnsi="標楷體" w:eastAsia="標楷體"/>
          <w:b w:val="0"/>
          <w:sz w:val="24"/>
        </w:rPr>
        <w:t>（一）</w:t>
      </w:r>
      <w:r>
        <w:rPr>
          <w:rFonts w:ascii="標楷體" w:hAnsi="標楷體" w:eastAsia="標楷體"/>
          <w:b w:val="0"/>
          <w:sz w:val="24"/>
        </w:rPr>
        <w:t>系爭房地為聲請人24小時居住生活之住居所，已如前述。</w:t>
      </w:r>
    </w:p>
    <w:p>
      <w:pPr>
        <w:spacing w:line="324" w:lineRule="auto" w:after="80"/>
        <w:ind w:left="480" w:hanging="480"/>
      </w:pPr>
      <w:r>
        <w:rPr>
          <w:rFonts w:ascii="標楷體" w:hAnsi="標楷體" w:eastAsia="標楷體"/>
          <w:b w:val="0"/>
          <w:sz w:val="24"/>
        </w:rPr>
        <w:t>（二）被告未經聲請人同意，擅自僱請鎖匠更換門鎖，並進入或實質控制該住居所出入口，是否屬無正當權源而侵入他人住宅或建築物之行為，應依現場狀況、換鎖方式及相關證據予以調查。縱被告就房屋使用權有所爭執，亦應循民事程序處理，不得逕以私力進入或控制聲請人之住居所。</w:t>
      </w:r>
    </w:p>
    <w:p>
      <w:pPr>
        <w:spacing w:line="324" w:lineRule="auto" w:after="80"/>
        <w:ind w:left="480" w:hanging="480"/>
      </w:pPr>
      <w:r>
        <w:rPr>
          <w:rFonts w:ascii="標楷體" w:hAnsi="標楷體" w:eastAsia="標楷體"/>
          <w:b w:val="0"/>
          <w:sz w:val="24"/>
        </w:rPr>
        <w:t>（三）聲請人早於115年1月20日張貼之嚴正聲明中，即明文表示反對任何未經同意之換鎖、進入行為。被告知悉該處為聲請人居住使用，亦知悉聲請人反對，仍更換門鎖並進入或控制出入口，其是否具無故侵入之故意，原處分未予調查。</w:t>
      </w:r>
    </w:p>
    <w:p>
      <w:pPr>
        <w:spacing w:line="324" w:lineRule="auto" w:after="100"/>
        <w:ind w:firstLine="480"/>
      </w:pPr>
      <w:r>
        <w:rPr>
          <w:rFonts w:ascii="標楷體" w:hAnsi="標楷體" w:eastAsia="標楷體"/>
          <w:b w:val="0"/>
          <w:sz w:val="24"/>
        </w:rPr>
        <w:t>綜上，被告擅自換鎖並進入或控制聲請人住居所出入口，是否涉犯刑法第306條無故侵入住宅罪，原處分尚未充分審酌。</w:t>
      </w:r>
    </w:p>
    <w:p>
      <w:pPr>
        <w:keepNext/>
        <w:spacing w:before="200" w:after="120"/>
      </w:pPr>
      <w:r>
        <w:rPr>
          <w:rFonts w:ascii="標楷體" w:hAnsi="標楷體" w:eastAsia="標楷體"/>
          <w:b/>
          <w:sz w:val="26"/>
        </w:rPr>
        <w:t>玖、原處分就被告涉犯詐欺得利罪部分尚未充分審酌</w:t>
      </w:r>
    </w:p>
    <w:p>
      <w:pPr>
        <w:keepNext/>
        <w:spacing w:before="120" w:after="80"/>
      </w:pPr>
      <w:r>
        <w:rPr>
          <w:rFonts w:ascii="標楷體" w:hAnsi="標楷體" w:eastAsia="標楷體"/>
          <w:b/>
          <w:sz w:val="24"/>
        </w:rPr>
        <w:t>一、被告是否以詐術使聲請人投入資源，並使自己或第三人取得財產上不法利益，應予調查</w:t>
      </w:r>
    </w:p>
    <w:p>
      <w:pPr>
        <w:spacing w:line="324" w:lineRule="auto" w:after="100"/>
        <w:ind w:firstLine="480"/>
      </w:pPr>
      <w:r>
        <w:rPr>
          <w:rFonts w:ascii="標楷體" w:hAnsi="標楷體" w:eastAsia="標楷體"/>
          <w:b w:val="0"/>
          <w:sz w:val="24"/>
        </w:rPr>
        <w:t>刑法第339條第2項係處罰以前項詐術方法得財產上不法利益，或使第三人得之之行為。詐術得利之成立，仍應審究行為人於使他人投入財產、勞務或利益時，是否已有不法得利意圖及使相對人陷於錯誤之詐術行為。</w:t>
      </w:r>
    </w:p>
    <w:p>
      <w:pPr>
        <w:spacing w:line="324" w:lineRule="auto" w:after="80"/>
        <w:ind w:left="480" w:hanging="480"/>
      </w:pPr>
      <w:r>
        <w:rPr>
          <w:rFonts w:ascii="標楷體" w:hAnsi="標楷體" w:eastAsia="標楷體"/>
          <w:b w:val="0"/>
          <w:sz w:val="24"/>
        </w:rPr>
        <w:t>（一）被告明知其為台糖公司之正式承租人、掌握場地實際控制權，卻以「我當你們的房客、你們去經營」之表示，使聲請人相信其得以持續投入並使用該場地，進而自114年7月起投入研發設備、咖啡設備、招商及裝潢，建立合作信賴基礎。</w:t>
      </w:r>
    </w:p>
    <w:p>
      <w:pPr>
        <w:spacing w:line="324" w:lineRule="auto" w:after="80"/>
        <w:ind w:left="480" w:hanging="480"/>
      </w:pPr>
      <w:r>
        <w:rPr>
          <w:rFonts w:ascii="標楷體" w:hAnsi="標楷體" w:eastAsia="標楷體"/>
          <w:b w:val="0"/>
          <w:sz w:val="24"/>
        </w:rPr>
        <w:t>（二）被告於締約前之114年10月16日即知悉聲請人為出資方，仍促使聲請人持續投入，則其當時是否已有隱瞞重要事實或日後排除聲請人而取得利益之意圖，應予調查。</w:t>
      </w:r>
    </w:p>
    <w:p>
      <w:pPr>
        <w:spacing w:line="324" w:lineRule="auto" w:after="80"/>
        <w:ind w:left="480" w:hanging="480"/>
      </w:pPr>
      <w:r>
        <w:rPr>
          <w:rFonts w:ascii="標楷體" w:hAnsi="標楷體" w:eastAsia="標楷體"/>
          <w:b w:val="0"/>
          <w:sz w:val="24"/>
        </w:rPr>
        <w:t>（三）待聲請人完成場地活化、招商引資後，被告即以換鎖方式排除聲請人。聲請人理解本件准許提起自訴之核心仍在1月21日前後換鎖排除占有之犯罪事實；至於同一店址嗣後於115年5月19日由第三人開張營業之資料，主要係作為被告排除聲請人後利益流向及犯罪動機之補強資料。</w:t>
      </w:r>
    </w:p>
    <w:p>
      <w:pPr>
        <w:spacing w:line="324" w:lineRule="auto" w:after="80"/>
        <w:ind w:left="480" w:hanging="480"/>
      </w:pPr>
      <w:r>
        <w:rPr>
          <w:rFonts w:ascii="標楷體" w:hAnsi="標楷體" w:eastAsia="標楷體"/>
          <w:b w:val="0"/>
          <w:sz w:val="24"/>
        </w:rPr>
        <w:t>（四）被告如係先以可供聲請人經營使用之表示，使聲請人投入勞務、設備成本及招商成果，嗣後再以換鎖方式排除聲請人，並將聲請人投入所形成之場地利益據為自己或第三人使用收益之基礎，則其是否構成刑法第339條第2項詐欺得利，應進一步調查。原處分僅就換鎖強制罪部分審查，對詐欺得利之主觀意圖、詐術內容、利益歸屬及時序關係，尚未充分審酌。</w:t>
      </w:r>
    </w:p>
    <w:p>
      <w:pPr>
        <w:spacing w:line="324" w:lineRule="auto" w:after="100"/>
        <w:ind w:firstLine="480"/>
      </w:pPr>
      <w:r>
        <w:rPr>
          <w:rFonts w:ascii="標楷體" w:hAnsi="標楷體" w:eastAsia="標楷體"/>
          <w:b w:val="0"/>
          <w:sz w:val="24"/>
        </w:rPr>
        <w:t>綜上，被告是否涉犯詐欺得利罪，仍有依卷證進一步調查之必要；原處分未予審究，尚有未洽。</w:t>
      </w:r>
    </w:p>
    <w:p>
      <w:pPr>
        <w:keepNext/>
        <w:spacing w:before="200" w:after="120"/>
      </w:pPr>
      <w:r>
        <w:rPr>
          <w:rFonts w:ascii="標楷體" w:hAnsi="標楷體" w:eastAsia="標楷體"/>
          <w:b/>
          <w:sz w:val="26"/>
        </w:rPr>
        <w:t>拾、結語</w:t>
      </w:r>
    </w:p>
    <w:p>
      <w:pPr>
        <w:spacing w:line="324" w:lineRule="auto" w:after="100"/>
        <w:ind w:firstLine="480"/>
      </w:pPr>
      <w:r>
        <w:rPr>
          <w:rFonts w:ascii="標楷體" w:hAnsi="標楷體" w:eastAsia="標楷體"/>
          <w:b w:val="0"/>
          <w:sz w:val="24"/>
        </w:rPr>
        <w:t>綜上所述，原駁回處分：一、就聲請人基於委託授權之占有使用權源，認定尚有未洽；二、對已有調解程序及民事程序可循，被告仍於翌日私力換鎖排除占有之情節，尚未充分審酌；三、援引最高法院判決時，未充分區辨本案換鎖具有持續排除住居、營業及財產使用之效果，並可能涉及刑法第304條「妨害人行使權利」之態樣；四、就被告更換門鎖並進入或控制聲請人住居所出入口，是否涉犯刑法第306條無故侵入住宅罪，尚未調查；五、就被告是否以詐術使聲請人投入資源，並使自己或第三人取得財產上不法利益，尚未審酌。本案依卷內事證及聲請人所陳，被告涉犯強制罪、無故侵入住宅罪及詐欺得利罪之犯罪嫌疑已有相當理由，至少有進一步審究之必要。爰依刑事訴訟法第258條之1，懇請鈞院詳查卷證，裁定准許聲請人對被告提起自訴，以維權益。</w:t>
      </w:r>
    </w:p>
    <w:p>
      <w:pPr>
        <w:spacing w:line="324" w:lineRule="auto" w:after="100"/>
      </w:pPr>
      <w:r>
        <w:rPr>
          <w:rFonts w:ascii="標楷體" w:hAnsi="標楷體" w:eastAsia="標楷體"/>
          <w:b w:val="0"/>
          <w:sz w:val="24"/>
        </w:rPr>
        <w:t>謹　狀</w:t>
      </w:r>
    </w:p>
    <w:p>
      <w:pPr>
        <w:spacing w:line="324" w:lineRule="auto" w:after="100"/>
      </w:pPr>
      <w:r>
        <w:rPr>
          <w:rFonts w:ascii="標楷體" w:hAnsi="標楷體" w:eastAsia="標楷體"/>
          <w:b w:val="0"/>
          <w:sz w:val="24"/>
        </w:rPr>
        <w:t>臺灣臺中地方法院　刑事庭　公鑒</w:t>
      </w:r>
    </w:p>
    <w:p>
      <w:pPr>
        <w:keepNext/>
        <w:spacing w:before="200" w:after="120"/>
      </w:pPr>
      <w:r>
        <w:rPr>
          <w:rFonts w:ascii="標楷體" w:hAnsi="標楷體" w:eastAsia="標楷體"/>
          <w:b/>
          <w:sz w:val="26"/>
        </w:rPr>
        <w:t>證據及附件</w:t>
      </w:r>
    </w:p>
    <w:p>
      <w:pPr>
        <w:spacing w:line="324" w:lineRule="auto" w:after="80"/>
        <w:ind w:left="480" w:hanging="480"/>
      </w:pPr>
      <w:r>
        <w:rPr>
          <w:rFonts w:ascii="標楷體" w:hAnsi="標楷體" w:eastAsia="標楷體"/>
          <w:b w:val="0"/>
          <w:sz w:val="24"/>
        </w:rPr>
        <w:t>一、</w:t>
      </w:r>
      <w:r>
        <w:rPr>
          <w:rFonts w:ascii="標楷體" w:hAnsi="標楷體" w:eastAsia="標楷體"/>
          <w:b w:val="0"/>
          <w:sz w:val="24"/>
        </w:rPr>
        <w:t>臺灣高等檢察署臺中檢察分署115年度上聲議字第1817號駁回處分書影本。</w:t>
      </w:r>
    </w:p>
    <w:p>
      <w:pPr>
        <w:spacing w:line="324" w:lineRule="auto" w:after="80"/>
        <w:ind w:left="480" w:hanging="480"/>
      </w:pPr>
      <w:r>
        <w:rPr>
          <w:rFonts w:ascii="標楷體" w:hAnsi="標楷體" w:eastAsia="標楷體"/>
          <w:b w:val="0"/>
          <w:sz w:val="24"/>
        </w:rPr>
        <w:t>二、</w:t>
      </w:r>
      <w:r>
        <w:rPr>
          <w:rFonts w:ascii="標楷體" w:hAnsi="標楷體" w:eastAsia="標楷體"/>
          <w:b w:val="0"/>
          <w:sz w:val="24"/>
        </w:rPr>
        <w:t>臺中地檢署115年度偵字第19097號不起訴處分書影本。</w:t>
      </w:r>
    </w:p>
    <w:p>
      <w:pPr>
        <w:spacing w:line="324" w:lineRule="auto" w:after="80"/>
        <w:ind w:left="480" w:hanging="480"/>
      </w:pPr>
      <w:r>
        <w:rPr>
          <w:rFonts w:ascii="標楷體" w:hAnsi="標楷體" w:eastAsia="標楷體"/>
          <w:b w:val="0"/>
          <w:sz w:val="24"/>
        </w:rPr>
        <w:t>三、</w:t>
      </w:r>
      <w:r>
        <w:rPr>
          <w:rFonts w:ascii="標楷體" w:hAnsi="標楷體" w:eastAsia="標楷體"/>
          <w:b w:val="0"/>
          <w:sz w:val="24"/>
        </w:rPr>
        <w:t>114年10月30日彭鈴鈞委託書影本（證明聲請人合法占有之權源）。</w:t>
      </w:r>
    </w:p>
    <w:p>
      <w:pPr>
        <w:spacing w:line="324" w:lineRule="auto" w:after="80"/>
        <w:ind w:left="480" w:hanging="480"/>
      </w:pPr>
      <w:r>
        <w:rPr>
          <w:rFonts w:ascii="標楷體" w:hAnsi="標楷體" w:eastAsia="標楷體"/>
          <w:b w:val="0"/>
          <w:sz w:val="24"/>
        </w:rPr>
        <w:t>四、</w:t>
      </w:r>
      <w:r>
        <w:rPr>
          <w:rFonts w:ascii="標楷體" w:hAnsi="標楷體" w:eastAsia="標楷體"/>
          <w:b w:val="0"/>
          <w:sz w:val="24"/>
        </w:rPr>
        <w:t>錄音譯文節錄（證明被告承認聲請人合法占有地位）。</w:t>
      </w:r>
    </w:p>
    <w:p>
      <w:pPr>
        <w:spacing w:line="324" w:lineRule="auto" w:after="80"/>
        <w:ind w:left="480" w:hanging="480"/>
      </w:pPr>
      <w:r>
        <w:rPr>
          <w:rFonts w:ascii="標楷體" w:hAnsi="標楷體" w:eastAsia="標楷體"/>
          <w:b w:val="0"/>
          <w:sz w:val="24"/>
        </w:rPr>
        <w:t>四之一、</w:t>
      </w:r>
      <w:r>
        <w:rPr>
          <w:rFonts w:ascii="標楷體" w:hAnsi="標楷體" w:eastAsia="標楷體"/>
          <w:b w:val="0"/>
          <w:sz w:val="24"/>
        </w:rPr>
        <w:t>115年1月19日被告委任洪健茗律師（盛惠國際法律事務所）發予彭鈴鈞之律師函影本（一一五盛字第115001190號，含郵局存證信函、信封）。被告於函中第九點預告「將逕行更換系爭房屋門鎖」，證明換鎖係預謀；並自承5萬元為讓渡解除返還，與聲請人1月13日存證信函主張形成正面爭執。</w:t>
      </w:r>
    </w:p>
    <w:p>
      <w:pPr>
        <w:spacing w:line="324" w:lineRule="auto" w:after="80"/>
        <w:ind w:left="480" w:hanging="480"/>
      </w:pPr>
      <w:r>
        <w:rPr>
          <w:rFonts w:ascii="標楷體" w:hAnsi="標楷體" w:eastAsia="標楷體"/>
          <w:b w:val="0"/>
          <w:sz w:val="24"/>
        </w:rPr>
        <w:t>五、115年1月20日被告吳桂蘭親簽之「正式法律公告」影本（證明被告知悉聲請人為現佔用人，並自承應循民事訴訟及司法程序處理）。</w:t>
      </w:r>
    </w:p>
    <w:p>
      <w:pPr>
        <w:spacing w:line="324" w:lineRule="auto" w:after="80"/>
        <w:ind w:left="480" w:hanging="480"/>
      </w:pPr>
      <w:r>
        <w:rPr>
          <w:rFonts w:ascii="標楷體" w:hAnsi="標楷體" w:eastAsia="標楷體"/>
          <w:b w:val="0"/>
          <w:sz w:val="24"/>
        </w:rPr>
        <w:t>六、</w:t>
      </w:r>
      <w:r>
        <w:rPr>
          <w:rFonts w:ascii="標楷體" w:hAnsi="標楷體" w:eastAsia="標楷體"/>
          <w:b w:val="0"/>
          <w:sz w:val="24"/>
        </w:rPr>
        <w:t>115年1月20日聲請人張貼之「嚴正聲明」照片及彭鈴鈞通訊軟體對話紀錄（證明同日雙方對貼、聲請人主張占有在先；聲明落款2月20日為誤植，以通訊軟體時間戳及報案紀錄佐證實際為1月20日）。</w:t>
      </w:r>
    </w:p>
    <w:p>
      <w:pPr>
        <w:spacing w:line="324" w:lineRule="auto" w:after="80"/>
        <w:ind w:left="480" w:hanging="480"/>
      </w:pPr>
      <w:r>
        <w:rPr>
          <w:rFonts w:ascii="標楷體" w:hAnsi="標楷體" w:eastAsia="標楷體"/>
          <w:b w:val="0"/>
          <w:sz w:val="24"/>
        </w:rPr>
        <w:t>七、115年1月14日調解申請紀錄、115年2月4日調解不成立證明書（證明雙方爭議已進入調解程序，仍發生換鎖排除占有情事）。</w:t>
      </w:r>
    </w:p>
    <w:p>
      <w:pPr>
        <w:spacing w:line="324" w:lineRule="auto" w:after="80"/>
        <w:ind w:left="480" w:hanging="480"/>
      </w:pPr>
      <w:r>
        <w:rPr>
          <w:rFonts w:ascii="標楷體" w:hAnsi="標楷體" w:eastAsia="標楷體"/>
          <w:b w:val="0"/>
          <w:sz w:val="24"/>
        </w:rPr>
        <w:t>八、</w:t>
      </w:r>
      <w:r>
        <w:rPr>
          <w:rFonts w:ascii="標楷體" w:hAnsi="標楷體" w:eastAsia="標楷體"/>
          <w:b w:val="0"/>
          <w:sz w:val="24"/>
        </w:rPr>
        <w:t>系爭房屋內研發設備及生財器具現狀照片（證明聲請人財產完好置於屋內、遭換鎖封存無法取回）及設備購買、租賃證明。</w:t>
      </w:r>
    </w:p>
    <w:p>
      <w:pPr>
        <w:spacing w:line="324" w:lineRule="auto" w:after="80"/>
        <w:ind w:left="480" w:hanging="480"/>
      </w:pPr>
      <w:r>
        <w:rPr>
          <w:rFonts w:ascii="標楷體" w:hAnsi="標楷體" w:eastAsia="標楷體"/>
          <w:b w:val="0"/>
          <w:sz w:val="24"/>
        </w:rPr>
        <w:t>九、115年5月19日同址第三人開業照片、門牌、收據（佐證排除聲請人後之利益流向及犯罪動機）。</w:t>
      </w:r>
    </w:p>
    <w:p>
      <w:pPr>
        <w:spacing w:line="324" w:lineRule="auto" w:after="80"/>
        <w:ind w:left="480" w:hanging="480"/>
      </w:pPr>
      <w:r>
        <w:rPr>
          <w:rFonts w:ascii="標楷體" w:hAnsi="標楷體" w:eastAsia="標楷體"/>
        </w:rPr>
        <w:t>十、114年10月16日通訊軟體訊息截圖（證明被告明知聲請人為出資方）。</w:t>
      </w:r>
    </w:p>
    <w:p>
      <w:pPr>
        <w:spacing w:line="324" w:lineRule="auto" w:after="80"/>
        <w:ind w:left="480" w:hanging="480"/>
      </w:pPr>
      <w:r>
        <w:rPr>
          <w:rFonts w:ascii="標楷體" w:hAnsi="標楷體" w:eastAsia="標楷體"/>
        </w:rPr>
        <w:t>十一、系爭房地樓上生活照片整理（含廚房、電火鍋煮飯、曬衣、研發桌、屋內自拍等，證明聲請人於1月21日前已以該處作為24小時居住生活空間）。</w:t>
      </w:r>
    </w:p>
    <w:p>
      <w:pPr>
        <w:spacing w:line="324" w:lineRule="auto" w:after="80"/>
        <w:ind w:left="480" w:hanging="480"/>
      </w:pPr>
      <w:r>
        <w:rPr>
          <w:rFonts w:ascii="標楷體" w:hAnsi="標楷體" w:eastAsia="標楷體"/>
        </w:rPr>
        <w:t>十二、法務部行政執行署屏東分署公文封（114年11月26日；「受送達人居住所」欄載明聲請人現住地址為臺中市北屯區河北路二段215號，係國家行政機關正式文書認定系爭房地為聲請人之現住居所）。</w:t>
      </w:r>
    </w:p>
    <w:p>
      <w:pPr>
        <w:spacing w:line="324" w:lineRule="auto" w:after="80"/>
        <w:ind w:left="480" w:hanging="480"/>
      </w:pPr>
      <w:r>
        <w:rPr>
          <w:rFonts w:ascii="標楷體" w:hAnsi="標楷體" w:eastAsia="標楷體"/>
        </w:rPr>
        <w:t>十三、被告吳桂蘭與彭鈴鈞114年11月28日LINE對話截圖（被告自承「現在你是二房東你有權利」，承認彭鈴鈞之二房東地位，從而聲請人之合法占有為被告所明知；被告並稱「你去通知珍禾，他的樓梯口有一張法院的通知，請他去拿」，足證被告明知聲請人居住於系爭房地）。</w:t>
      </w:r>
    </w:p>
    <w:p>
      <w:pPr>
        <w:spacing w:line="324" w:lineRule="auto" w:after="80"/>
        <w:ind w:left="480" w:hanging="480"/>
      </w:pPr>
      <w:r>
        <w:rPr>
          <w:rFonts w:ascii="標楷體" w:hAnsi="標楷體" w:eastAsia="標楷體"/>
        </w:rPr>
        <w:t>十四、115年1月21日至1月30日之行蹤紀錄、車宿照片整理（證明換鎖後聲請人無法返回原住居所，須在外奔走及車宿，作為換鎖行為持續妨害結果之補強證據）。</w:t>
      </w:r>
    </w:p>
    <w:p>
      <w:pPr>
        <w:spacing w:line="324" w:lineRule="auto" w:after="80"/>
        <w:ind w:left="480" w:hanging="480"/>
      </w:pPr>
      <w:r>
        <w:rPr>
          <w:rFonts w:ascii="標楷體" w:hAnsi="標楷體" w:eastAsia="標楷體"/>
          <w:b w:val="0"/>
          <w:sz w:val="24"/>
        </w:rPr>
        <w:t>十五、報案受理證明。</w:t>
      </w:r>
    </w:p>
    <w:p>
      <w:pPr>
        <w:spacing w:line="324" w:lineRule="auto" w:after="80"/>
        <w:ind w:left="480" w:hanging="480"/>
      </w:pPr>
      <w:r>
        <w:rPr>
          <w:rFonts w:ascii="標楷體" w:hAnsi="標楷體" w:eastAsia="標楷體"/>
          <w:b w:val="0"/>
          <w:sz w:val="24"/>
        </w:rPr>
        <w:t>十六、委任狀乙份。</w:t>
      </w:r>
    </w:p>
    <w:p/>
    <w:p>
      <w:pPr>
        <w:spacing w:line="324" w:lineRule="auto" w:after="100"/>
      </w:pPr>
      <w:r>
        <w:rPr>
          <w:rFonts w:ascii="標楷體" w:hAnsi="標楷體" w:eastAsia="標楷體"/>
          <w:b w:val="0"/>
          <w:sz w:val="24"/>
        </w:rPr>
        <w:t>具狀人（聲請人）：何珍禾　（簽名／蓋章）</w:t>
      </w:r>
    </w:p>
    <w:p>
      <w:pPr>
        <w:spacing w:line="324" w:lineRule="auto" w:after="100"/>
      </w:pPr>
      <w:r>
        <w:rPr>
          <w:rFonts w:ascii="標楷體" w:hAnsi="標楷體" w:eastAsia="標楷體"/>
          <w:b w:val="0"/>
          <w:sz w:val="24"/>
        </w:rPr>
        <w:t>代理人：　　　　　　　　　　　　律師　（簽名／蓋章）</w:t>
      </w:r>
    </w:p>
    <w:p>
      <w:pPr>
        <w:spacing w:line="324" w:lineRule="auto" w:after="100"/>
      </w:pPr>
      <w:r>
        <w:rPr>
          <w:rFonts w:ascii="標楷體" w:hAnsi="標楷體" w:eastAsia="標楷體"/>
          <w:b w:val="0"/>
          <w:sz w:val="24"/>
        </w:rPr>
        <w:t>中　華　民　國　115　年　　　月　　　日</w:t>
      </w:r>
    </w:p>
    <w:sectPr w:rsidR="00FC693F" w:rsidRPr="0006063C" w:rsidSect="00034616">
      <w:pgSz w:w="11906" w:h="16838"/>
      <w:pgMar w:top="1247" w:right="1247" w:bottom="1134" w:left="1247"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00"/>
    </w:pPr>
    <w:rPr>
      <w:rFonts w:ascii="標楷體" w:hAnsi="標楷體" w:eastAsia="標楷體"/>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