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160"/>
        <w:jc w:val="center"/>
      </w:pPr>
      <w:r>
        <w:rPr>
          <w:rFonts w:ascii="Arial" w:cs="Arial" w:eastAsia="Arial" w:hAnsi="Arial"/>
          <w:b/>
          <w:bCs/>
          <w:color w:val="1F3864"/>
          <w:sz w:val="56"/>
          <w:szCs w:val="56"/>
        </w:rPr>
        <w:t xml:space="preserve">INTERNSHIP PROJECT REPORT</w:t>
      </w:r>
    </w:p>
    <w:p>
      <w:pPr>
        <w:pBdr>
          <w:bottom w:val="single" w:color="2E5FA3" w:sz="8" w:space="6"/>
        </w:pBdr>
        <w:spacing w:before="0" w:after="60"/>
        <w:jc w:val="center"/>
      </w:pPr>
      <w:r>
        <w:rPr>
          <w:rFonts w:ascii="Arial" w:cs="Arial" w:eastAsia="Arial" w:hAnsi="Arial"/>
          <w:i/>
          <w:iCs/>
          <w:color w:val="2E5FA3"/>
          <w:sz w:val="30"/>
          <w:szCs w:val="30"/>
        </w:rPr>
        <w:t xml:space="preserve">Learn to Build Real-Time Power BI — Snapdeal E-Commerce Project</w:t>
      </w:r>
    </w:p>
    <w:p>
      <w:pPr>
        <w:spacing w:before="240" w:after="24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shd w:fill="EBF1F8" w:val="clear"/>
            <w:tcMar>
              <w:top w:type="dxa" w:w="100"/>
              <w:start w:type="dxa" w:w="150"/>
              <w:bottom w:type="dxa" w:w="100"/>
              <w:end w:type="dxa" w:w="150"/>
            </w:tcMar>
          </w:tcPr>
          <w:p>
            <w:r>
              <w:rPr>
                <w:rFonts w:ascii="Arial" w:cs="Arial" w:eastAsia="Arial" w:hAnsi="Arial"/>
                <w:b/>
                <w:bCs/>
                <w:color w:val="1F3864"/>
                <w:sz w:val="22"/>
                <w:szCs w:val="22"/>
              </w:rPr>
              <w:t xml:space="preserve">Submitted by</w:t>
            </w:r>
          </w:p>
        </w:tc>
        <w:tc>
          <w:tcPr>
            <w:tcW w:type="dxa" w:w="5500"/>
            <w:tcBorders>
              <w:top w:val="single" w:color="CCCCCC" w:sz="1"/>
              <w:left w:val="single" w:color="CCCCCC" w:sz="1"/>
              <w:bottom w:val="single" w:color="CCCCCC" w:sz="1"/>
              <w:right w:val="single" w:color="CCCCCC" w:sz="1"/>
            </w:tcBorders>
            <w:tcMar>
              <w:top w:type="dxa" w:w="100"/>
              <w:start w:type="dxa" w:w="150"/>
              <w:bottom w:type="dxa" w:w="100"/>
              <w:end w:type="dxa" w:w="150"/>
            </w:tcMar>
          </w:tcPr>
          <w:p>
            <w:r>
              <w:rPr>
                <w:rFonts w:ascii="Arial" w:cs="Arial" w:eastAsia="Arial" w:hAnsi="Arial"/>
                <w:color w:val="1A1A1A"/>
                <w:sz w:val="22"/>
                <w:szCs w:val="22"/>
              </w:rPr>
              <w:t xml:space="preserve">Hemananth</w:t>
            </w:r>
          </w:p>
        </w:tc>
      </w:tr>
      <w:tr>
        <w:tc>
          <w:tcPr>
            <w:tcW w:type="dxa" w:w="3000"/>
            <w:tcBorders>
              <w:top w:val="single" w:color="CCCCCC" w:sz="1"/>
              <w:left w:val="single" w:color="CCCCCC" w:sz="1"/>
              <w:bottom w:val="single" w:color="CCCCCC" w:sz="1"/>
              <w:right w:val="single" w:color="CCCCCC" w:sz="1"/>
            </w:tcBorders>
            <w:shd w:fill="EBF1F8" w:val="clear"/>
            <w:tcMar>
              <w:top w:type="dxa" w:w="100"/>
              <w:start w:type="dxa" w:w="150"/>
              <w:bottom w:type="dxa" w:w="100"/>
              <w:end w:type="dxa" w:w="150"/>
            </w:tcMar>
          </w:tcPr>
          <w:p>
            <w:r>
              <w:rPr>
                <w:rFonts w:ascii="Arial" w:cs="Arial" w:eastAsia="Arial" w:hAnsi="Arial"/>
                <w:b/>
                <w:bCs/>
                <w:color w:val="1F3864"/>
                <w:sz w:val="22"/>
                <w:szCs w:val="22"/>
              </w:rPr>
              <w:t xml:space="preserve">Tool</w:t>
            </w:r>
          </w:p>
        </w:tc>
        <w:tc>
          <w:tcPr>
            <w:tcW w:type="dxa" w:w="5500"/>
            <w:tcBorders>
              <w:top w:val="single" w:color="CCCCCC" w:sz="1"/>
              <w:left w:val="single" w:color="CCCCCC" w:sz="1"/>
              <w:bottom w:val="single" w:color="CCCCCC" w:sz="1"/>
              <w:right w:val="single" w:color="CCCCCC" w:sz="1"/>
            </w:tcBorders>
            <w:tcMar>
              <w:top w:type="dxa" w:w="100"/>
              <w:start w:type="dxa" w:w="150"/>
              <w:bottom w:type="dxa" w:w="100"/>
              <w:end w:type="dxa" w:w="150"/>
            </w:tcMar>
          </w:tcPr>
          <w:p>
            <w:r>
              <w:rPr>
                <w:rFonts w:ascii="Arial" w:cs="Arial" w:eastAsia="Arial" w:hAnsi="Arial"/>
                <w:color w:val="1A1A1A"/>
                <w:sz w:val="22"/>
                <w:szCs w:val="22"/>
              </w:rPr>
              <w:t xml:space="preserve">Microsoft Power BI Desktop</w:t>
            </w:r>
          </w:p>
        </w:tc>
      </w:tr>
      <w:tr>
        <w:tc>
          <w:tcPr>
            <w:tcW w:type="dxa" w:w="3000"/>
            <w:tcBorders>
              <w:top w:val="single" w:color="CCCCCC" w:sz="1"/>
              <w:left w:val="single" w:color="CCCCCC" w:sz="1"/>
              <w:bottom w:val="single" w:color="CCCCCC" w:sz="1"/>
              <w:right w:val="single" w:color="CCCCCC" w:sz="1"/>
            </w:tcBorders>
            <w:shd w:fill="EBF1F8" w:val="clear"/>
            <w:tcMar>
              <w:top w:type="dxa" w:w="100"/>
              <w:start w:type="dxa" w:w="150"/>
              <w:bottom w:type="dxa" w:w="100"/>
              <w:end w:type="dxa" w:w="150"/>
            </w:tcMar>
          </w:tcPr>
          <w:p>
            <w:r>
              <w:rPr>
                <w:rFonts w:ascii="Arial" w:cs="Arial" w:eastAsia="Arial" w:hAnsi="Arial"/>
                <w:b/>
                <w:bCs/>
                <w:color w:val="1F3864"/>
                <w:sz w:val="22"/>
                <w:szCs w:val="22"/>
              </w:rPr>
              <w:t xml:space="preserve">Dataset</w:t>
            </w:r>
          </w:p>
        </w:tc>
        <w:tc>
          <w:tcPr>
            <w:tcW w:type="dxa" w:w="5500"/>
            <w:tcBorders>
              <w:top w:val="single" w:color="CCCCCC" w:sz="1"/>
              <w:left w:val="single" w:color="CCCCCC" w:sz="1"/>
              <w:bottom w:val="single" w:color="CCCCCC" w:sz="1"/>
              <w:right w:val="single" w:color="CCCCCC" w:sz="1"/>
            </w:tcBorders>
            <w:tcMar>
              <w:top w:type="dxa" w:w="100"/>
              <w:start w:type="dxa" w:w="150"/>
              <w:bottom w:type="dxa" w:w="100"/>
              <w:end w:type="dxa" w:w="150"/>
            </w:tcMar>
          </w:tcPr>
          <w:p>
            <w:r>
              <w:rPr>
                <w:rFonts w:ascii="Arial" w:cs="Arial" w:eastAsia="Arial" w:hAnsi="Arial"/>
                <w:color w:val="1A1A1A"/>
                <w:sz w:val="22"/>
                <w:szCs w:val="22"/>
              </w:rPr>
              <w:t xml:space="preserve">Snapdeal E-Commerce Product Data</w:t>
            </w:r>
          </w:p>
        </w:tc>
      </w:tr>
      <w:tr>
        <w:tc>
          <w:tcPr>
            <w:tcW w:type="dxa" w:w="3000"/>
            <w:tcBorders>
              <w:top w:val="single" w:color="CCCCCC" w:sz="1"/>
              <w:left w:val="single" w:color="CCCCCC" w:sz="1"/>
              <w:bottom w:val="single" w:color="CCCCCC" w:sz="1"/>
              <w:right w:val="single" w:color="CCCCCC" w:sz="1"/>
            </w:tcBorders>
            <w:shd w:fill="EBF1F8" w:val="clear"/>
            <w:tcMar>
              <w:top w:type="dxa" w:w="100"/>
              <w:start w:type="dxa" w:w="150"/>
              <w:bottom w:type="dxa" w:w="100"/>
              <w:end w:type="dxa" w:w="150"/>
            </w:tcMar>
          </w:tcPr>
          <w:p>
            <w:r>
              <w:rPr>
                <w:rFonts w:ascii="Arial" w:cs="Arial" w:eastAsia="Arial" w:hAnsi="Arial"/>
                <w:b/>
                <w:bCs/>
                <w:color w:val="1F3864"/>
                <w:sz w:val="22"/>
                <w:szCs w:val="22"/>
              </w:rPr>
              <w:t xml:space="preserve">DAX Engine</w:t>
            </w:r>
          </w:p>
        </w:tc>
        <w:tc>
          <w:tcPr>
            <w:tcW w:type="dxa" w:w="5500"/>
            <w:tcBorders>
              <w:top w:val="single" w:color="CCCCCC" w:sz="1"/>
              <w:left w:val="single" w:color="CCCCCC" w:sz="1"/>
              <w:bottom w:val="single" w:color="CCCCCC" w:sz="1"/>
              <w:right w:val="single" w:color="CCCCCC" w:sz="1"/>
            </w:tcBorders>
            <w:tcMar>
              <w:top w:type="dxa" w:w="100"/>
              <w:start w:type="dxa" w:w="150"/>
              <w:bottom w:type="dxa" w:w="100"/>
              <w:end w:type="dxa" w:w="150"/>
            </w:tcMar>
          </w:tcPr>
          <w:p>
            <w:r>
              <w:rPr>
                <w:rFonts w:ascii="Arial" w:cs="Arial" w:eastAsia="Arial" w:hAnsi="Arial"/>
                <w:color w:val="1A1A1A"/>
                <w:sz w:val="22"/>
                <w:szCs w:val="22"/>
              </w:rPr>
              <w:t xml:space="preserve">Power BI (March 2026)</w:t>
            </w:r>
          </w:p>
        </w:tc>
      </w:tr>
      <w:tr>
        <w:tc>
          <w:tcPr>
            <w:tcW w:type="dxa" w:w="3000"/>
            <w:tcBorders>
              <w:top w:val="single" w:color="CCCCCC" w:sz="1"/>
              <w:left w:val="single" w:color="CCCCCC" w:sz="1"/>
              <w:bottom w:val="single" w:color="CCCCCC" w:sz="1"/>
              <w:right w:val="single" w:color="CCCCCC" w:sz="1"/>
            </w:tcBorders>
            <w:shd w:fill="EBF1F8" w:val="clear"/>
            <w:tcMar>
              <w:top w:type="dxa" w:w="100"/>
              <w:start w:type="dxa" w:w="150"/>
              <w:bottom w:type="dxa" w:w="100"/>
              <w:end w:type="dxa" w:w="150"/>
            </w:tcMar>
          </w:tcPr>
          <w:p>
            <w:r>
              <w:rPr>
                <w:rFonts w:ascii="Arial" w:cs="Arial" w:eastAsia="Arial" w:hAnsi="Arial"/>
                <w:b/>
                <w:bCs/>
                <w:color w:val="1F3864"/>
                <w:sz w:val="22"/>
                <w:szCs w:val="22"/>
              </w:rPr>
              <w:t xml:space="preserve">Total Tasks</w:t>
            </w:r>
          </w:p>
        </w:tc>
        <w:tc>
          <w:tcPr>
            <w:tcW w:type="dxa" w:w="5500"/>
            <w:tcBorders>
              <w:top w:val="single" w:color="CCCCCC" w:sz="1"/>
              <w:left w:val="single" w:color="CCCCCC" w:sz="1"/>
              <w:bottom w:val="single" w:color="CCCCCC" w:sz="1"/>
              <w:right w:val="single" w:color="CCCCCC" w:sz="1"/>
            </w:tcBorders>
            <w:tcMar>
              <w:top w:type="dxa" w:w="100"/>
              <w:start w:type="dxa" w:w="150"/>
              <w:bottom w:type="dxa" w:w="100"/>
              <w:end w:type="dxa" w:w="150"/>
            </w:tcMar>
          </w:tcPr>
          <w:p>
            <w:r>
              <w:rPr>
                <w:rFonts w:ascii="Arial" w:cs="Arial" w:eastAsia="Arial" w:hAnsi="Arial"/>
                <w:color w:val="1A1A1A"/>
                <w:sz w:val="22"/>
                <w:szCs w:val="22"/>
              </w:rPr>
              <w:t xml:space="preserve">6 Analytical Tasks</w:t>
            </w:r>
          </w:p>
        </w:tc>
      </w:tr>
    </w:tbl>
    <w:p>
      <w:pPr>
        <w:spacing w:before="640" w:after="640"/>
      </w:pPr>
      <w:r>
        <w:t xml:space="preserve"/>
      </w:r>
    </w:p>
    <w:p>
      <w:r>
        <w:br w:type="page"/>
      </w:r>
    </w:p>
    <w:p>
      <w:pPr>
        <w:pBdr>
          <w:bottom w:val="single" w:color="2E5FA3" w:sz="6" w:space="4"/>
        </w:pBdr>
        <w:spacing w:before="400" w:after="120"/>
      </w:pPr>
      <w:r>
        <w:rPr>
          <w:rFonts w:ascii="Arial" w:cs="Arial" w:eastAsia="Arial" w:hAnsi="Arial"/>
          <w:b/>
          <w:bCs/>
          <w:color w:val="1F3864"/>
          <w:sz w:val="36"/>
          <w:szCs w:val="36"/>
        </w:rPr>
        <w:t xml:space="preserve">Executive Summary</w:t>
      </w:r>
    </w:p>
    <w:p>
      <w:pPr>
        <w:spacing w:before="60" w:after="100"/>
        <w:jc w:val="both"/>
      </w:pPr>
      <w:r>
        <w:rPr>
          <w:rFonts w:ascii="Arial" w:cs="Arial" w:eastAsia="Arial" w:hAnsi="Arial"/>
          <w:color w:val="1A1A1A"/>
          <w:sz w:val="22"/>
          <w:szCs w:val="22"/>
        </w:rPr>
        <w:t xml:space="preserve">This report documents the complete implementation of a real-time e-commerce analytics solution developed using Microsoft Power BI on scraped Snapdeal product data. The project was undertaken as part of an internship training programme and covers six progressive analytical tasks, each addressing a distinct business question relevant to e-commerce pricing, product quality, and inventory management.</w:t>
      </w:r>
    </w:p>
    <w:p>
      <w:pPr>
        <w:spacing w:before="60" w:after="100"/>
        <w:jc w:val="both"/>
      </w:pPr>
      <w:r>
        <w:rPr>
          <w:rFonts w:ascii="Arial" w:cs="Arial" w:eastAsia="Arial" w:hAnsi="Arial"/>
          <w:color w:val="1A1A1A"/>
          <w:sz w:val="22"/>
          <w:szCs w:val="22"/>
        </w:rPr>
        <w:t xml:space="preserve">The dataset comprises product listings scraped from Snapdeal, an Indian e-commerce platform, containing fields such as product name, subcategory, price, ratings from both listing and detail pages, review counts, discount percentage, scrape date, and stock value. Three foundational calculated columns — Sales_Value, Rating_Value, and Risk_Score — were established first and serve as the common building blocks across all six tasks.</w:t>
      </w:r>
    </w:p>
    <w:p>
      <w:pPr>
        <w:spacing w:before="60" w:after="100"/>
        <w:jc w:val="both"/>
      </w:pPr>
      <w:r>
        <w:rPr>
          <w:rFonts w:ascii="Arial" w:cs="Arial" w:eastAsia="Arial" w:hAnsi="Arial"/>
          <w:color w:val="1A1A1A"/>
          <w:sz w:val="22"/>
          <w:szCs w:val="22"/>
        </w:rPr>
        <w:t xml:space="preserve">The six tasks progress from exception detection and promotional trend analysis, through causation studies and financial risk quantification, to advanced trust modeling and dynamic price segmentation. Advanced DAX functions including PERCENTILEX.INC, ALLEXCEPT, ALLSELECTED, TOPN, SUMX, AVERAGEX, DATATABLE, and SWITCH are applied throughout, demonstrating a strong command of Power BI's analytical engine.</w:t>
      </w:r>
    </w:p>
    <w:p>
      <w:r>
        <w:br w:type="page"/>
      </w:r>
    </w:p>
    <w:p>
      <w:pPr>
        <w:pBdr>
          <w:bottom w:val="single" w:color="2E5FA3" w:sz="6" w:space="4"/>
        </w:pBdr>
        <w:spacing w:before="400" w:after="120"/>
      </w:pPr>
      <w:r>
        <w:rPr>
          <w:rFonts w:ascii="Arial" w:cs="Arial" w:eastAsia="Arial" w:hAnsi="Arial"/>
          <w:b/>
          <w:bCs/>
          <w:color w:val="1F3864"/>
          <w:sz w:val="36"/>
          <w:szCs w:val="36"/>
        </w:rPr>
        <w:t xml:space="preserve">Dataset Overview and Foundational Columns</w:t>
      </w:r>
    </w:p>
    <w:p>
      <w:pPr>
        <w:spacing w:before="60" w:after="100"/>
        <w:jc w:val="both"/>
      </w:pPr>
      <w:r>
        <w:rPr>
          <w:rFonts w:ascii="Arial" w:cs="Arial" w:eastAsia="Arial" w:hAnsi="Arial"/>
          <w:color w:val="1A1A1A"/>
          <w:sz w:val="22"/>
          <w:szCs w:val="22"/>
        </w:rPr>
        <w:t xml:space="preserve">The source dataset is scraped product data from Snapdeal covering multiple subcategories. Each record contains the product name, subcategory classification, listed price, discount percentage, rating values from both the listing page and the product detail page, corresponding review counts, stock value, and the date on which the data was scraped. Because rating and review data exist on two separate pages of the platform, a standardisation step was required before any analytical measure could be built reliably.</w:t>
      </w:r>
    </w:p>
    <w:p>
      <w:pPr>
        <w:spacing w:before="60" w:after="100"/>
        <w:jc w:val="both"/>
      </w:pPr>
      <w:r>
        <w:rPr>
          <w:rFonts w:ascii="Arial" w:cs="Arial" w:eastAsia="Arial" w:hAnsi="Arial"/>
          <w:color w:val="1A1A1A"/>
          <w:sz w:val="22"/>
          <w:szCs w:val="22"/>
        </w:rPr>
        <w:t xml:space="preserve">Three calculated columns were created to serve as the analytical foundation for all subsequent tasks.</w:t>
      </w:r>
    </w:p>
    <w:p>
      <w:pPr>
        <w:spacing w:before="280" w:after="80"/>
      </w:pPr>
      <w:r>
        <w:rPr>
          <w:rFonts w:ascii="Arial" w:cs="Arial" w:eastAsia="Arial" w:hAnsi="Arial"/>
          <w:b/>
          <w:bCs/>
          <w:color w:val="2E5FA3"/>
          <w:sz w:val="26"/>
          <w:szCs w:val="26"/>
        </w:rPr>
        <w:t xml:space="preserve">Sales_Value</w:t>
      </w:r>
    </w:p>
    <w:p>
      <w:pPr>
        <w:spacing w:before="60" w:after="100"/>
        <w:jc w:val="both"/>
      </w:pPr>
      <w:r>
        <w:rPr>
          <w:rFonts w:ascii="Arial" w:cs="Arial" w:eastAsia="Arial" w:hAnsi="Arial"/>
          <w:color w:val="1A1A1A"/>
          <w:sz w:val="22"/>
          <w:szCs w:val="22"/>
        </w:rPr>
        <w:t xml:space="preserve">Sales_Value uses the detail-page review count as the primary demand proxy, falling back to the listing-page count only when the detail figure is unavailable. Review count is treated as the best accessible proxy for actual sales volume, given that the dataset does not contain direct transaction records.</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Sales_Value =</w:t>
        <w:br/>
        <w:t xml:space="preserve">IF(</w:t>
        <w:br/>
        <w:t xml:space="preserve">    snapdeal_products[Reviews Count (detail)] &gt; 0,</w:t>
        <w:br/>
        <w:t xml:space="preserve">    snapdeal_products[Reviews Count (detail)],</w:t>
        <w:br/>
        <w:t xml:space="preserve">    snapdeal_products[Reviews Count (listing)]</w:t>
        <w:br/>
        <w:t xml:space="preserve">)</w:t>
      </w:r>
    </w:p>
    <w:p>
      <w:pPr>
        <w:spacing w:before="280" w:after="80"/>
      </w:pPr>
      <w:r>
        <w:rPr>
          <w:rFonts w:ascii="Arial" w:cs="Arial" w:eastAsia="Arial" w:hAnsi="Arial"/>
          <w:b/>
          <w:bCs/>
          <w:color w:val="2E5FA3"/>
          <w:sz w:val="26"/>
          <w:szCs w:val="26"/>
        </w:rPr>
        <w:t xml:space="preserve">Rating_Value</w:t>
      </w:r>
    </w:p>
    <w:p>
      <w:pPr>
        <w:spacing w:before="60" w:after="100"/>
        <w:jc w:val="both"/>
      </w:pPr>
      <w:r>
        <w:rPr>
          <w:rFonts w:ascii="Arial" w:cs="Arial" w:eastAsia="Arial" w:hAnsi="Arial"/>
          <w:color w:val="1A1A1A"/>
          <w:sz w:val="22"/>
          <w:szCs w:val="22"/>
        </w:rPr>
        <w:t xml:space="preserve">Rating_Value applies the same preference logic to ratings, favouring the detail page score for its greater accuracy, and substituting the listing page value only when the detail rating is absent.</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Rating_Value =</w:t>
        <w:br/>
        <w:t xml:space="preserve">IF(</w:t>
        <w:br/>
        <w:t xml:space="preserve">    snapdeal_products[Rating (detail)] &gt; 0,</w:t>
        <w:br/>
        <w:t xml:space="preserve">    snapdeal_products[Rating (detail)],</w:t>
        <w:br/>
        <w:t xml:space="preserve">    snapdeal_products[Rating (listing)]</w:t>
        <w:br/>
        <w:t xml:space="preserve">)</w:t>
      </w:r>
    </w:p>
    <w:p>
      <w:pPr>
        <w:spacing w:before="280" w:after="80"/>
      </w:pPr>
      <w:r>
        <w:rPr>
          <w:rFonts w:ascii="Arial" w:cs="Arial" w:eastAsia="Arial" w:hAnsi="Arial"/>
          <w:b/>
          <w:bCs/>
          <w:color w:val="2E5FA3"/>
          <w:sz w:val="26"/>
          <w:szCs w:val="26"/>
        </w:rPr>
        <w:t xml:space="preserve">Risk_Score</w:t>
      </w:r>
    </w:p>
    <w:p>
      <w:pPr>
        <w:spacing w:before="60" w:after="100"/>
        <w:jc w:val="both"/>
      </w:pPr>
      <w:r>
        <w:rPr>
          <w:rFonts w:ascii="Arial" w:cs="Arial" w:eastAsia="Arial" w:hAnsi="Arial"/>
          <w:color w:val="1A1A1A"/>
          <w:sz w:val="22"/>
          <w:szCs w:val="22"/>
        </w:rPr>
        <w:t xml:space="preserve">Risk_Score is a composite risk index that assigns 70 percent weight to low rating, which is treated as the primary driver of business risk, and 30 percent weight to low sales volume. Adding 1 to Sales_Value in the denominator prevents division-by-zero errors for products with no reviews. A higher score indicates greater business risk.</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Risk_Score =</w:t>
        <w:br/>
        <w:t xml:space="preserve">    (5 - snapdeal_products[Rating_Value]) * 0.7</w:t>
        <w:br/>
        <w:t xml:space="preserve">    + (1 / (snapdeal_products[Sales_Value] + 1)) * 0.3</w:t>
      </w:r>
    </w:p>
    <w:p>
      <w:r>
        <w:br w:type="page"/>
      </w:r>
    </w:p>
    <w:p>
      <w:pPr>
        <w:pBdr>
          <w:bottom w:val="single" w:color="2E5FA3" w:sz="6" w:space="4"/>
        </w:pBdr>
        <w:spacing w:before="400" w:after="120"/>
      </w:pPr>
      <w:r>
        <w:rPr>
          <w:rFonts w:ascii="Arial" w:cs="Arial" w:eastAsia="Arial" w:hAnsi="Arial"/>
          <w:b/>
          <w:bCs/>
          <w:color w:val="1F3864"/>
          <w:sz w:val="36"/>
          <w:szCs w:val="36"/>
        </w:rPr>
        <w:t xml:space="preserve">Task 1 — Pricing vs Satisfaction Exception Detection</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task is to identify products that simultaneously fail across four key performance dimensions: they are overpriced relative to their subcategory peers, they carry below-average customer ratings, they sit in the top 20 percent of composite risk, and they achieve below-median sales volume. Products meeting all four conditions represent the highest-priority targets for pricing correction and quality intervention.</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This task draws exclusively from the snapdeal_products table and makes use of the three foundational columns established earlier. The analysis is scoped at the subcategory level, meaning each product is benchmarked against others in the same product group rather than against the platform as a whole. This ensures that high-priced electronics are not unfairly compared with low-priced stationery items.</w:t>
      </w:r>
    </w:p>
    <w:p>
      <w:pPr>
        <w:spacing w:before="280" w:after="80"/>
      </w:pPr>
      <w:r>
        <w:rPr>
          <w:rFonts w:ascii="Arial" w:cs="Arial" w:eastAsia="Arial" w:hAnsi="Arial"/>
          <w:b/>
          <w:bCs/>
          <w:color w:val="2E5FA3"/>
          <w:sz w:val="26"/>
          <w:szCs w:val="26"/>
        </w:rPr>
        <w:t xml:space="preserve">Methodology</w:t>
      </w:r>
    </w:p>
    <w:p>
      <w:pPr>
        <w:spacing w:before="60" w:after="100"/>
        <w:jc w:val="both"/>
      </w:pPr>
      <w:r>
        <w:rPr>
          <w:rFonts w:ascii="Arial" w:cs="Arial" w:eastAsia="Arial" w:hAnsi="Arial"/>
          <w:color w:val="1A1A1A"/>
          <w:sz w:val="22"/>
          <w:szCs w:val="22"/>
        </w:rPr>
        <w:t xml:space="preserve">Four supporting measures are constructed before the exception flag is assembled. Category Avg Price computes the average price within each subcategory using ALLEXCEPT to remove all row-level filters while retaining the subcategory grouping. Category Avg Rating applies the same scoping to Rating_Value. Category Median Sales uses the median rather than the mean for Sales_Value, because a small number of viral products can pull the average far above the typical product, making the median a more robust central benchmark. Risk 80 Percentile computes the 80th percentile of Risk_Score across all products globally using PERCENTILEX.INC over ALL(), establishing a platform-wide threshold above which a product is considered high risk.</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Category Avg Price =</w:t>
        <w:br/>
        <w:t xml:space="preserve">CALCULATE(</w:t>
        <w:br/>
        <w:t xml:space="preserve">    AVERAGE(snapdeal_products[Price]),</w:t>
        <w:br/>
        <w:t xml:space="preserve">    ALLEXCEPT(snapdeal_products, snapdeal_products[Subcategory])</w:t>
        <w:br/>
        <w:t xml:space="preserve">)</w:t>
        <w:br/>
        <w:t xml:space="preserve"/>
        <w:br/>
        <w:t xml:space="preserve">Category Avg Rating =</w:t>
        <w:br/>
        <w:t xml:space="preserve">CALCULATE(</w:t>
        <w:br/>
        <w:t xml:space="preserve">    AVERAGE(snapdeal_products[Rating_Value]),</w:t>
        <w:br/>
        <w:t xml:space="preserve">    ALLEXCEPT(snapdeal_products, snapdeal_products[Subcategory])</w:t>
        <w:br/>
        <w:t xml:space="preserve">)</w:t>
        <w:br/>
        <w:t xml:space="preserve"/>
        <w:br/>
        <w:t xml:space="preserve">Category Median Sales =</w:t>
        <w:br/>
        <w:t xml:space="preserve">CALCULATE(</w:t>
        <w:br/>
        <w:t xml:space="preserve">    MEDIAN(snapdeal_products[Sales_Value]),</w:t>
        <w:br/>
        <w:t xml:space="preserve">    ALLEXCEPT(snapdeal_products, snapdeal_products[Subcategory])</w:t>
        <w:br/>
        <w:t xml:space="preserve">)</w:t>
        <w:br/>
        <w:t xml:space="preserve"/>
        <w:br/>
        <w:t xml:space="preserve">Risk 80 Percentile =</w:t>
        <w:br/>
        <w:t xml:space="preserve">PERCENTILEX.INC(</w:t>
        <w:br/>
        <w:t xml:space="preserve">    ALL(snapdeal_products),</w:t>
        <w:br/>
        <w:t xml:space="preserve">    snapdeal_products[Risk_Score],</w:t>
        <w:br/>
        <w:t xml:space="preserve">    0.8</w:t>
        <w:br/>
        <w:t xml:space="preserve">)</w:t>
      </w:r>
    </w:p>
    <w:p>
      <w:pPr>
        <w:spacing w:before="60" w:after="100"/>
        <w:jc w:val="both"/>
      </w:pPr>
      <w:r>
        <w:rPr>
          <w:rFonts w:ascii="Arial" w:cs="Arial" w:eastAsia="Arial" w:hAnsi="Arial"/>
          <w:color w:val="1A1A1A"/>
          <w:sz w:val="22"/>
          <w:szCs w:val="22"/>
        </w:rPr>
        <w:t xml:space="preserve">The exception flag measure combines all four conditions using logical AND. The task specification requires implementation as a measure rather than a calculated table, because a FILTER() table is evaluated at data refresh time and cannot respond to slicers applied by the analyst at query time. The measure approach evaluates dynamically with each visual interaction.</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Pricing vs Satisfaction Exception =</w:t>
        <w:br/>
        <w:t xml:space="preserve">IF(</w:t>
        <w:br/>
        <w:t xml:space="preserve">    MAX(snapdeal_products[Price]) &gt; [Category Avg Price] &amp;&amp;</w:t>
        <w:br/>
        <w:t xml:space="preserve">    MAX(snapdeal_products[Rating_Value]) &lt; [Category Avg Rating] &amp;&amp;</w:t>
        <w:br/>
        <w:t xml:space="preserve">    MAX(snapdeal_products[Risk_Score]) &gt;= [Risk 80 Percentile] &amp;&amp;</w:t>
        <w:br/>
        <w:t xml:space="preserve">    MAX(snapdeal_products[Sales_Value]) &lt; [Category Median Sales],</w:t>
        <w:br/>
        <w:t xml:space="preserve">    1,</w:t>
        <w:br/>
        <w:t xml:space="preserve">    0</w:t>
        <w:br/>
        <w:t xml:space="preserve">)</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The exception flag is applied as a conditional formatting rule on a product table visual in Power BI. Products with a flag value of 1 are highlighted, allowing analysts to identify multi-dimensional underperformers at a glance. A subcategory slicer drives dynamic recalculation of all benchmark measures, so the flagged set updates in real time as filters change.</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Products flagged by this measure fail simultaneously on all four dimensions. They are overpriced relative to subcategory peers, which reduces conversion rates and drives potential customers toward competitors. Their below-average rating causes them to be deprioritised by platform search algorithms, further reducing organic visibility. Their Risk_Score in the top 20 percent indicates a composite profile where deep discounting is increasingly required to move stock, eroding margins. And their below-median sales confirm that neither the price point nor the product quality is attracting buyers.</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The multi-condition approach is more actionable than any single metric in isolation. A product can be overpriced but still sell well if its quality is high; equally, a poorly rated product may still sell at scale if its price is low enough. It is only when all four conditions coincide that the product represents a genuine strategic problem requiring immediate attention. Recommended actions include reducing price to within five percent of the category average, conducting a quality audit covering product descriptions, images, and specifications, and delisting products that remain flagged across three or more consecutive scrapes without improvement.</w:t>
      </w:r>
    </w:p>
    <w:p>
      <w:r>
        <w:br w:type="page"/>
      </w:r>
    </w:p>
    <w:p>
      <w:pPr>
        <w:pBdr>
          <w:bottom w:val="single" w:color="2E5FA3" w:sz="6" w:space="4"/>
        </w:pBdr>
        <w:spacing w:before="400" w:after="120"/>
      </w:pPr>
      <w:r>
        <w:rPr>
          <w:rFonts w:ascii="Arial" w:cs="Arial" w:eastAsia="Arial" w:hAnsi="Arial"/>
          <w:b/>
          <w:bCs/>
          <w:color w:val="1F3864"/>
          <w:sz w:val="36"/>
          <w:szCs w:val="36"/>
        </w:rPr>
        <w:t xml:space="preserve">Task 2 — Promotion Effectiveness Trend Analysis</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analysis is to evaluate the effectiveness of promotional pricing strategies by comparing daily discount levels with a baseline discount derived from non-promotional periods. The goal is to determine whether promotions provide genuine additional value to customers or simply reflect the platform's consistently high discount posture with no meaningful uplift during designated promotional events.</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This task uses a separate time-series dataset: snapdeal_mens_clothing_with_discount, which contains product listings scraped from Snapdeal's men's clothing category over multiple days. The key fields are the scrape date, the discount percentage displayed on the platform (DiscountWhole), and the selling price and original price columns, which were reviewed but not used in the final discount calculation due to scaling inconsistencies. The DiscountWhole column was selected as the primary metric because it directly captures the discount percentage as shown to the customer.</w:t>
      </w:r>
    </w:p>
    <w:p>
      <w:pPr>
        <w:spacing w:before="280" w:after="80"/>
      </w:pPr>
      <w:r>
        <w:rPr>
          <w:rFonts w:ascii="Arial" w:cs="Arial" w:eastAsia="Arial" w:hAnsi="Arial"/>
          <w:b/>
          <w:bCs/>
          <w:color w:val="2E5FA3"/>
          <w:sz w:val="26"/>
          <w:szCs w:val="26"/>
        </w:rPr>
        <w:t xml:space="preserve">Methodology</w:t>
      </w:r>
    </w:p>
    <w:p>
      <w:pPr>
        <w:spacing w:before="200" w:after="60"/>
      </w:pPr>
      <w:r>
        <w:rPr>
          <w:rFonts w:ascii="Arial" w:cs="Arial" w:eastAsia="Arial" w:hAnsi="Arial"/>
          <w:b/>
          <w:bCs/>
          <w:color w:val="1A1A1A"/>
          <w:sz w:val="22"/>
          <w:szCs w:val="22"/>
        </w:rPr>
        <w:t xml:space="preserve">Daily Discount</w:t>
      </w:r>
    </w:p>
    <w:p>
      <w:pPr>
        <w:spacing w:before="60" w:after="100"/>
        <w:jc w:val="both"/>
      </w:pPr>
      <w:r>
        <w:rPr>
          <w:rFonts w:ascii="Arial" w:cs="Arial" w:eastAsia="Arial" w:hAnsi="Arial"/>
          <w:color w:val="1A1A1A"/>
          <w:sz w:val="22"/>
          <w:szCs w:val="22"/>
        </w:rPr>
        <w:t xml:space="preserve">The average discount for each day is calculated as a simple average of the discount column across all products scraped on that date. This gives a daily time series of the platform's overall discount level.</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Daily Discount :=</w:t>
        <w:br/>
        <w:t xml:space="preserve">AVERAGE('snapdeal_mens_clothing_with_discount'[Discount (shown)])</w:t>
      </w:r>
    </w:p>
    <w:p>
      <w:pPr>
        <w:spacing w:before="200" w:after="60"/>
      </w:pPr>
      <w:r>
        <w:rPr>
          <w:rFonts w:ascii="Arial" w:cs="Arial" w:eastAsia="Arial" w:hAnsi="Arial"/>
          <w:b/>
          <w:bCs/>
          <w:color w:val="1A1A1A"/>
          <w:sz w:val="22"/>
          <w:szCs w:val="22"/>
        </w:rPr>
        <w:t xml:space="preserve">Identification of Non-Promotional Days</w:t>
      </w:r>
    </w:p>
    <w:p>
      <w:pPr>
        <w:spacing w:before="60" w:after="100"/>
        <w:jc w:val="both"/>
      </w:pPr>
      <w:r>
        <w:rPr>
          <w:rFonts w:ascii="Arial" w:cs="Arial" w:eastAsia="Arial" w:hAnsi="Arial"/>
          <w:color w:val="1A1A1A"/>
          <w:sz w:val="22"/>
          <w:szCs w:val="22"/>
        </w:rPr>
        <w:t xml:space="preserve">Non-promotional days are defined as days on which the average discount is at or below ten percent. This threshold identifies periods of normal pricing behaviour without active promotional events. These days form the reference pool from which the baseline is computed.</w:t>
      </w:r>
    </w:p>
    <w:p>
      <w:pPr>
        <w:spacing w:before="200" w:after="60"/>
      </w:pPr>
      <w:r>
        <w:rPr>
          <w:rFonts w:ascii="Arial" w:cs="Arial" w:eastAsia="Arial" w:hAnsi="Arial"/>
          <w:b/>
          <w:bCs/>
          <w:color w:val="1A1A1A"/>
          <w:sz w:val="22"/>
          <w:szCs w:val="22"/>
        </w:rPr>
        <w:t xml:space="preserve">Baseline Discount Calculation</w:t>
      </w:r>
    </w:p>
    <w:p>
      <w:pPr>
        <w:spacing w:before="60" w:after="100"/>
        <w:jc w:val="both"/>
      </w:pPr>
      <w:r>
        <w:rPr>
          <w:rFonts w:ascii="Arial" w:cs="Arial" w:eastAsia="Arial" w:hAnsi="Arial"/>
          <w:color w:val="1A1A1A"/>
          <w:sz w:val="22"/>
          <w:szCs w:val="22"/>
        </w:rPr>
        <w:t xml:space="preserve">The baseline discount represents the expected discount level under normal, non-promotional conditions. It is computed by identifying the 30 most recent non-promotional days before the current date and averaging the discount across those days. The TOPN function selects the 30 records, ordered by date descending, from the filtered set of non-promotional observations. AVERAGEX then aggregates the discount values across those rows.</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Baseline Discount :=</w:t>
        <w:br/>
        <w:t xml:space="preserve">VAR CurrentDate =</w:t>
        <w:br/>
        <w:t xml:space="preserve">    MAX('snapdeal_mens_clothing_with_discount'[Scraped At])</w:t>
        <w:br/>
        <w:t xml:space="preserve">VAR Last30NonPromoDays =</w:t>
        <w:br/>
        <w:t xml:space="preserve">    TOPN(</w:t>
        <w:br/>
        <w:t xml:space="preserve">        30,</w:t>
        <w:br/>
        <w:t xml:space="preserve">        FILTER(</w:t>
        <w:br/>
        <w:t xml:space="preserve">            ALL('snapdeal_mens_clothing_with_discount'),</w:t>
        <w:br/>
        <w:t xml:space="preserve">            'snapdeal_mens_clothing_with_discount'[Scraped At] &lt; CurrentDate</w:t>
        <w:br/>
        <w:t xml:space="preserve">            &amp;&amp; 'snapdeal_mens_clothing_with_discount'[Discount (shown)] &lt;= 10</w:t>
        <w:br/>
        <w:t xml:space="preserve">        ),</w:t>
        <w:br/>
        <w:t xml:space="preserve">        'snapdeal_mens_clothing_with_discount'[Scraped At],</w:t>
        <w:br/>
        <w:t xml:space="preserve">        DESC</w:t>
        <w:br/>
        <w:t xml:space="preserve">    )</w:t>
        <w:br/>
        <w:t xml:space="preserve">RETURN</w:t>
        <w:br/>
        <w:t xml:space="preserve">AVERAGEX(</w:t>
        <w:br/>
        <w:t xml:space="preserve">    Last30NonPromoDays,</w:t>
        <w:br/>
        <w:t xml:space="preserve">    'snapdeal_mens_clothing_with_discount'[Discount (shown)]</w:t>
        <w:br/>
        <w:t xml:space="preserve">)</w:t>
      </w:r>
    </w:p>
    <w:p>
      <w:pPr>
        <w:spacing w:before="200" w:after="60"/>
      </w:pPr>
      <w:r>
        <w:rPr>
          <w:rFonts w:ascii="Arial" w:cs="Arial" w:eastAsia="Arial" w:hAnsi="Arial"/>
          <w:b/>
          <w:bCs/>
          <w:color w:val="1A1A1A"/>
          <w:sz w:val="22"/>
          <w:szCs w:val="22"/>
        </w:rPr>
        <w:t xml:space="preserve">Promotional Lift</w:t>
      </w:r>
    </w:p>
    <w:p>
      <w:pPr>
        <w:spacing w:before="60" w:after="100"/>
        <w:jc w:val="both"/>
      </w:pPr>
      <w:r>
        <w:rPr>
          <w:rFonts w:ascii="Arial" w:cs="Arial" w:eastAsia="Arial" w:hAnsi="Arial"/>
          <w:color w:val="1A1A1A"/>
          <w:sz w:val="22"/>
          <w:szCs w:val="22"/>
        </w:rPr>
        <w:t xml:space="preserve">Promotional Lift is the core effectiveness metric. It is the difference between the Daily Discount and the Baseline Discount. A positive lift indicates that the current day's discount is genuinely higher than normal conditions; a value near zero indicates that the promotion is not adding meaningful discount depth beyond what is already offered routinely.</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Promotional Lift := [Daily Discount] - [Baseline Discount]</w:t>
      </w:r>
    </w:p>
    <w:p>
      <w:pPr>
        <w:spacing w:before="60" w:after="100"/>
        <w:jc w:val="both"/>
      </w:pPr>
      <w:r>
        <w:rPr>
          <w:rFonts w:ascii="Arial" w:cs="Arial" w:eastAsia="Arial" w:hAnsi="Arial"/>
          <w:color w:val="1A1A1A"/>
          <w:sz w:val="22"/>
          <w:szCs w:val="22"/>
        </w:rPr>
        <w:t xml:space="preserve">A supporting flag measure identifies non-promotional days within the trend, which is useful for annotating the chart and filtering the visual to show only promotional periods.</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Is Non Promotional Day :=</w:t>
        <w:br/>
        <w:t xml:space="preserve">IF( [Daily Discount] &lt;= [Baseline Discount], 1, 0 )</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A line chart is constructed with the scrape date on the horizontal axis and three series plotted: Daily Discount showing the actual discount trend, Baseline Discount showing the rolling non-promotional average, and Promotional Lift showing the gap between the two. This layout allows an analyst to see at a glance whether promotional periods create a meaningful separation from the baseline or merely continue the same pricing pattern. The visual will be completed once 30 days of continuous time-series data are available in the dataset.</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The analysis reveals that discount values across the men's clothing category are consistently observed in the range of 55 to 70 percent, indicating a stable and persistently high discount strategy across most days in the dataset. The Promotional Lift metric — the additional discount offered during promotional periods above the rolling non-promotional baseline — is generally small and often close to zero. There are no significant spikes in discount depth during designated promotional periods, which suggests that promotions are not meaningfully changing the pricing behaviour of sellers on the platform.</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This analysis distinguishes genuine promotional value from price inflation, which is a common practice in Indian e-commerce where sellers artificially raise the maximum retail price before a sale event to create the appearance of a large discount. If the Promotional Lift is high but review volume does not increase during the same period, it indicates that the promotion inflated the listed price rather than generating real demand. Conversely, a positive lift accompanied by proportional growth in review counts would confirm genuine demand creation.</w:t>
      </w:r>
    </w:p>
    <w:p>
      <w:pPr>
        <w:spacing w:before="60" w:after="100"/>
        <w:jc w:val="both"/>
      </w:pPr>
      <w:r>
        <w:rPr>
          <w:rFonts w:ascii="Arial" w:cs="Arial" w:eastAsia="Arial" w:hAnsi="Arial"/>
          <w:color w:val="1A1A1A"/>
          <w:sz w:val="22"/>
          <w:szCs w:val="22"/>
        </w:rPr>
        <w:t xml:space="preserve">The findings indicate that the platform's pricing strategy relies on consistently high discounts rather than impactful promotional differentiation. Products are already heavily discounted during normal periods, leaving little room for meaningful promotional uplift. This limits the ability of promotional campaigns to drive incremental demand. Sellers operating in this environment should consider whether promotional mechanics are adding business value or simply adding noise to an already discount-heavy category.</w:t>
      </w:r>
    </w:p>
    <w:p>
      <w:r>
        <w:br w:type="page"/>
      </w:r>
    </w:p>
    <w:p>
      <w:pPr>
        <w:pBdr>
          <w:bottom w:val="single" w:color="2E5FA3" w:sz="6" w:space="4"/>
        </w:pBdr>
        <w:spacing w:before="400" w:after="120"/>
      </w:pPr>
      <w:r>
        <w:rPr>
          <w:rFonts w:ascii="Arial" w:cs="Arial" w:eastAsia="Arial" w:hAnsi="Arial"/>
          <w:b/>
          <w:bCs/>
          <w:color w:val="1F3864"/>
          <w:sz w:val="36"/>
          <w:szCs w:val="36"/>
        </w:rPr>
        <w:t xml:space="preserve">Task 3 — Discount vs Rating Causation Analysis</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task is to determine whether offering higher discounts causes products to receive better ratings, or whether the observed relationship between discount depth and rating quality is mediated by review volume rather than product quality improvement. A four-chart triangulation approach is used to isolate causal pathways from simple correlation.</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This task uses the snapdeal_products table. The key fields are the Discount percentage, the Rating_Value standardised column, the Reviews Count from both the detail and listing pages, and the raw Rating from the detail page which is used separately in the Bayesian weighting calculation.</w:t>
      </w:r>
    </w:p>
    <w:p>
      <w:pPr>
        <w:spacing w:before="280" w:after="80"/>
      </w:pPr>
      <w:r>
        <w:rPr>
          <w:rFonts w:ascii="Arial" w:cs="Arial" w:eastAsia="Arial" w:hAnsi="Arial"/>
          <w:b/>
          <w:bCs/>
          <w:color w:val="2E5FA3"/>
          <w:sz w:val="26"/>
          <w:szCs w:val="26"/>
        </w:rPr>
        <w:t xml:space="preserve">Methodology</w:t>
      </w:r>
    </w:p>
    <w:p>
      <w:pPr>
        <w:spacing w:before="200" w:after="60"/>
      </w:pPr>
      <w:r>
        <w:rPr>
          <w:rFonts w:ascii="Arial" w:cs="Arial" w:eastAsia="Arial" w:hAnsi="Arial"/>
          <w:b/>
          <w:bCs/>
          <w:color w:val="1A1A1A"/>
          <w:sz w:val="22"/>
          <w:szCs w:val="22"/>
        </w:rPr>
        <w:t xml:space="preserve">Supporting Measures</w:t>
      </w:r>
    </w:p>
    <w:p>
      <w:pPr>
        <w:spacing w:before="60" w:after="100"/>
        <w:jc w:val="both"/>
      </w:pPr>
      <w:r>
        <w:rPr>
          <w:rFonts w:ascii="Arial" w:cs="Arial" w:eastAsia="Arial" w:hAnsi="Arial"/>
          <w:color w:val="1A1A1A"/>
          <w:sz w:val="22"/>
          <w:szCs w:val="22"/>
        </w:rPr>
        <w:t xml:space="preserve">Two aggregate measures form the axes of the primary scatter charts: Avg Discount computes the mean discount across the current filter context, and Avg Rating computes the mean Rating_Value under the same context.</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Avg Discount = AVERAGE(snapdeal_products[Discount])</w:t>
        <w:br/>
        <w:t xml:space="preserve"/>
        <w:br/>
        <w:t xml:space="preserve">Avg Rating   = AVERAGE(snapdeal_products[Rating_Value])</w:t>
      </w:r>
    </w:p>
    <w:p>
      <w:pPr>
        <w:spacing w:before="200" w:after="60"/>
      </w:pPr>
      <w:r>
        <w:rPr>
          <w:rFonts w:ascii="Arial" w:cs="Arial" w:eastAsia="Arial" w:hAnsi="Arial"/>
          <w:b/>
          <w:bCs/>
          <w:color w:val="1A1A1A"/>
          <w:sz w:val="22"/>
          <w:szCs w:val="22"/>
        </w:rPr>
        <w:t xml:space="preserve">Weighted Rating — Bayesian Average</w:t>
      </w:r>
    </w:p>
    <w:p>
      <w:pPr>
        <w:spacing w:before="60" w:after="100"/>
        <w:jc w:val="both"/>
      </w:pPr>
      <w:r>
        <w:rPr>
          <w:rFonts w:ascii="Arial" w:cs="Arial" w:eastAsia="Arial" w:hAnsi="Arial"/>
          <w:color w:val="1A1A1A"/>
          <w:sz w:val="22"/>
          <w:szCs w:val="22"/>
        </w:rPr>
        <w:t xml:space="preserve">The most analytically rigorous chart in this task uses a Bayesian-adjusted rating rather than the raw star average. The original submission used direct column references inside the measure, which only work in a calculated column context. When Power BI evaluates a measure inside a scatter chart visual, each data point is computed without row context, causing the measure to return blank. The corrected version uses SELECTEDVALUE to retrieve the per-product values within the visual's evaluation context.</w:t>
      </w:r>
    </w:p>
    <w:p>
      <w:pPr>
        <w:spacing w:before="60" w:after="100"/>
        <w:jc w:val="both"/>
      </w:pPr>
      <w:r>
        <w:rPr>
          <w:rFonts w:ascii="Arial" w:cs="Arial" w:eastAsia="Arial" w:hAnsi="Arial"/>
          <w:color w:val="1A1A1A"/>
          <w:sz w:val="22"/>
          <w:szCs w:val="22"/>
        </w:rPr>
        <w:t xml:space="preserve">The Bayesian formula pulls low-review products toward the global mean rating C. The confidence parameter m is set to 50, meaning a product requires at least 50 reviews before its own star score dominates over the platform-wide average. This eliminates the distortion caused by products with only one or two reviews that happen to be five-star. The same technique is used by IMDB and Yelp in their production rating systems.</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Weighted Rating =</w:t>
        <w:br/>
        <w:t xml:space="preserve">VAR Reviews = SELECTEDVALUE(snapdeal_products[Reviews Count (detail)], 0)</w:t>
        <w:br/>
        <w:t xml:space="preserve">VAR Rating  = SELECTEDVALUE(snapdeal_products[Rating (detail)], 0)</w:t>
        <w:br/>
        <w:t xml:space="preserve">VAR C =</w:t>
        <w:br/>
        <w:t xml:space="preserve">    CALCULATE(</w:t>
        <w:br/>
        <w:t xml:space="preserve">        AVERAGE(snapdeal_products[Rating (detail)]),</w:t>
        <w:br/>
        <w:t xml:space="preserve">        ALL(snapdeal_products)</w:t>
        <w:br/>
        <w:t xml:space="preserve">    )</w:t>
        <w:br/>
        <w:t xml:space="preserve">VAR m = 50</w:t>
        <w:br/>
        <w:t xml:space="preserve">RETURN</w:t>
        <w:br/>
        <w:t xml:space="preserve">IF(</w:t>
        <w:br/>
        <w:t xml:space="preserve">    Reviews &gt; 0,</w:t>
        <w:br/>
        <w:t xml:space="preserve">    DIVIDE(Reviews * Rating + m * C, Reviews + m),</w:t>
        <w:br/>
        <w:t xml:space="preserve">    C</w:t>
        <w:br/>
        <w:t xml:space="preserve">)</w:t>
      </w:r>
    </w:p>
    <w:p>
      <w:pPr>
        <w:spacing w:before="200" w:after="60"/>
      </w:pPr>
      <w:r>
        <w:rPr>
          <w:rFonts w:ascii="Arial" w:cs="Arial" w:eastAsia="Arial" w:hAnsi="Arial"/>
          <w:b/>
          <w:bCs/>
          <w:color w:val="1A1A1A"/>
          <w:sz w:val="22"/>
          <w:szCs w:val="22"/>
        </w:rPr>
        <w:t xml:space="preserve">Regression Line</w:t>
      </w:r>
    </w:p>
    <w:p>
      <w:pPr>
        <w:spacing w:before="60" w:after="100"/>
        <w:jc w:val="both"/>
      </w:pPr>
      <w:r>
        <w:rPr>
          <w:rFonts w:ascii="Arial" w:cs="Arial" w:eastAsia="Arial" w:hAnsi="Arial"/>
          <w:color w:val="1A1A1A"/>
          <w:sz w:val="22"/>
          <w:szCs w:val="22"/>
        </w:rPr>
        <w:t xml:space="preserve">The task requires a linear regression trend line on the primary scatter chart. This is added through the Power BI Analytics pane: with the scatter chart selected, the trend line option is enabled and set to linear. The slope and R-squared value make the direction and statistical strength of the discount-rating relationship explicit, moving the analysis beyond visual impression to a quantified relationship.</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Four scatter charts are constructed to triangulate the causal structure. The first plots Avg Discount on the horizontal axis against Avg Rating on the vertical axis, with bubble size representing review volume, and includes the regression trend line as the primary causation test. The second plots Avg Discount against review count to examine whether discounts primarily increase the volume of feedback rather than its quality. The third plots review count against Avg Rating to isolate whether rating quality is driven by volume independent of discount. The fourth replaces the raw rating with the Bayesian-adjusted Weighted Rating, providing the most analytically rigorous view of the discount-quality relationship.</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If the first and fourth charts show a positive slope — higher discount correlating with higher rating — but the third chart simultaneously shows that review volume alone predicts rating quality, the interpretation is that discounts improve ratings indirectly by generating more reviews, not by improving the underlying product. The regression line quantifies how strong or weak this relationship is, and whether it is meaningful enough to act upon.</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Sellers should not treat discount depth as a mechanism for improving product ratings. If the causal pathway runs through volume rather than quality, then a seller offering deeper discounts is not improving their product — they are simply attracting more buyers who then provide ratings that regress toward the platform mean. Platform ranking algorithms that use raw star averages are vulnerable to this effect. Adopting Bayesian-adjusted ratings for product ranking would penalise low-volume, artificially high-rated products and reward products that have earned their rating across a large and diverse customer base.</w:t>
      </w:r>
    </w:p>
    <w:p>
      <w:r>
        <w:br w:type="page"/>
      </w:r>
    </w:p>
    <w:p>
      <w:pPr>
        <w:pBdr>
          <w:bottom w:val="single" w:color="2E5FA3" w:sz="6" w:space="4"/>
        </w:pBdr>
        <w:spacing w:before="400" w:after="120"/>
      </w:pPr>
      <w:r>
        <w:rPr>
          <w:rFonts w:ascii="Arial" w:cs="Arial" w:eastAsia="Arial" w:hAnsi="Arial"/>
          <w:b/>
          <w:bCs/>
          <w:color w:val="1F3864"/>
          <w:sz w:val="36"/>
          <w:szCs w:val="36"/>
        </w:rPr>
        <w:t xml:space="preserve">Task 4 — Financially Risky Inventory KPI</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task is to construct a single KPI measure that quantifies the proportion of total inventory value that is simultaneously deeply discounted and poorly rated. Products in this intersection represent the worst possible inventory profile: the business is offering large discounts on items that customers are still rating poorly, eroding both margin and brand reputation at the same time.</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This task uses the snapdeal_products table. The required fields are the Discount percentage, the Rating_Value standardised column, the Stock Value representing units in inventory, and the Price used to compute the total monetary value of inventory.</w:t>
      </w:r>
    </w:p>
    <w:p>
      <w:pPr>
        <w:spacing w:before="280" w:after="80"/>
      </w:pPr>
      <w:r>
        <w:rPr>
          <w:rFonts w:ascii="Arial" w:cs="Arial" w:eastAsia="Arial" w:hAnsi="Arial"/>
          <w:b/>
          <w:bCs/>
          <w:color w:val="2E5FA3"/>
          <w:sz w:val="26"/>
          <w:szCs w:val="26"/>
        </w:rPr>
        <w:t xml:space="preserve">Methodology</w:t>
      </w:r>
    </w:p>
    <w:p>
      <w:pPr>
        <w:spacing w:before="200" w:after="60"/>
      </w:pPr>
      <w:r>
        <w:rPr>
          <w:rFonts w:ascii="Arial" w:cs="Arial" w:eastAsia="Arial" w:hAnsi="Arial"/>
          <w:b/>
          <w:bCs/>
          <w:color w:val="1A1A1A"/>
          <w:sz w:val="22"/>
          <w:szCs w:val="22"/>
        </w:rPr>
        <w:t xml:space="preserve">Risk Score</w:t>
      </w:r>
    </w:p>
    <w:p>
      <w:pPr>
        <w:spacing w:before="60" w:after="100"/>
        <w:jc w:val="both"/>
      </w:pPr>
      <w:r>
        <w:rPr>
          <w:rFonts w:ascii="Arial" w:cs="Arial" w:eastAsia="Arial" w:hAnsi="Arial"/>
          <w:color w:val="1A1A1A"/>
          <w:sz w:val="22"/>
          <w:szCs w:val="22"/>
        </w:rPr>
        <w:t xml:space="preserve">The Risk Score is a row-level calculation aggregated using SUMX. For each product, the formula multiplies three components: the discount expressed as a decimal, a rating penalty that is zero for a perfect five-star product and one for a zero-star product, and the stock value that scales the risk by the size of the inventory exposure. The original submission contained a template placeholder table name and referenced the raw rating column rather than the standardised Rating_Value. Both are corrected in the version below.</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Risk Score =</w:t>
        <w:br/>
        <w:t xml:space="preserve">SUMX(</w:t>
        <w:br/>
        <w:t xml:space="preserve">    snapdeal_products,</w:t>
        <w:br/>
        <w:t xml:space="preserve">    (snapdeal_products[Discount] / 100)</w:t>
        <w:br/>
        <w:t xml:space="preserve">    * (1 - snapdeal_products[Rating_Value] / 5)</w:t>
        <w:br/>
        <w:t xml:space="preserve">    * snapdeal_products[Stock Value]</w:t>
        <w:br/>
        <w:t xml:space="preserve">)</w:t>
      </w:r>
    </w:p>
    <w:p>
      <w:pPr>
        <w:spacing w:before="60" w:after="100"/>
        <w:jc w:val="both"/>
      </w:pPr>
      <w:r>
        <w:rPr>
          <w:rFonts w:ascii="Arial" w:cs="Arial" w:eastAsia="Arial" w:hAnsi="Arial"/>
          <w:color w:val="1A1A1A"/>
          <w:sz w:val="22"/>
          <w:szCs w:val="22"/>
        </w:rPr>
        <w:t xml:space="preserve">To illustrate the formula: a product discounted at 50 percent, rated 2 out of 5, with stock valued at Rs. 1,00,000 contributes 0.5 multiplied by 0.6 multiplied by 1,00,000, which equals Rs. 30,000 of financial risk to the numerator. SUMX is used rather than a simple column multiplication because it iterates row by row before aggregating, which is required when combining multiple column values per product.</w:t>
      </w:r>
    </w:p>
    <w:p>
      <w:pPr>
        <w:spacing w:before="200" w:after="60"/>
      </w:pPr>
      <w:r>
        <w:rPr>
          <w:rFonts w:ascii="Arial" w:cs="Arial" w:eastAsia="Arial" w:hAnsi="Arial"/>
          <w:b/>
          <w:bCs/>
          <w:color w:val="1A1A1A"/>
          <w:sz w:val="22"/>
          <w:szCs w:val="22"/>
        </w:rPr>
        <w:t xml:space="preserve">Total Inventory Value and Financial Risk Percentage</w:t>
      </w:r>
    </w:p>
    <w:p>
      <w:pPr>
        <w:spacing w:before="60" w:after="100"/>
        <w:jc w:val="both"/>
      </w:pPr>
      <w:r>
        <w:rPr>
          <w:rFonts w:ascii="Arial" w:cs="Arial" w:eastAsia="Arial" w:hAnsi="Arial"/>
          <w:color w:val="1A1A1A"/>
          <w:sz w:val="22"/>
          <w:szCs w:val="22"/>
        </w:rPr>
        <w:t xml:space="preserve">Total Inventory Value multiplies price by stock value for each product and sums across all rows. Financial Risk Percentage then divides the Risk Score by the Total Inventory Value. DIVIDE is used in place of the division operator to handle cases where Total Inventory Value is zero, returning a blank rather than an error that would cause the KPI card to fail.</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Total Inventory Value =</w:t>
        <w:br/>
        <w:t xml:space="preserve">SUMX(</w:t>
        <w:br/>
        <w:t xml:space="preserve">    snapdeal_products,</w:t>
        <w:br/>
        <w:t xml:space="preserve">    snapdeal_products[Price] * snapdeal_products[Stock Value]</w:t>
        <w:br/>
        <w:t xml:space="preserve">)</w:t>
        <w:br/>
        <w:t xml:space="preserve"/>
        <w:br/>
        <w:t xml:space="preserve">Financial Risk % =</w:t>
        <w:br/>
        <w:t xml:space="preserve">DIVIDE(</w:t>
        <w:br/>
        <w:t xml:space="preserve">    [Risk Score],</w:t>
        <w:br/>
        <w:t xml:space="preserve">    [Total Inventory Value]</w:t>
        <w:br/>
        <w:t xml:space="preserve">)</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A KPI card displays the Financial Risk Percentage with conditional formatting applied to the callout value. The formatting uses three threshold bands: below ten percent is formatted in green, indicating that inventory is priced and rated acceptably with no immediate action required; ten to 25 percent is formatted in amber, indicating moderate risk and a need to review pricing strategy; and above 25 percent is formatted in red, indicating critical financial exposure requiring immediate repricing and a quality audit. This setup is configured through the Format pane under Callout value, using the Conditional formatting option.</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The formula correctly weights three risk factors simultaneously. Discount depth signals pricing distress or panic-driven stock clearance. The rating penalty ensures that well-rated products, even when discounted, contribute little to the risk numerator, while poorly rated products carry their full inventory exposure. Stock value ensures that a high-risk product with minimal inventory does not dominate the KPI the way it would if per-product risk were computed without volume weighting.</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A Financial Risk Percentage above 25 percent means that more than a quarter of total inventory value sits in products the business is effectively subsidising — paying customers through deep discounts to tolerate products that customers are still rating poorly. This is the most damaging inventory category because it simultaneously destroys margin and brand trust. Immediate actions should include repricing to reduce discount depth on poor-quality products, conducting quality audits to identify root causes of low ratings, and considering delisting of persistently underperforming SKUs that show no improvement over successive scraping cycles.</w:t>
      </w:r>
    </w:p>
    <w:p>
      <w:r>
        <w:br w:type="page"/>
      </w:r>
    </w:p>
    <w:p>
      <w:pPr>
        <w:pBdr>
          <w:bottom w:val="single" w:color="2E5FA3" w:sz="6" w:space="4"/>
        </w:pBdr>
        <w:spacing w:before="400" w:after="120"/>
      </w:pPr>
      <w:r>
        <w:rPr>
          <w:rFonts w:ascii="Arial" w:cs="Arial" w:eastAsia="Arial" w:hAnsi="Arial"/>
          <w:b/>
          <w:bCs/>
          <w:color w:val="1F3864"/>
          <w:sz w:val="36"/>
          <w:szCs w:val="36"/>
        </w:rPr>
        <w:t xml:space="preserve">Task 5 — Trust-Weighted Rating Index</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task is to construct a multi-dimensional trust composite rating that is substantially more reliable than the raw star average. The index is built in three progressive versions of increasing sophistication, culminating in a trust score that combines rating quality, logarithmic review volume, and return rate into a single index. A dynamic slicer allows business users to toggle between all three versions and observe how different weighting approaches diverge for specific products.</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The task uses the snapdeal_products table. Key fields include the detail-page rating and review count, the standardised Rating_Value and Sales_Value columns, and the Return Rate field. The Return Rate component is dataset-dependent: if the column is absent from the source data, the Trust Score formula is simplified to remove that factor while retaining the rating-volume composite.</w:t>
      </w:r>
    </w:p>
    <w:p>
      <w:pPr>
        <w:spacing w:before="280" w:after="80"/>
      </w:pPr>
      <w:r>
        <w:rPr>
          <w:rFonts w:ascii="Arial" w:cs="Arial" w:eastAsia="Arial" w:hAnsi="Arial"/>
          <w:b/>
          <w:bCs/>
          <w:color w:val="2E5FA3"/>
          <w:sz w:val="26"/>
          <w:szCs w:val="26"/>
        </w:rPr>
        <w:t xml:space="preserve">Methodology</w:t>
      </w:r>
    </w:p>
    <w:p>
      <w:pPr>
        <w:spacing w:before="200" w:after="60"/>
      </w:pPr>
      <w:r>
        <w:rPr>
          <w:rFonts w:ascii="Arial" w:cs="Arial" w:eastAsia="Arial" w:hAnsi="Arial"/>
          <w:b/>
          <w:bCs/>
          <w:color w:val="1A1A1A"/>
          <w:sz w:val="22"/>
          <w:szCs w:val="22"/>
        </w:rPr>
        <w:t xml:space="preserve">Simple Average Rating</w:t>
      </w:r>
    </w:p>
    <w:p>
      <w:pPr>
        <w:spacing w:before="60" w:after="100"/>
        <w:jc w:val="both"/>
      </w:pPr>
      <w:r>
        <w:rPr>
          <w:rFonts w:ascii="Arial" w:cs="Arial" w:eastAsia="Arial" w:hAnsi="Arial"/>
          <w:color w:val="1A1A1A"/>
          <w:sz w:val="22"/>
          <w:szCs w:val="22"/>
        </w:rPr>
        <w:t xml:space="preserve">The first version is a straightforward mean of the detail-page rating across all products in the current filter context. This is the baseline metric that the other two versions improve upon.</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Simple Average Rating =</w:t>
        <w:br/>
        <w:t xml:space="preserve">AVERAGE('snapdeal_products'[Rating (detail)])</w:t>
      </w:r>
    </w:p>
    <w:p>
      <w:pPr>
        <w:spacing w:before="200" w:after="60"/>
      </w:pPr>
      <w:r>
        <w:rPr>
          <w:rFonts w:ascii="Arial" w:cs="Arial" w:eastAsia="Arial" w:hAnsi="Arial"/>
          <w:b/>
          <w:bCs/>
          <w:color w:val="1A1A1A"/>
          <w:sz w:val="22"/>
          <w:szCs w:val="22"/>
        </w:rPr>
        <w:t xml:space="preserve">Review Weighted Rating</w:t>
      </w:r>
    </w:p>
    <w:p>
      <w:pPr>
        <w:spacing w:before="60" w:after="100"/>
        <w:jc w:val="both"/>
      </w:pPr>
      <w:r>
        <w:rPr>
          <w:rFonts w:ascii="Arial" w:cs="Arial" w:eastAsia="Arial" w:hAnsi="Arial"/>
          <w:color w:val="1A1A1A"/>
          <w:sz w:val="22"/>
          <w:szCs w:val="22"/>
        </w:rPr>
        <w:t xml:space="preserve">The second version weights each product's rating by its review count before aggregating. This ensures that a product with 500 reviews contributes more to the final figure than a product with two reviews. It is implemented as a weighted average using SUMX for the numerator and SUM for the denominator, with DIVIDE handling the zero-denominator case.</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Review Weighted Rating =</w:t>
        <w:br/>
        <w:t xml:space="preserve">DIVIDE(</w:t>
        <w:br/>
        <w:t xml:space="preserve">    SUMX(</w:t>
        <w:br/>
        <w:t xml:space="preserve">        'snapdeal_products',</w:t>
        <w:br/>
        <w:t xml:space="preserve">        'snapdeal_products'[Rating (detail)] *</w:t>
        <w:br/>
        <w:t xml:space="preserve">        'snapdeal_products'[Reviews Count (detail)]</w:t>
        <w:br/>
        <w:t xml:space="preserve">    ),</w:t>
        <w:br/>
        <w:t xml:space="preserve">    SUM('snapdeal_products'[Reviews Count (detail)])</w:t>
        <w:br/>
        <w:t xml:space="preserve">)</w:t>
      </w:r>
    </w:p>
    <w:p>
      <w:pPr>
        <w:spacing w:before="200" w:after="60"/>
      </w:pPr>
      <w:r>
        <w:rPr>
          <w:rFonts w:ascii="Arial" w:cs="Arial" w:eastAsia="Arial" w:hAnsi="Arial"/>
          <w:b/>
          <w:bCs/>
          <w:color w:val="1A1A1A"/>
          <w:sz w:val="22"/>
          <w:szCs w:val="22"/>
        </w:rPr>
        <w:t xml:space="preserve">Trust Score and Trust Weighted Rating</w:t>
      </w:r>
    </w:p>
    <w:p>
      <w:pPr>
        <w:spacing w:before="60" w:after="100"/>
        <w:jc w:val="both"/>
      </w:pPr>
      <w:r>
        <w:rPr>
          <w:rFonts w:ascii="Arial" w:cs="Arial" w:eastAsia="Arial" w:hAnsi="Arial"/>
          <w:color w:val="1A1A1A"/>
          <w:sz w:val="22"/>
          <w:szCs w:val="22"/>
        </w:rPr>
        <w:t xml:space="preserve">The third version introduces a trust composite calculated column that multiplies Rating_Value by the natural logarithm of one plus Sales_Value, which scales the volume component logarithmically so that a product with 10,000 reviews is not disproportionately rewarded over one with 1,000 reviews. The return rate penalty is then applied as a multiplier, so a product with a 30 percent return rate has its trust score reduced accordingly, regardless of how high its star rating is. The Trust Weighted Rating measure averages this column across the current filter context using AVERAGEX.</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Trust Score =</w:t>
        <w:br/>
        <w:t xml:space="preserve">    snapdeal_products[Rating_Value]</w:t>
        <w:br/>
        <w:t xml:space="preserve">    * LN(1 + snapdeal_products[Sales_Value])</w:t>
        <w:br/>
        <w:t xml:space="preserve">    * (1 - snapdeal_products[Return Rate])</w:t>
        <w:br/>
        <w:t xml:space="preserve"/>
        <w:br/>
        <w:t xml:space="preserve">-- If Return Rate is unavailable in the dataset, simplify to:</w:t>
        <w:br/>
        <w:t xml:space="preserve">-- Trust Score = Rating_Value * LN(1 + Sales_Value)</w:t>
        <w:br/>
        <w:t xml:space="preserve"/>
        <w:br/>
        <w:t xml:space="preserve">Trust Weighted Rating =</w:t>
        <w:br/>
        <w:t xml:space="preserve">AVERAGEX(</w:t>
        <w:br/>
        <w:t xml:space="preserve">    'snapdeal_products',</w:t>
        <w:br/>
        <w:t xml:space="preserve">    'snapdeal_products'[Trust Score]</w:t>
        <w:br/>
        <w:t xml:space="preserve">)</w:t>
      </w:r>
    </w:p>
    <w:p>
      <w:pPr>
        <w:spacing w:before="200" w:after="60"/>
      </w:pPr>
      <w:r>
        <w:rPr>
          <w:rFonts w:ascii="Arial" w:cs="Arial" w:eastAsia="Arial" w:hAnsi="Arial"/>
          <w:b/>
          <w:bCs/>
          <w:color w:val="1A1A1A"/>
          <w:sz w:val="22"/>
          <w:szCs w:val="22"/>
        </w:rPr>
        <w:t xml:space="preserve">Dynamic Selector</w:t>
      </w:r>
    </w:p>
    <w:p>
      <w:pPr>
        <w:spacing w:before="60" w:after="100"/>
        <w:jc w:val="both"/>
      </w:pPr>
      <w:r>
        <w:rPr>
          <w:rFonts w:ascii="Arial" w:cs="Arial" w:eastAsia="Arial" w:hAnsi="Arial"/>
          <w:color w:val="1A1A1A"/>
          <w:sz w:val="22"/>
          <w:szCs w:val="22"/>
        </w:rPr>
        <w:t xml:space="preserve">A disconnected parameter table is created using DATATABLE to hold the three metric names. This table is connected to a slicer in the report. A SWITCH measure reads the slicer selection and returns the appropriate rating measure, allowing a single chart to display any of the three versions without requiring separate visuals.</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Rating Comparison =</w:t>
        <w:br/>
        <w:t xml:space="preserve">DATATABLE(</w:t>
        <w:br/>
        <w:t xml:space="preserve">    "Metric", STRING,</w:t>
        <w:br/>
        <w:t xml:space="preserve">    {{"Simple Average"}, {"Review Weighted"}, {"Trust Weighted"}}</w:t>
        <w:br/>
        <w:t xml:space="preserve">)</w:t>
        <w:br/>
        <w:t xml:space="preserve"/>
        <w:br/>
        <w:t xml:space="preserve">Rating Value =</w:t>
        <w:br/>
        <w:t xml:space="preserve">SWITCH(</w:t>
        <w:br/>
        <w:t xml:space="preserve">    SELECTEDVALUE('Rating Comparison'[Metric]),</w:t>
        <w:br/>
        <w:t xml:space="preserve">    "Simple Average",  [Simple Average Rating],</w:t>
        <w:br/>
        <w:t xml:space="preserve">    "Review Weighted", [Review Weighted Rating],</w:t>
        <w:br/>
        <w:t xml:space="preserve">    "Trust Weighted",  [Trust Weighted Rating]</w:t>
        <w:br/>
        <w:t xml:space="preserve">)</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A bar or line chart plots the Rating Value measure on the vertical axis, with products or subcategories on the horizontal axis. The Rating Comparison slicer allows the analyst to toggle between all three rating approaches. The divergence between Simple Average and Trust Weighted Rating for a given product is informative: a large gap indicates that the raw star score is unreliable, being inflated either by low review volume or by high return rates that the star score does not capture.</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The Simple Average Rating is easily gamed. A product with two reviews averaging five stars appears superior to one with 500 reviews averaging 4.3 stars. The Review Weighted Rating corrects for volume but remains susceptible to fake review inflation. The Trust Weighted Rating is the most reliable of the three because it simultaneously penalises products for low review volume, prevents mega-sellers from dominating through logarithmic scaling, and imposes a direct penalty for high return rates regardless of star score. Under this model, a product rated 4.5 stars with a 30 percent return rate scores below a product rated 4.2 stars with a two percent return rate.</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E-commerce managers should use the Trust Weighted Rating rather than raw star scores for product ranking, promotional selection, and supplier performance evaluation. The DATATABLE and SWITCH pattern enables non-technical business users to compare the three methodologies interactively without requiring separate reports or dashboards. Adoption of the Trust Weighted Rating in platform ranking algorithms would reduce the incentive for sellers to artificially inflate review scores and would improve the accuracy of product recommendations for customers.</w:t>
      </w:r>
    </w:p>
    <w:p>
      <w:r>
        <w:br w:type="page"/>
      </w:r>
    </w:p>
    <w:p>
      <w:pPr>
        <w:pBdr>
          <w:bottom w:val="single" w:color="2E5FA3" w:sz="6" w:space="4"/>
        </w:pBdr>
        <w:spacing w:before="400" w:after="120"/>
      </w:pPr>
      <w:r>
        <w:rPr>
          <w:rFonts w:ascii="Arial" w:cs="Arial" w:eastAsia="Arial" w:hAnsi="Arial"/>
          <w:b/>
          <w:bCs/>
          <w:color w:val="1F3864"/>
          <w:sz w:val="36"/>
          <w:szCs w:val="36"/>
        </w:rPr>
        <w:t xml:space="preserve">Task 6 — Context-Aware Dynamic Price Banding</w:t>
      </w:r>
    </w:p>
    <w:p>
      <w:pPr>
        <w:spacing w:before="280" w:after="80"/>
      </w:pPr>
      <w:r>
        <w:rPr>
          <w:rFonts w:ascii="Arial" w:cs="Arial" w:eastAsia="Arial" w:hAnsi="Arial"/>
          <w:b/>
          <w:bCs/>
          <w:color w:val="2E5FA3"/>
          <w:sz w:val="26"/>
          <w:szCs w:val="26"/>
        </w:rPr>
        <w:t xml:space="preserve">Objective</w:t>
      </w:r>
    </w:p>
    <w:p>
      <w:pPr>
        <w:spacing w:before="60" w:after="100"/>
        <w:jc w:val="both"/>
      </w:pPr>
      <w:r>
        <w:rPr>
          <w:rFonts w:ascii="Arial" w:cs="Arial" w:eastAsia="Arial" w:hAnsi="Arial"/>
          <w:color w:val="1A1A1A"/>
          <w:sz w:val="22"/>
          <w:szCs w:val="22"/>
        </w:rPr>
        <w:t xml:space="preserve">The objective of this task is to segment products into Low, Medium, and High price bands that recalculate automatically relative to whatever category, brand, or time filter the analyst currently has applied. Fixed price thresholds fail in e-commerce analytics because the same absolute price represents entirely different competitive positions in different product categories, and because price distributions shift across seasons and promotional events.</w:t>
      </w:r>
    </w:p>
    <w:p>
      <w:pPr>
        <w:spacing w:before="280" w:after="80"/>
      </w:pPr>
      <w:r>
        <w:rPr>
          <w:rFonts w:ascii="Arial" w:cs="Arial" w:eastAsia="Arial" w:hAnsi="Arial"/>
          <w:b/>
          <w:bCs/>
          <w:color w:val="2E5FA3"/>
          <w:sz w:val="26"/>
          <w:szCs w:val="26"/>
        </w:rPr>
        <w:t xml:space="preserve">Dataset Description</w:t>
      </w:r>
    </w:p>
    <w:p>
      <w:pPr>
        <w:spacing w:before="60" w:after="100"/>
        <w:jc w:val="both"/>
      </w:pPr>
      <w:r>
        <w:rPr>
          <w:rFonts w:ascii="Arial" w:cs="Arial" w:eastAsia="Arial" w:hAnsi="Arial"/>
          <w:color w:val="1A1A1A"/>
          <w:sz w:val="22"/>
          <w:szCs w:val="22"/>
        </w:rPr>
        <w:t xml:space="preserve">This task uses the snapdeal_products table with the Price field as the primary variable. The Subcategory and Brand fields serve as slicer dimensions. The dynamic nature of the banding means that the same product can legitimately change band classification depending on what filter context the analyst applies, which is the intended and correct behaviour.</w:t>
      </w:r>
    </w:p>
    <w:p>
      <w:pPr>
        <w:spacing w:before="280" w:after="80"/>
      </w:pPr>
      <w:r>
        <w:rPr>
          <w:rFonts w:ascii="Arial" w:cs="Arial" w:eastAsia="Arial" w:hAnsi="Arial"/>
          <w:b/>
          <w:bCs/>
          <w:color w:val="2E5FA3"/>
          <w:sz w:val="26"/>
          <w:szCs w:val="26"/>
        </w:rPr>
        <w:t xml:space="preserve">Methodology</w:t>
      </w:r>
    </w:p>
    <w:p>
      <w:pPr>
        <w:spacing w:before="200" w:after="60"/>
      </w:pPr>
      <w:r>
        <w:rPr>
          <w:rFonts w:ascii="Arial" w:cs="Arial" w:eastAsia="Arial" w:hAnsi="Arial"/>
          <w:b/>
          <w:bCs/>
          <w:color w:val="1A1A1A"/>
          <w:sz w:val="22"/>
          <w:szCs w:val="22"/>
        </w:rPr>
        <w:t xml:space="preserve">Percentile Boundary Measures</w:t>
      </w:r>
    </w:p>
    <w:p>
      <w:pPr>
        <w:spacing w:before="60" w:after="100"/>
        <w:jc w:val="both"/>
      </w:pPr>
      <w:r>
        <w:rPr>
          <w:rFonts w:ascii="Arial" w:cs="Arial" w:eastAsia="Arial" w:hAnsi="Arial"/>
          <w:color w:val="1A1A1A"/>
          <w:sz w:val="22"/>
          <w:szCs w:val="22"/>
        </w:rPr>
        <w:t xml:space="preserve">Two measures compute the 30th and 70th percentile of Price within the current slicer context using ALLSELECTED. ALLSELECTED removes the row-level filter on Price so the percentile is computed across all products visible after slicer selection, rather than being collapsed to a single product's price. This is the key function that enables the context-aware behaviour.</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P30 Price =</w:t>
        <w:br/>
        <w:t xml:space="preserve">PERCENTILEX.INC(</w:t>
        <w:br/>
        <w:t xml:space="preserve">    ALLSELECTED('snapdeal_products'),</w:t>
        <w:br/>
        <w:t xml:space="preserve">    'snapdeal_products'[Price],</w:t>
        <w:br/>
        <w:t xml:space="preserve">    0.3</w:t>
        <w:br/>
        <w:t xml:space="preserve">)</w:t>
        <w:br/>
        <w:t xml:space="preserve"/>
        <w:br/>
        <w:t xml:space="preserve">P70 Price =</w:t>
        <w:br/>
        <w:t xml:space="preserve">PERCENTILEX.INC(</w:t>
        <w:br/>
        <w:t xml:space="preserve">    ALLSELECTED('snapdeal_products'),</w:t>
        <w:br/>
        <w:t xml:space="preserve">    'snapdeal_products'[Price],</w:t>
        <w:br/>
        <w:t xml:space="preserve">    0.7</w:t>
        <w:br/>
        <w:t xml:space="preserve">)</w:t>
      </w:r>
    </w:p>
    <w:p>
      <w:pPr>
        <w:spacing w:before="200" w:after="60"/>
      </w:pPr>
      <w:r>
        <w:rPr>
          <w:rFonts w:ascii="Arial" w:cs="Arial" w:eastAsia="Arial" w:hAnsi="Arial"/>
          <w:b/>
          <w:bCs/>
          <w:color w:val="1A1A1A"/>
          <w:sz w:val="22"/>
          <w:szCs w:val="22"/>
        </w:rPr>
        <w:t xml:space="preserve">Dynamic Price Band Measure</w:t>
      </w:r>
    </w:p>
    <w:p>
      <w:pPr>
        <w:spacing w:before="60" w:after="100"/>
        <w:jc w:val="both"/>
      </w:pPr>
      <w:r>
        <w:rPr>
          <w:rFonts w:ascii="Arial" w:cs="Arial" w:eastAsia="Arial" w:hAnsi="Arial"/>
          <w:color w:val="1A1A1A"/>
          <w:sz w:val="22"/>
          <w:szCs w:val="22"/>
        </w:rPr>
        <w:t xml:space="preserve">The original submission used a calculated column to assign price bands. Calculated columns are evaluated at data refresh time, before any slicer selection exists. In that context, ALLSELECTED behaves identically to ALL and cannot see slicer state, making the bands static. The corrected implementation converts the assignment to a measure, which is evaluated at query time and therefore has full visibility of the analyst's current slicer context.</w:t>
      </w:r>
    </w:p>
    <w:p>
      <w:pPr>
        <w:pBdr>
          <w:left w:val="single" w:color="2E5FA3" w:sz="10"/>
        </w:pBdr>
        <w:shd w:fill="1E2A3A" w:val="clear"/>
        <w:spacing w:before="100" w:after="100"/>
        <w:ind w:left="200"/>
      </w:pPr>
      <w:r>
        <w:rPr>
          <w:rFonts w:ascii="Courier New" w:cs="Courier New" w:eastAsia="Courier New" w:hAnsi="Courier New"/>
          <w:color w:val="C8D8E8"/>
          <w:sz w:val="18"/>
          <w:szCs w:val="18"/>
        </w:rPr>
        <w:t xml:space="preserve">Dynamic Price Band =</w:t>
        <w:br/>
        <w:t xml:space="preserve">VAR P30 =</w:t>
        <w:br/>
        <w:t xml:space="preserve">    PERCENTILEX.INC(ALLSELECTED('snapdeal_products'), 'snapdeal_products'[Price], 0.3)</w:t>
        <w:br/>
        <w:t xml:space="preserve">VAR P70 =</w:t>
        <w:br/>
        <w:t xml:space="preserve">    PERCENTILEX.INC(ALLSELECTED('snapdeal_products'), 'snapdeal_products'[Price], 0.7)</w:t>
        <w:br/>
        <w:t xml:space="preserve">VAR CurrentPrice = MAX('snapdeal_products'[Price])</w:t>
        <w:br/>
        <w:t xml:space="preserve">RETURN</w:t>
        <w:br/>
        <w:t xml:space="preserve">SWITCH(</w:t>
        <w:br/>
        <w:t xml:space="preserve">    TRUE(),</w:t>
        <w:br/>
        <w:t xml:space="preserve">    CurrentPrice &lt;= P30, "Low",</w:t>
        <w:br/>
        <w:t xml:space="preserve">    CurrentPrice &lt;= P70, "Medium",</w:t>
        <w:br/>
        <w:t xml:space="preserve">    "High"</w:t>
        <w:br/>
        <w:t xml:space="preserve">)</w:t>
      </w:r>
    </w:p>
    <w:p>
      <w:pPr>
        <w:spacing w:before="60" w:after="100"/>
        <w:jc w:val="both"/>
      </w:pPr>
      <w:r>
        <w:rPr>
          <w:rFonts w:ascii="Arial" w:cs="Arial" w:eastAsia="Arial" w:hAnsi="Arial"/>
          <w:color w:val="1A1A1A"/>
          <w:sz w:val="22"/>
          <w:szCs w:val="22"/>
        </w:rPr>
        <w:t xml:space="preserve">When a user selects Electronics in a category slicer, the P30 and P70 values recalculate based only on Electronics prices, and every product in the visual rebands relative to its electronics peers. The same product priced at Rs. 3,000 might be Medium in an electronics context but High in a stationery context — and this is the correct analytical behaviour.</w:t>
      </w:r>
    </w:p>
    <w:p>
      <w:pPr>
        <w:spacing w:before="280" w:after="80"/>
      </w:pPr>
      <w:r>
        <w:rPr>
          <w:rFonts w:ascii="Arial" w:cs="Arial" w:eastAsia="Arial" w:hAnsi="Arial"/>
          <w:b/>
          <w:bCs/>
          <w:color w:val="2E5FA3"/>
          <w:sz w:val="26"/>
          <w:szCs w:val="26"/>
        </w:rPr>
        <w:t xml:space="preserve">Visualization</w:t>
      </w:r>
    </w:p>
    <w:p>
      <w:pPr>
        <w:spacing w:before="60" w:after="100"/>
        <w:jc w:val="both"/>
      </w:pPr>
      <w:r>
        <w:rPr>
          <w:rFonts w:ascii="Arial" w:cs="Arial" w:eastAsia="Arial" w:hAnsi="Arial"/>
          <w:color w:val="1A1A1A"/>
          <w:sz w:val="22"/>
          <w:szCs w:val="22"/>
        </w:rPr>
        <w:t xml:space="preserve">The Dynamic Price Band measure is used as a legend or axis field in a bar chart or matrix. Category and Brand slicers drive dynamic rebanding in real time. A separate card visual displaying the current P30 and P70 values provides transparency into the active thresholds so analysts can verify that the banding logic is responding correctly to their filter selections.</w:t>
      </w:r>
    </w:p>
    <w:p>
      <w:pPr>
        <w:spacing w:before="280" w:after="80"/>
      </w:pPr>
      <w:r>
        <w:rPr>
          <w:rFonts w:ascii="Arial" w:cs="Arial" w:eastAsia="Arial" w:hAnsi="Arial"/>
          <w:b/>
          <w:bCs/>
          <w:color w:val="2E5FA3"/>
          <w:sz w:val="26"/>
          <w:szCs w:val="26"/>
        </w:rPr>
        <w:t xml:space="preserve">Key Findings</w:t>
      </w:r>
    </w:p>
    <w:p>
      <w:pPr>
        <w:spacing w:before="60" w:after="100"/>
        <w:jc w:val="both"/>
      </w:pPr>
      <w:r>
        <w:rPr>
          <w:rFonts w:ascii="Arial" w:cs="Arial" w:eastAsia="Arial" w:hAnsi="Arial"/>
          <w:color w:val="1A1A1A"/>
          <w:sz w:val="22"/>
          <w:szCs w:val="22"/>
        </w:rPr>
        <w:t xml:space="preserve">The ALLSELECTED function is the essential component enabling context-aware computation. Without it, the percentile boundaries are fixed at refresh time and the bands carry no analytical meaning when filters are applied. The SWITCH(TRUE()) pattern enables clean multi-branch logic without nested IF statements, improving readability and maintainability of the DAX code. The percentile-based approach absorbs seasonal price distribution shifts automatically, so the same measure remains valid during festival sales periods when prices compress significantly across the board.</w:t>
      </w:r>
    </w:p>
    <w:p>
      <w:pPr>
        <w:spacing w:before="280" w:after="80"/>
      </w:pPr>
      <w:r>
        <w:rPr>
          <w:rFonts w:ascii="Arial" w:cs="Arial" w:eastAsia="Arial" w:hAnsi="Arial"/>
          <w:b/>
          <w:bCs/>
          <w:color w:val="2E5FA3"/>
          <w:sz w:val="26"/>
          <w:szCs w:val="26"/>
        </w:rPr>
        <w:t xml:space="preserve">Business Interpretation and Conclusion</w:t>
      </w:r>
    </w:p>
    <w:p>
      <w:pPr>
        <w:spacing w:before="60" w:after="100"/>
        <w:jc w:val="both"/>
      </w:pPr>
      <w:r>
        <w:rPr>
          <w:rFonts w:ascii="Arial" w:cs="Arial" w:eastAsia="Arial" w:hAnsi="Arial"/>
          <w:color w:val="1A1A1A"/>
          <w:sz w:val="22"/>
          <w:szCs w:val="22"/>
        </w:rPr>
        <w:t xml:space="preserve">Fixed price bands are analytically misleading in multi-category e-commerce. A threshold of Rs. 500 is inexpensive for a smartphone accessory but expensive for a ballpoint pen, and applying it uniformly produces nonsensical segmentation. Context-aware percentile banding resolves this by anchoring the Low, Medium, and High classifications to the actual price distribution of whatever subset the analyst is examining. This makes the banding useful for inventory decisions, pricing strategy, and competitor benchmarking within a category, without requiring separate threshold configurations for each product group. The measure-based implementation represents production-grade dynamic segmentation appropriate for a live e-commerce analytics dashboard.</w:t>
      </w:r>
    </w:p>
    <w:p>
      <w:r>
        <w:br w:type="page"/>
      </w:r>
    </w:p>
    <w:p>
      <w:pPr>
        <w:pBdr>
          <w:bottom w:val="single" w:color="2E5FA3" w:sz="6" w:space="4"/>
        </w:pBdr>
        <w:spacing w:before="400" w:after="120"/>
      </w:pPr>
      <w:r>
        <w:rPr>
          <w:rFonts w:ascii="Arial" w:cs="Arial" w:eastAsia="Arial" w:hAnsi="Arial"/>
          <w:b/>
          <w:bCs/>
          <w:color w:val="1F3864"/>
          <w:sz w:val="36"/>
          <w:szCs w:val="36"/>
        </w:rPr>
        <w:t xml:space="preserve">Conclusion</w:t>
      </w:r>
    </w:p>
    <w:p>
      <w:pPr>
        <w:spacing w:before="60" w:after="100"/>
        <w:jc w:val="both"/>
      </w:pPr>
      <w:r>
        <w:rPr>
          <w:rFonts w:ascii="Arial" w:cs="Arial" w:eastAsia="Arial" w:hAnsi="Arial"/>
          <w:color w:val="1A1A1A"/>
          <w:sz w:val="22"/>
          <w:szCs w:val="22"/>
        </w:rPr>
        <w:t xml:space="preserve">This internship project delivered a complete six-task analytical solution built on Microsoft Power BI using scraped Snapdeal e-commerce data. Each task addressed a distinct and practically relevant business question: identifying underperforming products through multi-condition exception detection, measuring the genuine uplift created by promotional pricing, investigating the causal relationship between discount depth and customer ratings, quantifying the financial exposure embedded in poorly-rated discounted inventory, constructing a trust-composite rating index that is resistant to gaming, and implementing context-aware price segmentation that responds dynamically to analyst filter selections.</w:t>
      </w:r>
    </w:p>
    <w:p>
      <w:pPr>
        <w:spacing w:before="60" w:after="100"/>
        <w:jc w:val="both"/>
      </w:pPr>
      <w:r>
        <w:rPr>
          <w:rFonts w:ascii="Arial" w:cs="Arial" w:eastAsia="Arial" w:hAnsi="Arial"/>
          <w:color w:val="1A1A1A"/>
          <w:sz w:val="22"/>
          <w:szCs w:val="22"/>
        </w:rPr>
        <w:t xml:space="preserve">Across all six tasks, the analytical approach consistently prioritised robustness over simplicity. Median was used instead of mean where outliers could distort benchmarks. Bayesian adjustment was applied to ratings to prevent low-volume products from dominating. Logarithmic scaling was used for review volume to prevent mega-sellers from disproportionately influencing composite scores. ALLSELECTED was used in preference to ALL wherever slicer responsiveness was required. And measures were consistently preferred over calculated columns for any computation that needed to respond to user interaction at query time.</w:t>
      </w:r>
    </w:p>
    <w:p>
      <w:pPr>
        <w:spacing w:before="60" w:after="100"/>
        <w:jc w:val="both"/>
      </w:pPr>
      <w:r>
        <w:rPr>
          <w:rFonts w:ascii="Arial" w:cs="Arial" w:eastAsia="Arial" w:hAnsi="Arial"/>
          <w:color w:val="1A1A1A"/>
          <w:sz w:val="22"/>
          <w:szCs w:val="22"/>
        </w:rPr>
        <w:t xml:space="preserve">The project demonstrates applied proficiency in advanced DAX, filter context manipulation, time-series baseline computation, composite risk modeling, and production-grade Power BI visual configuration. The remaining action items — completing the Task 2 line chart visual once 30-day time-series data is available, confirming the Return Rate column for Task 5, and switching the Task 6 visual to the corrected measure — are straightforward and do not affect the analytical integrity of any task.</w:t>
      </w:r>
    </w:p>
    <w:p>
      <w:pPr>
        <w:spacing w:before="160" w:after="160"/>
      </w:pPr>
      <w:r>
        <w:t xml:space="preserve"/>
      </w:r>
    </w:p>
    <w:p>
      <w:pPr>
        <w:pageBreakBefore/>
      </w:pPr>
      <w:r>
        <w:t xml:space="preserve"/>
      </w:r>
    </w:p>
    <w:p>
      <w:pPr>
        <w:pBdr>
          <w:bottom w:val="single" w:color="2E5FA3" w:sz="6" w:space="4"/>
        </w:pBdr>
        <w:spacing w:before="400" w:after="120"/>
      </w:pPr>
      <w:r>
        <w:rPr>
          <w:rFonts w:ascii="Arial" w:cs="Arial" w:eastAsia="Arial" w:hAnsi="Arial"/>
          <w:b/>
          <w:bCs/>
          <w:color w:val="1F3864"/>
          <w:sz w:val="36"/>
          <w:szCs w:val="36"/>
        </w:rPr>
        <w:t xml:space="preserve">Appendix — KPI and Measure Summary</w:t>
      </w:r>
    </w:p>
    <w:p>
      <w:pPr>
        <w:spacing w:before="60" w:after="160"/>
        <w:jc w:val="both"/>
      </w:pPr>
      <w:r>
        <w:rPr>
          <w:rFonts w:ascii="Arial" w:cs="Arial" w:eastAsia="Arial" w:hAnsi="Arial"/>
          <w:color w:val="1A1A1A"/>
          <w:sz w:val="22"/>
          <w:szCs w:val="22"/>
        </w:rPr>
        <w:t xml:space="preserve">The table below provides a consolidated reference of all key KPIs and measures implemented across the six analytical tasks, together with a brief description of how each is calculated and the business insight it is designed to surface.</w:t>
      </w:r>
    </w:p>
    <w:tbl>
      <w:tblPr>
        <w:tblW w:w="9360" w:type="dxa"/>
        <w:tblLayout w:type="fixed"/>
      </w:tblPr>
      <w:tblGrid>
        <w:gridCol w:w="520"/>
        <w:gridCol w:w="1500"/>
        <w:gridCol w:w="2100"/>
        <w:gridCol w:w="2620"/>
        <w:gridCol w:w="2620"/>
      </w:tblGrid>
      <w:tr>
        <w:trPr>
          <w:tblHeader/>
        </w:trPr>
        <w:tc>
          <w:tcPr>
            <w:tcW w:w="520" w:type="dxa"/>
            <w:tcBorders>
              <w:top w:val="single" w:sz="1" w:color="CCCCCC"/>
              <w:bottom w:val="single" w:sz="1" w:color="CCCCCC"/>
              <w:left w:val="single" w:sz="1" w:color="CCCCCC"/>
              <w:right w:val="single" w:sz="1" w:color="CCCCCC"/>
            </w:tcBorders>
            <w:shd w:val="clear" w:fill="1F3864"/>
            <w:tcMar>
              <w:top w:w="80" w:type="dxa"/>
              <w:start w:w="120" w:type="dxa"/>
              <w:bottom w:w="80" w:type="dxa"/>
              <w:end w:w="120" w:type="dxa"/>
            </w:tcMar>
          </w:tcPr>
          <w:p>
            <w:r>
              <w:rPr>
                <w:rFonts w:ascii="Arial" w:cs="Arial" w:eastAsia="Arial" w:hAnsi="Arial"/>
                <w:b/>
                <w:bCs/>
                <w:color w:val="FFFFFF"/>
                <w:sz w:val="18"/>
                <w:szCs w:val="18"/>
              </w:rPr>
              <w:t>No.</w:t>
            </w:r>
          </w:p>
        </w:tc>
        <w:tc>
          <w:tcPr>
            <w:tcW w:w="1500" w:type="dxa"/>
            <w:tcBorders>
              <w:top w:val="single" w:sz="1" w:color="CCCCCC"/>
              <w:bottom w:val="single" w:sz="1" w:color="CCCCCC"/>
              <w:left w:val="single" w:sz="1" w:color="CCCCCC"/>
              <w:right w:val="single" w:sz="1" w:color="CCCCCC"/>
            </w:tcBorders>
            <w:shd w:val="clear" w:fill="1F3864"/>
            <w:tcMar>
              <w:top w:w="80" w:type="dxa"/>
              <w:start w:w="120" w:type="dxa"/>
              <w:bottom w:w="80" w:type="dxa"/>
              <w:end w:w="120" w:type="dxa"/>
            </w:tcMar>
          </w:tcPr>
          <w:p>
            <w:r>
              <w:rPr>
                <w:rFonts w:ascii="Arial" w:cs="Arial" w:eastAsia="Arial" w:hAnsi="Arial"/>
                <w:b/>
                <w:bCs/>
                <w:color w:val="FFFFFF"/>
                <w:sz w:val="18"/>
                <w:szCs w:val="18"/>
              </w:rPr>
              <w:t>Task Name</w:t>
            </w:r>
          </w:p>
        </w:tc>
        <w:tc>
          <w:tcPr>
            <w:tcW w:w="2100" w:type="dxa"/>
            <w:tcBorders>
              <w:top w:val="single" w:sz="1" w:color="CCCCCC"/>
              <w:bottom w:val="single" w:sz="1" w:color="CCCCCC"/>
              <w:left w:val="single" w:sz="1" w:color="CCCCCC"/>
              <w:right w:val="single" w:sz="1" w:color="CCCCCC"/>
            </w:tcBorders>
            <w:shd w:val="clear" w:fill="1F3864"/>
            <w:tcMar>
              <w:top w:w="80" w:type="dxa"/>
              <w:start w:w="120" w:type="dxa"/>
              <w:bottom w:w="80" w:type="dxa"/>
              <w:end w:w="120" w:type="dxa"/>
            </w:tcMar>
          </w:tcPr>
          <w:p>
            <w:r>
              <w:rPr>
                <w:rFonts w:ascii="Arial" w:cs="Arial" w:eastAsia="Arial" w:hAnsi="Arial"/>
                <w:b/>
                <w:bCs/>
                <w:color w:val="FFFFFF"/>
                <w:sz w:val="18"/>
                <w:szCs w:val="18"/>
              </w:rPr>
              <w:t>KPI / Measure</w:t>
            </w:r>
          </w:p>
        </w:tc>
        <w:tc>
          <w:tcPr>
            <w:tcW w:w="2620" w:type="dxa"/>
            <w:tcBorders>
              <w:top w:val="single" w:sz="1" w:color="CCCCCC"/>
              <w:bottom w:val="single" w:sz="1" w:color="CCCCCC"/>
              <w:left w:val="single" w:sz="1" w:color="CCCCCC"/>
              <w:right w:val="single" w:sz="1" w:color="CCCCCC"/>
            </w:tcBorders>
            <w:shd w:val="clear" w:fill="1F3864"/>
            <w:tcMar>
              <w:top w:w="80" w:type="dxa"/>
              <w:start w:w="120" w:type="dxa"/>
              <w:bottom w:w="80" w:type="dxa"/>
              <w:end w:w="120" w:type="dxa"/>
            </w:tcMar>
          </w:tcPr>
          <w:p>
            <w:r>
              <w:rPr>
                <w:rFonts w:ascii="Arial" w:cs="Arial" w:eastAsia="Arial" w:hAnsi="Arial"/>
                <w:b/>
                <w:bCs/>
                <w:color w:val="FFFFFF"/>
                <w:sz w:val="18"/>
                <w:szCs w:val="18"/>
              </w:rPr>
              <w:t>Description / How Calculated</w:t>
            </w:r>
          </w:p>
        </w:tc>
        <w:tc>
          <w:tcPr>
            <w:tcW w:w="2620" w:type="dxa"/>
            <w:tcBorders>
              <w:top w:val="single" w:sz="1" w:color="CCCCCC"/>
              <w:bottom w:val="single" w:sz="1" w:color="CCCCCC"/>
              <w:left w:val="single" w:sz="1" w:color="CCCCCC"/>
              <w:right w:val="single" w:sz="1" w:color="CCCCCC"/>
            </w:tcBorders>
            <w:shd w:val="clear" w:fill="1F3864"/>
            <w:tcMar>
              <w:top w:w="80" w:type="dxa"/>
              <w:start w:w="120" w:type="dxa"/>
              <w:bottom w:w="80" w:type="dxa"/>
              <w:end w:w="120" w:type="dxa"/>
            </w:tcMar>
          </w:tcPr>
          <w:p>
            <w:r>
              <w:rPr>
                <w:rFonts w:ascii="Arial" w:cs="Arial" w:eastAsia="Arial" w:hAnsi="Arial"/>
                <w:b/>
                <w:bCs/>
                <w:color w:val="FFFFFF"/>
                <w:sz w:val="18"/>
                <w:szCs w:val="18"/>
              </w:rPr>
              <w:t>Insight Purpose</w:t>
            </w:r>
          </w:p>
        </w:tc>
      </w:tr>
      <w:tr>
        <w:tc>
          <w:tcPr>
            <w:tcW w:w="5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b/>
                <w:bCs/>
                <w:sz w:val="18"/>
                <w:szCs w:val="18"/>
              </w:rPr>
              <w:t>1</w:t>
            </w:r>
          </w:p>
        </w:tc>
        <w:tc>
          <w:tcPr>
            <w:tcW w:w="15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Pricing vs Satisfaction Exception Detection</w:t>
            </w:r>
          </w:p>
        </w:tc>
        <w:tc>
          <w:tcPr>
            <w:tcW w:w="21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Price vs Category Avg, Rating vs Category Avg, Risk Score, Sales vs Category Median</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Measures products with high price, low rating, high risk, and low sales simultaneously. Identifies critical business failures across four dimensions.</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Shows which products threaten profitability; suggests re-pricing, quality improvement, or removal.</w:t>
            </w:r>
          </w:p>
        </w:tc>
      </w:tr>
      <w:tr>
        <w:tc>
          <w:tcPr>
            <w:tcW w:w="5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b/>
                <w:bCs/>
                <w:sz w:val="18"/>
                <w:szCs w:val="18"/>
              </w:rPr>
              <w:t>2</w:t>
            </w:r>
          </w:p>
        </w:tc>
        <w:tc>
          <w:tcPr>
            <w:tcW w:w="15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Promotion Effectiveness Trend Analysis</w:t>
            </w:r>
          </w:p>
        </w:tc>
        <w:tc>
          <w:tcPr>
            <w:tcW w:w="21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Baseline Discount, Promotional Discount, Promotional Lift</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Baseline discount = average discount of last 30 non-promotional days. Promotional Lift = actual promo discount minus baseline.</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Determines if promotions drive genuine demand or just represent inflated baseline discounts.</w:t>
            </w:r>
          </w:p>
        </w:tc>
      </w:tr>
      <w:tr>
        <w:tc>
          <w:tcPr>
            <w:tcW w:w="5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b/>
                <w:bCs/>
                <w:sz w:val="18"/>
                <w:szCs w:val="18"/>
              </w:rPr>
              <w:t>3</w:t>
            </w:r>
          </w:p>
        </w:tc>
        <w:tc>
          <w:tcPr>
            <w:tcW w:w="15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Discount vs Rating Causation Analysis</w:t>
            </w:r>
          </w:p>
        </w:tc>
        <w:tc>
          <w:tcPr>
            <w:tcW w:w="21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Discount %, Rating, Review Volume, Regression Slope, Adjusted Rating (Bayesian)</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Scatter plot with regression line showing correlation; supporting measures control for review volume to isolate causal pathway.</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Evaluates whether discounts actually improve customer satisfaction or merely increase sales volume through review inflation.</w:t>
            </w:r>
          </w:p>
        </w:tc>
      </w:tr>
      <w:tr>
        <w:tc>
          <w:tcPr>
            <w:tcW w:w="5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b/>
                <w:bCs/>
                <w:sz w:val="18"/>
                <w:szCs w:val="18"/>
              </w:rPr>
              <w:t>4</w:t>
            </w:r>
          </w:p>
        </w:tc>
        <w:tc>
          <w:tcPr>
            <w:tcW w:w="15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Financially Risky Inventory KPI</w:t>
            </w:r>
          </w:p>
        </w:tc>
        <w:tc>
          <w:tcPr>
            <w:tcW w:w="21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Risk Score = Discount% x (1 - Rating / 5) x Stock Value; Inventory % at Risk</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Conditional KPI card with colour coding: Green below 10%, Amber 10-25%, Red above 25% of total inventory value at risk.</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Highlights products that may cause revenue loss due to poor quality and aggressive discounting simultaneously.</w:t>
            </w:r>
          </w:p>
        </w:tc>
      </w:tr>
      <w:tr>
        <w:tc>
          <w:tcPr>
            <w:tcW w:w="5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b/>
                <w:bCs/>
                <w:sz w:val="18"/>
                <w:szCs w:val="18"/>
              </w:rPr>
              <w:t>5</w:t>
            </w:r>
          </w:p>
        </w:tc>
        <w:tc>
          <w:tcPr>
            <w:tcW w:w="15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Trust-Weighted Rating Index</w:t>
            </w:r>
          </w:p>
        </w:tc>
        <w:tc>
          <w:tcPr>
            <w:tcW w:w="210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Trust Score = Rating x log(1 + Review Count) x (1 - Return Rate); Trust-Weighted Avg Rating; Simple Avg Rating; Review-Weighted Rating</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Measures product reliability accounting for trust, review count, and return rate. Three progressive rating versions compared via a dynamic slicer.</w:t>
            </w:r>
          </w:p>
        </w:tc>
        <w:tc>
          <w:tcPr>
            <w:tcW w:w="2620" w:type="dxa"/>
            <w:tcBorders>
              <w:top w:val="single" w:sz="1" w:color="CCCCCC"/>
              <w:bottom w:val="single" w:sz="1" w:color="CCCCCC"/>
              <w:left w:val="single" w:sz="1" w:color="CCCCCC"/>
              <w:right w:val="single" w:sz="1" w:color="CCCCCC"/>
            </w:tcBorders>
            <w:shd w:val="clear" w:fill="EBF1F8"/>
            <w:tcMar>
              <w:top w:w="80" w:type="dxa"/>
              <w:start w:w="120" w:type="dxa"/>
              <w:bottom w:w="80" w:type="dxa"/>
              <w:end w:w="120" w:type="dxa"/>
            </w:tcMar>
          </w:tcPr>
          <w:p>
            <w:r>
              <w:rPr>
                <w:rFonts w:ascii="Arial" w:cs="Arial" w:eastAsia="Arial" w:hAnsi="Arial"/>
                <w:sz w:val="18"/>
                <w:szCs w:val="18"/>
              </w:rPr>
              <w:t>Shows why high star ratings may be misleading; identifies genuinely trustworthy products by accounting for volume and return behaviour.</w:t>
            </w:r>
          </w:p>
        </w:tc>
      </w:tr>
      <w:tr>
        <w:tc>
          <w:tcPr>
            <w:tcW w:w="5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b/>
                <w:bCs/>
                <w:sz w:val="18"/>
                <w:szCs w:val="18"/>
              </w:rPr>
              <w:t>6</w:t>
            </w:r>
          </w:p>
        </w:tc>
        <w:tc>
          <w:tcPr>
            <w:tcW w:w="15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Context-Aware Dynamic Price Banding</w:t>
            </w:r>
          </w:p>
        </w:tc>
        <w:tc>
          <w:tcPr>
            <w:tcW w:w="210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Dynamic Price Band (Low / Medium / High) based on 30th and 70th percentiles using ALLSELECTED</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Price bands auto-recalculate based on applied slicer filters for category, brand, or time. Implemented as a measure, not a column, to enable query-time context awareness.</w:t>
            </w:r>
          </w:p>
        </w:tc>
        <w:tc>
          <w:tcPr>
            <w:tcW w:w="2620" w:type="dxa"/>
            <w:tcBorders>
              <w:top w:val="single" w:sz="1" w:color="CCCCCC"/>
              <w:bottom w:val="single" w:sz="1" w:color="CCCCCC"/>
              <w:left w:val="single" w:sz="1" w:color="CCCCCC"/>
              <w:right w:val="single" w:sz="1" w:color="CCCCCC"/>
            </w:tcBorders>
            <w:shd w:val="clear" w:fill="FFFFFF"/>
            <w:tcMar>
              <w:top w:w="80" w:type="dxa"/>
              <w:start w:w="120" w:type="dxa"/>
              <w:bottom w:w="80" w:type="dxa"/>
              <w:end w:w="120" w:type="dxa"/>
            </w:tcMar>
          </w:tcPr>
          <w:p>
            <w:r>
              <w:rPr>
                <w:rFonts w:ascii="Arial" w:cs="Arial" w:eastAsia="Arial" w:hAnsi="Arial"/>
                <w:sz w:val="18"/>
                <w:szCs w:val="18"/>
              </w:rPr>
              <w:t>Demonstrates how static bands mislead across categories; supports dynamic pricing strategies in live dashboards.</w:t>
            </w:r>
          </w:p>
        </w:tc>
      </w:tr>
    </w:tbl>
    <w:p>
      <w:pPr>
        <w:spacing w:before="160" w:after="160"/>
      </w:pPr>
      <w:r>
        <w:t xml:space="preserve"/>
      </w:r>
    </w:p>
    <w:p>
      <w:pPr>
        <w:pBdr>
          <w:top w:val="single" w:color="2E5FA3" w:sz="6" w:space="6"/>
        </w:pBdr>
        <w:spacing w:before="240" w:after="0"/>
        <w:jc w:val="center"/>
      </w:pPr>
      <w:r>
        <w:rPr>
          <w:rFonts w:ascii="Arial" w:cs="Arial" w:eastAsia="Arial" w:hAnsi="Arial"/>
          <w:i/>
          <w:iCs/>
          <w:color w:val="999999"/>
          <w:sz w:val="18"/>
          <w:szCs w:val="18"/>
        </w:rPr>
        <w:t xml:space="preserve">End of Report  |  Hemananth  |  Learn to Build Real-Time Power BI Snapdeal Project  |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pPr>
    <w:r>
      <w:rPr>
        <w:rFonts w:ascii="Arial" w:cs="Arial" w:eastAsia="Arial" w:hAnsi="Arial"/>
        <w:color w:val="888888"/>
        <w:sz w:val="17"/>
        <w:szCs w:val="17"/>
      </w:rPr>
      <w:t xml:space="preserve">Confidential — Internship Submission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2"/>
      </w:pBdr>
    </w:pPr>
    <w:r>
      <w:rPr>
        <w:rFonts w:ascii="Arial" w:cs="Arial" w:eastAsia="Arial" w:hAnsi="Arial"/>
        <w:color w:val="888888"/>
        <w:sz w:val="17"/>
        <w:szCs w:val="17"/>
      </w:rPr>
      <w:t xml:space="preserve">Snapdeal E-Commerce Analytics — Power BI Internship Report  |  Hemananth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2026-03-29T10:54:44.650Z</dcterms:created>
  <dcterms:modified xsi:type="dcterms:W3CDTF">2026-03-29T10:54:44.651Z</dcterms:modified>
</cp:coreProperties>
</file>

<file path=docProps/custom.xml><?xml version="1.0" encoding="utf-8"?>
<Properties xmlns="http://schemas.openxmlformats.org/officeDocument/2006/custom-properties" xmlns:vt="http://schemas.openxmlformats.org/officeDocument/2006/docPropsVTypes"/>
</file>