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600"/>
              <w:left w:type="dxa" w:w="600"/>
              <w:bottom w:type="dxa" w:w="400"/>
              <w:right w:type="dxa" w:w="600"/>
            </w:tcMar>
          </w:tcPr>
          <w:p>
            <w:pPr>
              <w:spacing w:after="200" w:before="0"/>
              <w:jc w:val="center"/>
            </w:pPr>
            <w:r>
              <w:rPr>
                <w:rFonts w:ascii="Arial" w:cs="Arial" w:eastAsia="Arial" w:hAnsi="Arial"/>
                <w:b/>
                <w:bCs/>
                <w:color w:val="FFC107"/>
                <w:sz w:val="72"/>
                <w:szCs w:val="72"/>
              </w:rPr>
              <w:t xml:space="preserve">DHARM SOLAR</w:t>
            </w:r>
          </w:p>
          <w:p>
            <w:pPr>
              <w:spacing w:after="0" w:before="0"/>
              <w:jc w:val="center"/>
            </w:pPr>
            <w:r>
              <w:rPr>
                <w:rFonts w:ascii="Arial" w:cs="Arial" w:eastAsia="Arial" w:hAnsi="Arial"/>
                <w:i/>
                <w:iCs/>
                <w:color w:val="FFFFFF"/>
                <w:sz w:val="32"/>
                <w:szCs w:val="32"/>
              </w:rPr>
              <w:t xml:space="preserve">Right Decision, Bright Future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7C00" w:val="clear"/>
            <w:tcMar>
              <w:top w:type="dxa" w:w="160"/>
              <w:left w:type="dxa" w:w="600"/>
              <w:bottom w:type="dxa" w:w="160"/>
              <w:right w:type="dxa" w:w="600"/>
            </w:tcMar>
          </w:tcPr>
          <w:p>
            <w:pPr>
              <w:jc w:val="center"/>
            </w:pPr>
            <w:r>
              <w:rPr>
                <w:rFonts w:ascii="Arial" w:cs="Arial" w:eastAsia="Arial" w:hAnsi="Arial"/>
                <w:b/>
                <w:bCs/>
                <w:color w:val="FFFFFF"/>
                <w:spacing w:val="40"/>
                <w:sz w:val="26"/>
                <w:szCs w:val="26"/>
              </w:rPr>
              <w:t xml:space="preserve">BUSINESS PLAN  |  2024–2027</w:t>
            </w:r>
          </w:p>
        </w:tc>
      </w:tr>
    </w:tbl>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FF3E0" w:val="clear"/>
            <w:tcMar>
              <w:top w:type="dxa" w:w="200"/>
              <w:left w:type="dxa" w:w="240"/>
              <w:bottom w:type="dxa" w:w="200"/>
              <w:right w:type="dxa" w:w="240"/>
            </w:tcMar>
          </w:tcPr>
          <w:p>
            <w:pPr>
              <w:spacing w:after="60" w:before="60"/>
            </w:pPr>
            <w:r>
              <w:rPr>
                <w:rFonts w:ascii="Arial" w:cs="Arial" w:eastAsia="Arial" w:hAnsi="Arial"/>
                <w:b/>
                <w:bCs/>
                <w:color w:val="546E7A"/>
                <w:sz w:val="16"/>
                <w:szCs w:val="16"/>
              </w:rPr>
              <w:t xml:space="preserve">COMPANY TYPE</w:t>
            </w:r>
          </w:p>
          <w:p>
            <w:pPr>
              <w:spacing w:after="100" w:before="40"/>
            </w:pPr>
            <w:r>
              <w:rPr>
                <w:rFonts w:ascii="Arial" w:cs="Arial" w:eastAsia="Arial" w:hAnsi="Arial"/>
                <w:color w:val="212121"/>
                <w:sz w:val="20"/>
                <w:szCs w:val="20"/>
              </w:rPr>
              <w:t xml:space="preserve">Limited Liability Partnership (LLP)</w:t>
            </w:r>
          </w:p>
          <w:p>
            <w:pPr>
              <w:spacing w:after="60" w:before="60"/>
            </w:pPr>
            <w:r>
              <w:rPr>
                <w:rFonts w:ascii="Arial" w:cs="Arial" w:eastAsia="Arial" w:hAnsi="Arial"/>
                <w:b/>
                <w:bCs/>
                <w:color w:val="546E7A"/>
                <w:sz w:val="16"/>
                <w:szCs w:val="16"/>
              </w:rPr>
              <w:t xml:space="preserve">SECTOR</w:t>
            </w:r>
          </w:p>
          <w:p>
            <w:pPr>
              <w:spacing w:after="100" w:before="40"/>
            </w:pPr>
            <w:r>
              <w:rPr>
                <w:rFonts w:ascii="Arial" w:cs="Arial" w:eastAsia="Arial" w:hAnsi="Arial"/>
                <w:color w:val="212121"/>
                <w:sz w:val="20"/>
                <w:szCs w:val="20"/>
              </w:rPr>
              <w:t xml:space="preserve">Renewable Energy – Solar</w:t>
            </w:r>
          </w:p>
          <w:p>
            <w:pPr>
              <w:spacing w:after="60" w:before="60"/>
            </w:pPr>
            <w:r>
              <w:rPr>
                <w:rFonts w:ascii="Arial" w:cs="Arial" w:eastAsia="Arial" w:hAnsi="Arial"/>
                <w:b/>
                <w:bCs/>
                <w:color w:val="546E7A"/>
                <w:sz w:val="16"/>
                <w:szCs w:val="16"/>
              </w:rPr>
              <w:t xml:space="preserve">LOCATION</w:t>
            </w:r>
          </w:p>
          <w:p>
            <w:pPr>
              <w:spacing w:after="40" w:before="40"/>
            </w:pPr>
            <w:r>
              <w:rPr>
                <w:rFonts w:ascii="Arial" w:cs="Arial" w:eastAsia="Arial" w:hAnsi="Arial"/>
                <w:color w:val="212121"/>
                <w:sz w:val="20"/>
                <w:szCs w:val="20"/>
              </w:rPr>
              <w:t xml:space="preserve">Sapar, Gujarat, India</w:t>
            </w:r>
          </w:p>
        </w:tc>
        <w:tc>
          <w:tcPr>
            <w:tcW w:type="dxa" w:w="4760"/>
            <w:tcBorders>
              <w:top w:val="none" w:color="FFFFFF" w:sz="0"/>
              <w:left w:val="none" w:color="FFFFFF" w:sz="0"/>
              <w:bottom w:val="none" w:color="FFFFFF" w:sz="0"/>
              <w:right w:val="none" w:color="FFFFFF" w:sz="0"/>
            </w:tcBorders>
            <w:shd w:fill="E3F2FD" w:val="clear"/>
            <w:tcMar>
              <w:top w:type="dxa" w:w="200"/>
              <w:left w:type="dxa" w:w="240"/>
              <w:bottom w:type="dxa" w:w="200"/>
              <w:right w:type="dxa" w:w="240"/>
            </w:tcMar>
          </w:tcPr>
          <w:p>
            <w:pPr>
              <w:spacing w:after="60" w:before="60"/>
            </w:pPr>
            <w:r>
              <w:rPr>
                <w:rFonts w:ascii="Arial" w:cs="Arial" w:eastAsia="Arial" w:hAnsi="Arial"/>
                <w:b/>
                <w:bCs/>
                <w:color w:val="546E7A"/>
                <w:sz w:val="16"/>
                <w:szCs w:val="16"/>
              </w:rPr>
              <w:t xml:space="preserve">REVENUE TARGET (FY2024-25)</w:t>
            </w:r>
          </w:p>
          <w:p>
            <w:pPr>
              <w:spacing w:after="100" w:before="40"/>
            </w:pPr>
            <w:r>
              <w:rPr>
                <w:rFonts w:ascii="Arial" w:cs="Arial" w:eastAsia="Arial" w:hAnsi="Arial"/>
                <w:b/>
                <w:bCs/>
                <w:color w:val="1A237E"/>
                <w:sz w:val="20"/>
                <w:szCs w:val="20"/>
              </w:rPr>
              <w:t xml:space="preserve">₹80 Crore</w:t>
            </w:r>
          </w:p>
          <w:p>
            <w:pPr>
              <w:spacing w:after="60" w:before="60"/>
            </w:pPr>
            <w:r>
              <w:rPr>
                <w:rFonts w:ascii="Arial" w:cs="Arial" w:eastAsia="Arial" w:hAnsi="Arial"/>
                <w:b/>
                <w:bCs/>
                <w:color w:val="546E7A"/>
                <w:sz w:val="16"/>
                <w:szCs w:val="16"/>
              </w:rPr>
              <w:t xml:space="preserve">3-YEAR REVENUE TARGET</w:t>
            </w:r>
          </w:p>
          <w:p>
            <w:pPr>
              <w:spacing w:after="100" w:before="40"/>
            </w:pPr>
            <w:r>
              <w:rPr>
                <w:rFonts w:ascii="Arial" w:cs="Arial" w:eastAsia="Arial" w:hAnsi="Arial"/>
                <w:b/>
                <w:bCs/>
                <w:color w:val="1A237E"/>
                <w:sz w:val="20"/>
                <w:szCs w:val="20"/>
              </w:rPr>
              <w:t xml:space="preserve">₹125 Crore by FY2026-27</w:t>
            </w:r>
          </w:p>
          <w:p>
            <w:pPr>
              <w:spacing w:after="60" w:before="60"/>
            </w:pPr>
            <w:r>
              <w:rPr>
                <w:rFonts w:ascii="Arial" w:cs="Arial" w:eastAsia="Arial" w:hAnsi="Arial"/>
                <w:b/>
                <w:bCs/>
                <w:color w:val="546E7A"/>
                <w:sz w:val="16"/>
                <w:szCs w:val="16"/>
              </w:rPr>
              <w:t xml:space="preserve">PARTNERS</w:t>
            </w:r>
          </w:p>
          <w:p>
            <w:pPr>
              <w:spacing w:after="40" w:before="40"/>
            </w:pPr>
            <w:r>
              <w:rPr>
                <w:rFonts w:ascii="Arial" w:cs="Arial" w:eastAsia="Arial" w:hAnsi="Arial"/>
                <w:color w:val="212121"/>
                <w:sz w:val="20"/>
                <w:szCs w:val="20"/>
              </w:rPr>
              <w:t xml:space="preserve">5 Partners</w:t>
            </w:r>
          </w:p>
        </w:tc>
      </w:tr>
    </w:tbl>
    <w:p>
      <w:pPr>
        <w:spacing w:after="0" w:before="600"/>
      </w:pPr>
      <w:r>
        <w:t xml:space="preserve"/>
      </w:r>
    </w:p>
    <w:p>
      <w:pPr>
        <w:jc w:val="center"/>
      </w:pPr>
      <w:r>
        <w:rPr>
          <w:rFonts w:ascii="Arial" w:cs="Arial" w:eastAsia="Arial" w:hAnsi="Arial"/>
          <w:i/>
          <w:iCs/>
          <w:color w:val="546E7A"/>
          <w:sz w:val="18"/>
          <w:szCs w:val="18"/>
        </w:rPr>
        <w:t xml:space="preserve">Confidential Business Document</w:t>
      </w:r>
    </w:p>
    <w:p>
      <w:pPr>
        <w:sectPr>
          <w:pgSz w:w="12240" w:h="15840" w:orient="portrait"/>
          <w:pgMar w:top="1440" w:right="1440" w:bottom="1440" w:left="1440" w:header="708" w:footer="708" w:gutter="0"/>
          <w:pgNumType/>
          <w:docGrid w:linePitch="360"/>
        </w:sectPr>
      </w:pPr>
    </w:p>
    <w:p>
      <w:pPr>
        <w:pStyle w:val="Heading1"/>
        <w:pBdr>
          <w:bottom w:val="single" w:color="F57C00" w:sz="4" w:space="6"/>
        </w:pBdr>
        <w:spacing w:after="200" w:before="400"/>
      </w:pPr>
      <w:r>
        <w:rPr>
          <w:rFonts w:ascii="Arial" w:cs="Arial" w:eastAsia="Arial" w:hAnsi="Arial"/>
          <w:b/>
          <w:bCs/>
          <w:color w:val="1A237E"/>
          <w:sz w:val="30"/>
          <w:szCs w:val="30"/>
        </w:rPr>
        <w:t xml:space="preserve">Executive Summary</w:t>
      </w:r>
    </w:p>
    <w:p>
      <w:pPr>
        <w:pStyle w:val="Heading2"/>
        <w:spacing w:after="140" w:before="280"/>
      </w:pPr>
      <w:r>
        <w:rPr>
          <w:rFonts w:ascii="Arial" w:cs="Arial" w:eastAsia="Arial" w:hAnsi="Arial"/>
          <w:b/>
          <w:bCs/>
          <w:color w:val="1565C0"/>
          <w:sz w:val="24"/>
          <w:szCs w:val="24"/>
        </w:rPr>
        <w:t xml:space="preserve">Problem Summary</w:t>
      </w:r>
    </w:p>
    <w:p>
      <w:pPr>
        <w:spacing w:after="80" w:before="80" w:line="320"/>
        <w:jc w:val="both"/>
      </w:pPr>
      <w:r>
        <w:rPr>
          <w:rFonts w:ascii="Arial" w:cs="Arial" w:eastAsia="Arial" w:hAnsi="Arial"/>
          <w:color w:val="212121"/>
          <w:sz w:val="20"/>
          <w:szCs w:val="20"/>
        </w:rPr>
        <w:t xml:space="preserve">Non-renewable resources present pressing challenges. Chief among them is their finite supply — they are exhaustible and subject to depletion with continued extraction. Moreover, the extraction and utilization of non-renewable resources exact a heavy toll on the environment, contributing to habitat destruction, pollution of air, water, and soil, and exacerbating climate change through the release of greenhouse gases.</w:t>
      </w:r>
    </w:p>
    <w:p>
      <w:pPr>
        <w:spacing w:after="0" w:before="180"/>
      </w:pPr>
      <w:r>
        <w:t xml:space="preserve"/>
      </w:r>
    </w:p>
    <w:p>
      <w:pPr>
        <w:pStyle w:val="Heading2"/>
        <w:spacing w:after="140" w:before="280"/>
      </w:pPr>
      <w:r>
        <w:rPr>
          <w:rFonts w:ascii="Arial" w:cs="Arial" w:eastAsia="Arial" w:hAnsi="Arial"/>
          <w:b/>
          <w:bCs/>
          <w:color w:val="1565C0"/>
          <w:sz w:val="24"/>
          <w:szCs w:val="24"/>
        </w:rPr>
        <w:t xml:space="preserve">Solution Summary</w:t>
      </w:r>
    </w:p>
    <w:p>
      <w:pPr>
        <w:spacing w:after="80" w:before="80" w:line="320"/>
        <w:jc w:val="both"/>
      </w:pPr>
      <w:r>
        <w:rPr>
          <w:rFonts w:ascii="Arial" w:cs="Arial" w:eastAsia="Arial" w:hAnsi="Arial"/>
          <w:color w:val="212121"/>
          <w:sz w:val="20"/>
          <w:szCs w:val="20"/>
        </w:rPr>
        <w:t xml:space="preserve">The solution to the challenges posed by non-renewable energy lies in a comprehensive strategy centered around transitioning to sustainable alternatives. Solar energy, derived from the sun's radiation, is a prime example of a renewable energy source with immense potential. The sun provides an abundant and virtually limitless supply of energy, making solar power a key component of the transition to clean and sustainable energy systems.</w:t>
      </w:r>
    </w:p>
    <w:p>
      <w:pPr>
        <w:spacing w:after="0" w:before="180"/>
      </w:pPr>
      <w:r>
        <w:t xml:space="preserve"/>
      </w:r>
    </w:p>
    <w:p>
      <w:pPr>
        <w:pStyle w:val="Heading2"/>
        <w:spacing w:after="140" w:before="280"/>
      </w:pPr>
      <w:r>
        <w:rPr>
          <w:rFonts w:ascii="Arial" w:cs="Arial" w:eastAsia="Arial" w:hAnsi="Arial"/>
          <w:b/>
          <w:bCs/>
          <w:color w:val="1565C0"/>
          <w:sz w:val="24"/>
          <w:szCs w:val="24"/>
        </w:rPr>
        <w:t xml:space="preserve">Market</w:t>
      </w:r>
    </w:p>
    <w:p>
      <w:pPr>
        <w:spacing w:after="80" w:before="80" w:line="320"/>
        <w:jc w:val="both"/>
      </w:pPr>
      <w:r>
        <w:rPr>
          <w:rFonts w:ascii="Arial" w:cs="Arial" w:eastAsia="Arial" w:hAnsi="Arial"/>
          <w:color w:val="212121"/>
          <w:sz w:val="20"/>
          <w:szCs w:val="20"/>
        </w:rPr>
        <w:t xml:space="preserve">Market segments include residential customers, commercial and industrial businesses, government entities, and off-grid remote applications. Businesses are installing solar panels on rooftops and unused land to cut operating costs and enhance sustainability credentials. Our primary focus is on industries operating using solar panels, as this delivers higher revenue at lower costs. Secondary focus is on the residential sector, where consumers increasingly adopt solar to reduce electricity bills.</w:t>
      </w:r>
    </w:p>
    <w:p>
      <w:pPr>
        <w:spacing w:after="0" w:before="180"/>
      </w:pPr>
      <w:r>
        <w:t xml:space="preserve"/>
      </w:r>
    </w:p>
    <w:p>
      <w:pPr>
        <w:pStyle w:val="Heading2"/>
        <w:spacing w:after="140" w:before="280"/>
      </w:pPr>
      <w:r>
        <w:rPr>
          <w:rFonts w:ascii="Arial" w:cs="Arial" w:eastAsia="Arial" w:hAnsi="Arial"/>
          <w:b/>
          <w:bCs/>
          <w:color w:val="1565C0"/>
          <w:sz w:val="24"/>
          <w:szCs w:val="24"/>
        </w:rPr>
        <w:t xml:space="preserve">Competition</w:t>
      </w:r>
    </w:p>
    <w:p>
      <w:pPr>
        <w:spacing w:after="80" w:before="80" w:line="320"/>
        <w:jc w:val="both"/>
      </w:pPr>
      <w:r>
        <w:rPr>
          <w:rFonts w:ascii="Arial" w:cs="Arial" w:eastAsia="Arial" w:hAnsi="Arial"/>
          <w:color w:val="212121"/>
          <w:sz w:val="20"/>
          <w:szCs w:val="20"/>
        </w:rPr>
        <w:t xml:space="preserve">With increasing trends toward sustainability and environmental responsibility, many companies are entering solar manufacturing and assembly. Key competitors serving diversified customer needs include:</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Adani Solar</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Tata Solar</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Waaree Solar</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Rayzon Solar</w:t>
      </w:r>
    </w:p>
    <w:p>
      <w:pPr>
        <w:spacing w:after="0" w:before="180"/>
      </w:pPr>
      <w:r>
        <w:t xml:space="preserve"/>
      </w:r>
    </w:p>
    <w:p>
      <w:pPr>
        <w:pStyle w:val="Heading2"/>
        <w:spacing w:after="140" w:before="280"/>
      </w:pPr>
      <w:r>
        <w:rPr>
          <w:rFonts w:ascii="Arial" w:cs="Arial" w:eastAsia="Arial" w:hAnsi="Arial"/>
          <w:b/>
          <w:bCs/>
          <w:color w:val="1565C0"/>
          <w:sz w:val="24"/>
          <w:szCs w:val="24"/>
        </w:rPr>
        <w:t xml:space="preserve">Why Dharm Solar?</w:t>
      </w:r>
    </w:p>
    <w:p>
      <w:pPr>
        <w:spacing w:after="80" w:before="80" w:line="320"/>
        <w:jc w:val="both"/>
      </w:pPr>
      <w:r>
        <w:rPr>
          <w:rFonts w:ascii="Arial" w:cs="Arial" w:eastAsia="Arial" w:hAnsi="Arial"/>
          <w:color w:val="212121"/>
          <w:sz w:val="20"/>
          <w:szCs w:val="20"/>
        </w:rPr>
        <w:t xml:space="preserve">Our business distinguishes itself through a commitment to sourcing from local suppliers, embodying the principle of "local for vocal." This approach not only supports the community but ensures a streamlined process with a focus on quality and reliability. By leveraging local suppliers, we offer competitive prices while maintaining superior standards. Our dedicated team of solar technology and local sourcing experts ensures smooth operations and exceptional customer service, backed by a fully automated production line for efficiency and consistency.</w:t>
      </w:r>
    </w:p>
    <w:p>
      <w:pPr>
        <w:spacing w:after="0" w:before="300"/>
      </w:pPr>
      <w:r>
        <w:t xml:space="preserve"/>
      </w:r>
    </w:p>
    <w:p>
      <w:pPr>
        <w:pStyle w:val="Heading2"/>
        <w:spacing w:after="140" w:before="280"/>
      </w:pPr>
      <w:r>
        <w:rPr>
          <w:rFonts w:ascii="Arial" w:cs="Arial" w:eastAsia="Arial" w:hAnsi="Arial"/>
          <w:b/>
          <w:bCs/>
          <w:color w:val="1565C0"/>
          <w:sz w:val="24"/>
          <w:szCs w:val="24"/>
        </w:rPr>
        <w:t xml:space="preserve">Financial Highlights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237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Particulars</w:t>
            </w:r>
          </w:p>
        </w:tc>
        <w:tc>
          <w:tcPr>
            <w:tcW w:type="dxa" w:w="2340"/>
            <w:tcBorders>
              <w:top w:val="single" w:color="DDDDDD" w:sz="1"/>
              <w:left w:val="single" w:color="DDDDDD" w:sz="1"/>
              <w:bottom w:val="single" w:color="DDDDDD" w:sz="1"/>
              <w:right w:val="single" w:color="DDDDDD" w:sz="1"/>
            </w:tcBorders>
            <w:shd w:fill="1565C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FY 2024–25</w:t>
            </w:r>
          </w:p>
        </w:tc>
        <w:tc>
          <w:tcPr>
            <w:tcW w:type="dxa" w:w="2340"/>
            <w:tcBorders>
              <w:top w:val="single" w:color="DDDDDD" w:sz="1"/>
              <w:left w:val="single" w:color="DDDDDD" w:sz="1"/>
              <w:bottom w:val="single" w:color="DDDDDD" w:sz="1"/>
              <w:right w:val="single" w:color="DDDDDD" w:sz="1"/>
            </w:tcBorders>
            <w:shd w:fill="1565C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FY 2025–26</w:t>
            </w:r>
          </w:p>
        </w:tc>
        <w:tc>
          <w:tcPr>
            <w:tcW w:type="dxa" w:w="2340"/>
            <w:tcBorders>
              <w:top w:val="single" w:color="DDDDDD" w:sz="1"/>
              <w:left w:val="single" w:color="DDDDDD" w:sz="1"/>
              <w:bottom w:val="single" w:color="DDDDDD" w:sz="1"/>
              <w:right w:val="single" w:color="DDDDDD" w:sz="1"/>
            </w:tcBorders>
            <w:shd w:fill="1565C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FY 2026–27</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left"/>
            </w:pPr>
            <w:r>
              <w:rPr>
                <w:rFonts w:ascii="Arial" w:cs="Arial" w:eastAsia="Arial" w:hAnsi="Arial"/>
                <w:b/>
                <w:bCs/>
                <w:color w:val="546E7A"/>
                <w:sz w:val="20"/>
                <w:szCs w:val="20"/>
              </w:rPr>
              <w:t xml:space="preserve">Revenue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212121"/>
                <w:sz w:val="20"/>
                <w:szCs w:val="20"/>
              </w:rPr>
              <w:t xml:space="preserve">₹80,00,00,000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212121"/>
                <w:sz w:val="20"/>
                <w:szCs w:val="20"/>
              </w:rPr>
              <w:t xml:space="preserve">₹96,00,00,000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212121"/>
                <w:sz w:val="20"/>
                <w:szCs w:val="20"/>
              </w:rPr>
              <w:t xml:space="preserve">₹1,25,00,00,000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Arial" w:cs="Arial" w:eastAsia="Arial" w:hAnsi="Arial"/>
                <w:b/>
                <w:bCs/>
                <w:color w:val="546E7A"/>
                <w:sz w:val="20"/>
                <w:szCs w:val="20"/>
              </w:rPr>
              <w:t xml:space="preserve">Costs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212121"/>
                <w:sz w:val="20"/>
                <w:szCs w:val="20"/>
              </w:rPr>
              <w:t xml:space="preserve">₹68,00,00,000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212121"/>
                <w:sz w:val="20"/>
                <w:szCs w:val="20"/>
              </w:rPr>
              <w:t xml:space="preserve">₹79,68,00,000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212121"/>
                <w:sz w:val="20"/>
                <w:szCs w:val="20"/>
              </w:rPr>
              <w:t xml:space="preserve">₹93,75,00,000</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left"/>
            </w:pPr>
            <w:r>
              <w:rPr>
                <w:rFonts w:ascii="Arial" w:cs="Arial" w:eastAsia="Arial" w:hAnsi="Arial"/>
                <w:b/>
                <w:bCs/>
                <w:color w:val="546E7A"/>
                <w:sz w:val="20"/>
                <w:szCs w:val="20"/>
              </w:rPr>
              <w:t xml:space="preserve">Profit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237E"/>
                <w:sz w:val="20"/>
                <w:szCs w:val="20"/>
              </w:rPr>
              <w:t xml:space="preserve">₹12,00,00,000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237E"/>
                <w:sz w:val="20"/>
                <w:szCs w:val="20"/>
              </w:rPr>
              <w:t xml:space="preserve">₹16,32,00,000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237E"/>
                <w:sz w:val="20"/>
                <w:szCs w:val="20"/>
              </w:rPr>
              <w:t xml:space="preserve">₹31,25,00,000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Arial" w:cs="Arial" w:eastAsia="Arial" w:hAnsi="Arial"/>
                <w:b/>
                <w:bCs/>
                <w:color w:val="546E7A"/>
                <w:sz w:val="20"/>
                <w:szCs w:val="20"/>
              </w:rPr>
              <w:t xml:space="preserve">Net Loss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212121"/>
                <w:sz w:val="20"/>
                <w:szCs w:val="20"/>
              </w:rPr>
              <w:t xml:space="preserve">NIL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212121"/>
                <w:sz w:val="20"/>
                <w:szCs w:val="20"/>
              </w:rPr>
              <w:t xml:space="preserve">NIL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212121"/>
                <w:sz w:val="20"/>
                <w:szCs w:val="20"/>
              </w:rPr>
              <w:t xml:space="preserve">NIL</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left"/>
            </w:pPr>
            <w:r>
              <w:rPr>
                <w:rFonts w:ascii="Arial" w:cs="Arial" w:eastAsia="Arial" w:hAnsi="Arial"/>
                <w:b/>
                <w:bCs/>
                <w:color w:val="546E7A"/>
                <w:sz w:val="20"/>
                <w:szCs w:val="20"/>
              </w:rPr>
              <w:t xml:space="preserve">Margin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237E"/>
                <w:sz w:val="20"/>
                <w:szCs w:val="20"/>
              </w:rPr>
              <w:t xml:space="preserve">15%</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237E"/>
                <w:sz w:val="20"/>
                <w:szCs w:val="20"/>
              </w:rPr>
              <w:t xml:space="preserve">17%</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237E"/>
                <w:sz w:val="20"/>
                <w:szCs w:val="20"/>
              </w:rPr>
              <w:t xml:space="preserve">25%</w:t>
            </w:r>
          </w:p>
        </w:tc>
      </w:tr>
    </w:tbl>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Opportunity</w:t>
      </w:r>
    </w:p>
    <w:p>
      <w:pPr>
        <w:pStyle w:val="Heading2"/>
        <w:spacing w:after="140" w:before="280"/>
      </w:pPr>
      <w:r>
        <w:rPr>
          <w:rFonts w:ascii="Arial" w:cs="Arial" w:eastAsia="Arial" w:hAnsi="Arial"/>
          <w:b/>
          <w:bCs/>
          <w:color w:val="1565C0"/>
          <w:sz w:val="24"/>
          <w:szCs w:val="24"/>
        </w:rPr>
        <w:t xml:space="preserve">Problem Worth Solving</w:t>
      </w:r>
    </w:p>
    <w:p>
      <w:pPr>
        <w:spacing w:after="80" w:before="80" w:line="320"/>
        <w:jc w:val="both"/>
      </w:pPr>
      <w:r>
        <w:rPr>
          <w:rFonts w:ascii="Arial" w:cs="Arial" w:eastAsia="Arial" w:hAnsi="Arial"/>
          <w:color w:val="212121"/>
          <w:sz w:val="20"/>
          <w:szCs w:val="20"/>
        </w:rPr>
        <w:t xml:space="preserve">One of the primary problems addressed by solar panels is the issue of high electricity bills and the depletion of traditional energy resources:</w:t>
      </w:r>
    </w:p>
    <w:p>
      <w:pPr>
        <w:spacing w:after="0" w:before="100"/>
      </w:pPr>
      <w:r>
        <w:t xml:space="preserve"/>
      </w:r>
    </w:p>
    <w:p>
      <w:pPr>
        <w:spacing w:after="100" w:before="220"/>
      </w:pPr>
      <w:r>
        <w:rPr>
          <w:rFonts w:ascii="Arial" w:cs="Arial" w:eastAsia="Arial" w:hAnsi="Arial"/>
          <w:b/>
          <w:bCs/>
          <w:color w:val="F57C00"/>
          <w:sz w:val="22"/>
          <w:szCs w:val="22"/>
        </w:rPr>
        <w:t xml:space="preserve">High Electricity Bills</w:t>
      </w:r>
    </w:p>
    <w:p>
      <w:pPr>
        <w:spacing w:after="80" w:before="80" w:line="320"/>
        <w:jc w:val="both"/>
      </w:pPr>
      <w:r>
        <w:rPr>
          <w:rFonts w:ascii="Arial" w:cs="Arial" w:eastAsia="Arial" w:hAnsi="Arial"/>
          <w:color w:val="212121"/>
          <w:sz w:val="20"/>
          <w:szCs w:val="20"/>
        </w:rPr>
        <w:t xml:space="preserve">Many households and businesses struggle with high electricity bills, significantly impacting their finances. By installing solar panels, individuals and organizations can generate their own electricity from sunlight, reducing or eliminating their reliance on grid electricity. This leads to substantial cost savings over the long term. Additionally, with net metering programs, surplus solar energy can be fed back into the grid, allowing customers to earn credits for excess energy produced.</w:t>
      </w:r>
    </w:p>
    <w:p>
      <w:pPr>
        <w:spacing w:after="0" w:before="100"/>
      </w:pPr>
      <w:r>
        <w:t xml:space="preserve"/>
      </w:r>
    </w:p>
    <w:p>
      <w:pPr>
        <w:spacing w:after="100" w:before="220"/>
      </w:pPr>
      <w:r>
        <w:rPr>
          <w:rFonts w:ascii="Arial" w:cs="Arial" w:eastAsia="Arial" w:hAnsi="Arial"/>
          <w:b/>
          <w:bCs/>
          <w:color w:val="F57C00"/>
          <w:sz w:val="22"/>
          <w:szCs w:val="22"/>
        </w:rPr>
        <w:t xml:space="preserve">Depletion of Traditional Energy Resources</w:t>
      </w:r>
    </w:p>
    <w:p>
      <w:pPr>
        <w:spacing w:after="80" w:before="80" w:line="320"/>
        <w:jc w:val="both"/>
      </w:pPr>
      <w:r>
        <w:rPr>
          <w:rFonts w:ascii="Arial" w:cs="Arial" w:eastAsia="Arial" w:hAnsi="Arial"/>
          <w:color w:val="212121"/>
          <w:sz w:val="20"/>
          <w:szCs w:val="20"/>
        </w:rPr>
        <w:t xml:space="preserve">Fossil fuels such as coal, oil, and natural gas are finite resources that contribute to environmental pollution and climate change. By transitioning to solar energy, individuals and businesses can reduce dependence on fossil fuels. Solar panels produce clean, renewable energy without emitting greenhouse gases or other pollutants, making them a sustainable alternative that conserves finite resources for future generations.</w:t>
      </w:r>
    </w:p>
    <w:p>
      <w:pPr>
        <w:spacing w:after="0" w:before="180"/>
      </w:pPr>
      <w:r>
        <w:t xml:space="preserve"/>
      </w:r>
    </w:p>
    <w:p>
      <w:pPr>
        <w:pStyle w:val="Heading2"/>
        <w:spacing w:after="140" w:before="280"/>
      </w:pPr>
      <w:r>
        <w:rPr>
          <w:rFonts w:ascii="Arial" w:cs="Arial" w:eastAsia="Arial" w:hAnsi="Arial"/>
          <w:b/>
          <w:bCs/>
          <w:color w:val="1565C0"/>
          <w:sz w:val="24"/>
          <w:szCs w:val="24"/>
        </w:rPr>
        <w:t xml:space="preserve">Our Solution</w:t>
      </w:r>
    </w:p>
    <w:p>
      <w:pPr>
        <w:spacing w:after="80" w:before="80" w:line="320"/>
        <w:jc w:val="both"/>
      </w:pPr>
      <w:r>
        <w:rPr>
          <w:rFonts w:ascii="Arial" w:cs="Arial" w:eastAsia="Arial" w:hAnsi="Arial"/>
          <w:color w:val="212121"/>
          <w:sz w:val="20"/>
          <w:szCs w:val="20"/>
        </w:rPr>
        <w:t xml:space="preserve">Solar panels provide effective solutions to several critical energy challenges:</w:t>
      </w:r>
    </w:p>
    <w:p>
      <w:pPr>
        <w:spacing w:after="0" w:before="80"/>
      </w:pPr>
      <w:r>
        <w:t xml:space="preserve"/>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Energy Dependence &amp; Security — Reduces dependence on imported fuels, enhancing national energy security and resilience.</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Climate Change Mitigation — Generates electricity without carbon dioxide or harmful pollutants, reducing greenhouse gas emissions.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High Electricity Costs — Harnesses free sunlight to generate electricity, reducing or eliminating electricity bills over the long term.</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Environmental Pollution &amp; Health Risks — Produces clean energy without emissions, reducing pollution-related health risks.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Water Scarcity — PV systems require no water for generation, conserving precious water resources.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Rural Livelihoods — Provides electricity access for irrigation, lighting, and small-scale enterprises in rural communities.</w:t>
      </w:r>
    </w:p>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Target Market</w:t>
      </w:r>
    </w:p>
    <w:p>
      <w:pPr>
        <w:pStyle w:val="Heading2"/>
        <w:spacing w:after="140" w:before="280"/>
      </w:pPr>
      <w:r>
        <w:rPr>
          <w:rFonts w:ascii="Arial" w:cs="Arial" w:eastAsia="Arial" w:hAnsi="Arial"/>
          <w:b/>
          <w:bCs/>
          <w:color w:val="1565C0"/>
          <w:sz w:val="24"/>
          <w:szCs w:val="24"/>
        </w:rPr>
        <w:t xml:space="preserve">Market Size &amp; Segments</w:t>
      </w:r>
    </w:p>
    <w:p>
      <w:pPr>
        <w:spacing w:after="80" w:before="80" w:line="320"/>
        <w:jc w:val="both"/>
      </w:pPr>
      <w:r>
        <w:rPr>
          <w:rFonts w:ascii="Arial" w:cs="Arial" w:eastAsia="Arial" w:hAnsi="Arial"/>
          <w:color w:val="212121"/>
          <w:sz w:val="20"/>
          <w:szCs w:val="20"/>
        </w:rPr>
        <w:t xml:space="preserve">India's solar power generation has increased considerably in recent years. In 2022, the country produced roughly 95 terawatt-hours of solar energy with a cumulative capacity of 63 gigawatts. India aims to achieve a total solar capacity of 280 gigawatts by 2030. Globally, solar panel consumption averages 165 billion kWh of power annually.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DDDDDD" w:sz="1"/>
              <w:left w:val="single" w:color="DDDDDD" w:sz="1"/>
              <w:bottom w:val="single" w:color="DDDDDD" w:sz="1"/>
              <w:right w:val="single" w:color="DDDDDD" w:sz="1"/>
            </w:tcBorders>
            <w:shd w:fill="FFF3E0" w:val="clear"/>
            <w:tcMar>
              <w:top w:type="dxa" w:w="160"/>
              <w:left w:type="dxa" w:w="200"/>
              <w:bottom w:type="dxa" w:w="160"/>
              <w:right w:type="dxa" w:w="200"/>
            </w:tcMar>
          </w:tcPr>
          <w:p>
            <w:pPr>
              <w:spacing w:after="80" w:before="0"/>
            </w:pPr>
            <w:r>
              <w:rPr>
                <w:rFonts w:ascii="Arial" w:cs="Arial" w:eastAsia="Arial" w:hAnsi="Arial"/>
                <w:b/>
                <w:bCs/>
                <w:color w:val="F57C00"/>
                <w:sz w:val="20"/>
                <w:szCs w:val="20"/>
              </w:rPr>
              <w:t xml:space="preserve">🏠  RESIDENTIAL SECTOR</w:t>
            </w:r>
          </w:p>
          <w:p>
            <w:pPr>
              <w:spacing w:after="0" w:before="0" w:line="290"/>
              <w:jc w:val="both"/>
            </w:pPr>
            <w:r>
              <w:rPr>
                <w:rFonts w:ascii="Arial" w:cs="Arial" w:eastAsia="Arial" w:hAnsi="Arial"/>
                <w:color w:val="212121"/>
                <w:sz w:val="18"/>
                <w:szCs w:val="18"/>
              </w:rPr>
              <w:t xml:space="preserve">Single-family homes, apartments, and condominiums. Growing rapidly due to incentives, net metering policies, and increasing environmental awareness. Highly feasible and profitable.</w:t>
            </w:r>
          </w:p>
        </w:tc>
        <w:tc>
          <w:tcPr>
            <w:tcW w:type="dxa" w:w="4780"/>
            <w:tcBorders>
              <w:top w:val="single" w:color="DDDDDD" w:sz="1"/>
              <w:left w:val="single" w:color="DDDDDD" w:sz="1"/>
              <w:bottom w:val="single" w:color="DDDDDD" w:sz="1"/>
              <w:right w:val="single" w:color="DDDDDD" w:sz="1"/>
            </w:tcBorders>
            <w:shd w:fill="E3F2FD" w:val="clear"/>
            <w:tcMar>
              <w:top w:type="dxa" w:w="160"/>
              <w:left w:type="dxa" w:w="200"/>
              <w:bottom w:type="dxa" w:w="160"/>
              <w:right w:type="dxa" w:w="200"/>
            </w:tcMar>
          </w:tcPr>
          <w:p>
            <w:pPr>
              <w:spacing w:after="80" w:before="0"/>
            </w:pPr>
            <w:r>
              <w:rPr>
                <w:rFonts w:ascii="Arial" w:cs="Arial" w:eastAsia="Arial" w:hAnsi="Arial"/>
                <w:b/>
                <w:bCs/>
                <w:color w:val="1565C0"/>
                <w:sz w:val="20"/>
                <w:szCs w:val="20"/>
              </w:rPr>
              <w:t xml:space="preserve">🏢  COMMERCIAL SECTOR</w:t>
            </w:r>
          </w:p>
          <w:p>
            <w:pPr>
              <w:spacing w:after="0" w:before="0" w:line="290"/>
              <w:jc w:val="both"/>
            </w:pPr>
            <w:r>
              <w:rPr>
                <w:rFonts w:ascii="Arial" w:cs="Arial" w:eastAsia="Arial" w:hAnsi="Arial"/>
                <w:color w:val="212121"/>
                <w:sz w:val="18"/>
                <w:szCs w:val="18"/>
              </w:rPr>
              <w:t xml:space="preserve">Small, medium, and large enterprises installing solar on rooftops or unused land to offset electricity costs and demonstrate corporate social responsibility. Immense growth potential.</w:t>
            </w:r>
          </w:p>
        </w:tc>
      </w:tr>
      <w:tr>
        <w:tc>
          <w:tcPr>
            <w:tcW w:type="dxa" w:w="4580"/>
            <w:tcBorders>
              <w:top w:val="single" w:color="DDDDDD" w:sz="1"/>
              <w:left w:val="single" w:color="DDDDDD" w:sz="1"/>
              <w:bottom w:val="single" w:color="DDDDDD" w:sz="1"/>
              <w:right w:val="single" w:color="DDDDDD" w:sz="1"/>
            </w:tcBorders>
            <w:shd w:fill="E3F2FD" w:val="clear"/>
            <w:tcMar>
              <w:top w:type="dxa" w:w="160"/>
              <w:left w:type="dxa" w:w="200"/>
              <w:bottom w:type="dxa" w:w="160"/>
              <w:right w:type="dxa" w:w="200"/>
            </w:tcMar>
          </w:tcPr>
          <w:p>
            <w:pPr>
              <w:spacing w:after="80" w:before="0"/>
            </w:pPr>
            <w:r>
              <w:rPr>
                <w:rFonts w:ascii="Arial" w:cs="Arial" w:eastAsia="Arial" w:hAnsi="Arial"/>
                <w:b/>
                <w:bCs/>
                <w:color w:val="1A237E"/>
                <w:sz w:val="20"/>
                <w:szCs w:val="20"/>
              </w:rPr>
              <w:t xml:space="preserve">🏭  INDUSTRIAL SECTOR</w:t>
            </w:r>
          </w:p>
          <w:p>
            <w:pPr>
              <w:spacing w:after="0" w:before="0" w:line="290"/>
              <w:jc w:val="both"/>
            </w:pPr>
            <w:r>
              <w:rPr>
                <w:rFonts w:ascii="Arial" w:cs="Arial" w:eastAsia="Arial" w:hAnsi="Arial"/>
                <w:color w:val="212121"/>
                <w:sz w:val="18"/>
                <w:szCs w:val="18"/>
              </w:rPr>
              <w:t xml:space="preserve">Manufacturing, agriculture, and mining industries. High-power solar panels at comparative cost generate more profit at low operational expenses. Priority target for Dharm Solar.</w:t>
            </w:r>
          </w:p>
        </w:tc>
        <w:tc>
          <w:tcPr>
            <w:tcW w:type="dxa" w:w="4780"/>
            <w:tcBorders>
              <w:top w:val="single" w:color="DDDDDD" w:sz="1"/>
              <w:left w:val="single" w:color="DDDDDD" w:sz="1"/>
              <w:bottom w:val="single" w:color="DDDDDD" w:sz="1"/>
              <w:right w:val="single" w:color="DDDDDD" w:sz="1"/>
            </w:tcBorders>
            <w:shd w:fill="FFF3E0" w:val="clear"/>
            <w:tcMar>
              <w:top w:type="dxa" w:w="160"/>
              <w:left w:type="dxa" w:w="200"/>
              <w:bottom w:type="dxa" w:w="160"/>
              <w:right w:type="dxa" w:w="200"/>
            </w:tcMar>
          </w:tcPr>
          <w:p>
            <w:pPr>
              <w:spacing w:after="80" w:before="0"/>
            </w:pPr>
            <w:r>
              <w:rPr>
                <w:rFonts w:ascii="Arial" w:cs="Arial" w:eastAsia="Arial" w:hAnsi="Arial"/>
                <w:b/>
                <w:bCs/>
                <w:color w:val="F57C00"/>
                <w:sz w:val="20"/>
                <w:szCs w:val="20"/>
              </w:rPr>
              <w:t xml:space="preserve">⚡  UTILITY-SCALE PROJECTS</w:t>
            </w:r>
          </w:p>
          <w:p>
            <w:pPr>
              <w:spacing w:after="0" w:before="0" w:line="290"/>
              <w:jc w:val="both"/>
            </w:pPr>
            <w:r>
              <w:rPr>
                <w:rFonts w:ascii="Arial" w:cs="Arial" w:eastAsia="Arial" w:hAnsi="Arial"/>
                <w:color w:val="212121"/>
                <w:sz w:val="18"/>
                <w:szCs w:val="18"/>
              </w:rPr>
              <w:t xml:space="preserve">Large-scale installations connected to the electrical grid, developed by energy companies, independent power producers, or investors supplying electricity to utilities.</w:t>
            </w:r>
          </w:p>
        </w:tc>
      </w:tr>
    </w:tbl>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Competition</w:t>
      </w:r>
    </w:p>
    <w:p>
      <w:pPr>
        <w:pStyle w:val="Heading2"/>
        <w:spacing w:after="140" w:before="280"/>
      </w:pPr>
      <w:r>
        <w:rPr>
          <w:rFonts w:ascii="Arial" w:cs="Arial" w:eastAsia="Arial" w:hAnsi="Arial"/>
          <w:b/>
          <w:bCs/>
          <w:color w:val="1565C0"/>
          <w:sz w:val="24"/>
          <w:szCs w:val="24"/>
        </w:rPr>
        <w:t xml:space="preserve">Current Alternatives</w:t>
      </w:r>
    </w:p>
    <w:p>
      <w:pPr>
        <w:spacing w:after="80" w:before="80" w:line="320"/>
        <w:jc w:val="both"/>
      </w:pPr>
      <w:r>
        <w:rPr>
          <w:rFonts w:ascii="Arial" w:cs="Arial" w:eastAsia="Arial" w:hAnsi="Arial"/>
          <w:color w:val="212121"/>
          <w:sz w:val="20"/>
          <w:szCs w:val="20"/>
        </w:rPr>
        <w:t xml:space="preserve">Before the widespread adoption of solar panels, people relied primarily on these traditional energy sources:</w:t>
      </w:r>
    </w:p>
    <w:p>
      <w:pPr>
        <w:spacing w:after="0" w:before="80"/>
      </w:pPr>
      <w:r>
        <w:t xml:space="preserve"/>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Grid Electricity — Centralized power plants relying on fossil fuels, nuclear, and hydroelectric power. Offers reliability but comes with environmental impacts and price volatility.</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Fossil Fuel Generators — Diesel and gasoline generators used in off-grid areas. They emit greenhouse gases, require regular fuel supply and maintenance.</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Hydroelectric &amp; Wind Power — Clean and renewable but limited by geography and significant infrastructure investment.</w:t>
      </w:r>
    </w:p>
    <w:p>
      <w:pPr>
        <w:spacing w:after="0" w:before="200"/>
      </w:pPr>
      <w:r>
        <w:t xml:space="preserve"/>
      </w:r>
    </w:p>
    <w:p>
      <w:pPr>
        <w:pStyle w:val="Heading2"/>
        <w:spacing w:after="140" w:before="280"/>
      </w:pPr>
      <w:r>
        <w:rPr>
          <w:rFonts w:ascii="Arial" w:cs="Arial" w:eastAsia="Arial" w:hAnsi="Arial"/>
          <w:b/>
          <w:bCs/>
          <w:color w:val="1565C0"/>
          <w:sz w:val="24"/>
          <w:szCs w:val="24"/>
        </w:rPr>
        <w:t xml:space="preserve">Our Competitive Advantages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FF3E0" w:val="clear"/>
            <w:tcMar>
              <w:top w:type="dxa" w:w="120"/>
              <w:left w:type="dxa" w:w="140"/>
              <w:bottom w:type="dxa" w:w="120"/>
              <w:right w:type="dxa" w:w="140"/>
            </w:tcMar>
            <w:vAlign w:val="center"/>
          </w:tcPr>
          <w:p>
            <w:r>
              <w:rPr>
                <w:rFonts w:ascii="Arial" w:cs="Arial" w:eastAsia="Arial" w:hAnsi="Arial"/>
                <w:b/>
                <w:bCs/>
                <w:color w:val="1A237E"/>
                <w:sz w:val="18"/>
                <w:szCs w:val="18"/>
              </w:rPr>
              <w:t xml:space="preserve">🌱  Clean &amp; Renewable</w:t>
            </w:r>
          </w:p>
        </w:tc>
        <w:tc>
          <w:tcPr>
            <w:tcW w:type="dxa" w:w="75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40"/>
            </w:tcMar>
          </w:tcPr>
          <w:p>
            <w:pPr>
              <w:jc w:val="both"/>
            </w:pPr>
            <w:r>
              <w:rPr>
                <w:rFonts w:ascii="Arial" w:cs="Arial" w:eastAsia="Arial" w:hAnsi="Arial"/>
                <w:color w:val="212121"/>
                <w:sz w:val="18"/>
                <w:szCs w:val="18"/>
              </w:rPr>
              <w:t xml:space="preserve">Solar panels harness sunlight to generate electricity without harmful emissions or pollutants, contributing to climate change mitigation and environmental sustainability.</w:t>
            </w:r>
          </w:p>
        </w:tc>
      </w:tr>
      <w:tr>
        <w:tc>
          <w:tcPr>
            <w:tcW w:type="dxa" w:w="1800"/>
            <w:tcBorders>
              <w:top w:val="single" w:color="DDDDDD" w:sz="1"/>
              <w:left w:val="single" w:color="DDDDDD" w:sz="1"/>
              <w:bottom w:val="single" w:color="DDDDDD" w:sz="1"/>
              <w:right w:val="single" w:color="DDDDDD" w:sz="1"/>
            </w:tcBorders>
            <w:shd w:fill="E3F2FD" w:val="clear"/>
            <w:tcMar>
              <w:top w:type="dxa" w:w="120"/>
              <w:left w:type="dxa" w:w="140"/>
              <w:bottom w:type="dxa" w:w="120"/>
              <w:right w:type="dxa" w:w="140"/>
            </w:tcMar>
            <w:vAlign w:val="center"/>
          </w:tcPr>
          <w:p>
            <w:r>
              <w:rPr>
                <w:rFonts w:ascii="Arial" w:cs="Arial" w:eastAsia="Arial" w:hAnsi="Arial"/>
                <w:b/>
                <w:bCs/>
                <w:color w:val="1A237E"/>
                <w:sz w:val="18"/>
                <w:szCs w:val="18"/>
              </w:rPr>
              <w:t xml:space="preserve">💰  Cost Savings</w:t>
            </w:r>
          </w:p>
        </w:tc>
        <w:tc>
          <w:tcPr>
            <w:tcW w:type="dxa" w:w="756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40"/>
            </w:tcMar>
          </w:tcPr>
          <w:p>
            <w:pPr>
              <w:jc w:val="both"/>
            </w:pPr>
            <w:r>
              <w:rPr>
                <w:rFonts w:ascii="Arial" w:cs="Arial" w:eastAsia="Arial" w:hAnsi="Arial"/>
                <w:color w:val="212121"/>
                <w:sz w:val="18"/>
                <w:szCs w:val="18"/>
              </w:rPr>
              <w:t xml:space="preserve">Significantly reduce or eliminate reliance on grid electricity, offering energy independence and protection against rising electricity prices.</w:t>
            </w:r>
          </w:p>
        </w:tc>
      </w:tr>
      <w:tr>
        <w:tc>
          <w:tcPr>
            <w:tcW w:type="dxa" w:w="1800"/>
            <w:tcBorders>
              <w:top w:val="single" w:color="DDDDDD" w:sz="1"/>
              <w:left w:val="single" w:color="DDDDDD" w:sz="1"/>
              <w:bottom w:val="single" w:color="DDDDDD" w:sz="1"/>
              <w:right w:val="single" w:color="DDDDDD" w:sz="1"/>
            </w:tcBorders>
            <w:shd w:fill="FFF3E0" w:val="clear"/>
            <w:tcMar>
              <w:top w:type="dxa" w:w="120"/>
              <w:left w:type="dxa" w:w="140"/>
              <w:bottom w:type="dxa" w:w="120"/>
              <w:right w:type="dxa" w:w="140"/>
            </w:tcMar>
            <w:vAlign w:val="center"/>
          </w:tcPr>
          <w:p>
            <w:r>
              <w:rPr>
                <w:rFonts w:ascii="Arial" w:cs="Arial" w:eastAsia="Arial" w:hAnsi="Arial"/>
                <w:b/>
                <w:bCs/>
                <w:color w:val="1A237E"/>
                <w:sz w:val="18"/>
                <w:szCs w:val="18"/>
              </w:rPr>
              <w:t xml:space="preserve">📐  Scalable Design</w:t>
            </w:r>
          </w:p>
        </w:tc>
        <w:tc>
          <w:tcPr>
            <w:tcW w:type="dxa" w:w="75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40"/>
            </w:tcMar>
          </w:tcPr>
          <w:p>
            <w:pPr>
              <w:jc w:val="both"/>
            </w:pPr>
            <w:r>
              <w:rPr>
                <w:rFonts w:ascii="Arial" w:cs="Arial" w:eastAsia="Arial" w:hAnsi="Arial"/>
                <w:color w:val="212121"/>
                <w:sz w:val="18"/>
                <w:szCs w:val="18"/>
              </w:rPr>
              <w:t xml:space="preserve">From residential rooftop installations to utility-scale solar farms, our solution can be tailored for any energy demand or geographic condition.</w:t>
            </w:r>
          </w:p>
        </w:tc>
      </w:tr>
      <w:tr>
        <w:tc>
          <w:tcPr>
            <w:tcW w:type="dxa" w:w="1800"/>
            <w:tcBorders>
              <w:top w:val="single" w:color="DDDDDD" w:sz="1"/>
              <w:left w:val="single" w:color="DDDDDD" w:sz="1"/>
              <w:bottom w:val="single" w:color="DDDDDD" w:sz="1"/>
              <w:right w:val="single" w:color="DDDDDD" w:sz="1"/>
            </w:tcBorders>
            <w:shd w:fill="E3F2FD" w:val="clear"/>
            <w:tcMar>
              <w:top w:type="dxa" w:w="120"/>
              <w:left w:type="dxa" w:w="140"/>
              <w:bottom w:type="dxa" w:w="120"/>
              <w:right w:type="dxa" w:w="140"/>
            </w:tcMar>
            <w:vAlign w:val="center"/>
          </w:tcPr>
          <w:p>
            <w:r>
              <w:rPr>
                <w:rFonts w:ascii="Arial" w:cs="Arial" w:eastAsia="Arial" w:hAnsi="Arial"/>
                <w:b/>
                <w:bCs/>
                <w:color w:val="1A237E"/>
                <w:sz w:val="18"/>
                <w:szCs w:val="18"/>
              </w:rPr>
              <w:t xml:space="preserve">🌍  Social Benefits</w:t>
            </w:r>
          </w:p>
        </w:tc>
        <w:tc>
          <w:tcPr>
            <w:tcW w:type="dxa" w:w="756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40"/>
            </w:tcMar>
          </w:tcPr>
          <w:p>
            <w:pPr>
              <w:jc w:val="both"/>
            </w:pPr>
            <w:r>
              <w:rPr>
                <w:rFonts w:ascii="Arial" w:cs="Arial" w:eastAsia="Arial" w:hAnsi="Arial"/>
                <w:color w:val="212121"/>
                <w:sz w:val="18"/>
                <w:szCs w:val="18"/>
              </w:rPr>
              <w:t xml:space="preserve">Reducing greenhouse gas emissions, conserving natural resources, creating green jobs, and promoting energy access and equity.</w:t>
            </w:r>
          </w:p>
        </w:tc>
      </w:tr>
      <w:tr>
        <w:tc>
          <w:tcPr>
            <w:tcW w:type="dxa" w:w="1800"/>
            <w:tcBorders>
              <w:top w:val="single" w:color="DDDDDD" w:sz="1"/>
              <w:left w:val="single" w:color="DDDDDD" w:sz="1"/>
              <w:bottom w:val="single" w:color="DDDDDD" w:sz="1"/>
              <w:right w:val="single" w:color="DDDDDD" w:sz="1"/>
            </w:tcBorders>
            <w:shd w:fill="FFF3E0" w:val="clear"/>
            <w:tcMar>
              <w:top w:type="dxa" w:w="120"/>
              <w:left w:type="dxa" w:w="140"/>
              <w:bottom w:type="dxa" w:w="120"/>
              <w:right w:type="dxa" w:w="140"/>
            </w:tcMar>
            <w:vAlign w:val="center"/>
          </w:tcPr>
          <w:p>
            <w:r>
              <w:rPr>
                <w:rFonts w:ascii="Arial" w:cs="Arial" w:eastAsia="Arial" w:hAnsi="Arial"/>
                <w:b/>
                <w:bCs/>
                <w:color w:val="1A237E"/>
                <w:sz w:val="18"/>
                <w:szCs w:val="18"/>
              </w:rPr>
              <w:t xml:space="preserve">🔧  After-Sales Support</w:t>
            </w:r>
          </w:p>
        </w:tc>
        <w:tc>
          <w:tcPr>
            <w:tcW w:type="dxa" w:w="75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40"/>
            </w:tcMar>
          </w:tcPr>
          <w:p>
            <w:pPr>
              <w:jc w:val="both"/>
            </w:pPr>
            <w:r>
              <w:rPr>
                <w:rFonts w:ascii="Arial" w:cs="Arial" w:eastAsia="Arial" w:hAnsi="Arial"/>
                <w:color w:val="212121"/>
                <w:sz w:val="18"/>
                <w:szCs w:val="18"/>
              </w:rPr>
              <w:t xml:space="preserve">Comprehensive maintenance, monitoring tools, and warranties with 25-year panel warranty and 7-year inverter warranty.</w:t>
            </w:r>
          </w:p>
        </w:tc>
      </w:tr>
    </w:tbl>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Execution</w:t>
      </w:r>
    </w:p>
    <w:p>
      <w:pPr>
        <w:pStyle w:val="Heading2"/>
        <w:spacing w:after="140" w:before="280"/>
      </w:pPr>
      <w:r>
        <w:rPr>
          <w:rFonts w:ascii="Arial" w:cs="Arial" w:eastAsia="Arial" w:hAnsi="Arial"/>
          <w:b/>
          <w:bCs/>
          <w:color w:val="1565C0"/>
          <w:sz w:val="24"/>
          <w:szCs w:val="24"/>
        </w:rPr>
        <w:t xml:space="preserve">Marketing &amp; Sales Strategy</w:t>
      </w:r>
    </w:p>
    <w:p>
      <w:pPr>
        <w:spacing w:after="80" w:before="80" w:line="320"/>
        <w:jc w:val="both"/>
      </w:pPr>
      <w:r>
        <w:rPr>
          <w:rFonts w:ascii="Arial" w:cs="Arial" w:eastAsia="Arial" w:hAnsi="Arial"/>
          <w:color w:val="212121"/>
          <w:sz w:val="20"/>
          <w:szCs w:val="20"/>
        </w:rPr>
        <w:t xml:space="preserve">Marketing demands various approaches and dedicated efforts to position the product in the minds of customers. With growing competition in the solar market, proper planning and execution of strategies is essential.</w:t>
      </w:r>
    </w:p>
    <w:p>
      <w:pPr>
        <w:spacing w:after="0" w:before="160"/>
      </w:pPr>
      <w:r>
        <w:t xml:space="preserve"/>
      </w:r>
    </w:p>
    <w:p>
      <w:pPr>
        <w:spacing w:after="100" w:before="220"/>
      </w:pPr>
      <w:r>
        <w:rPr>
          <w:rFonts w:ascii="Arial" w:cs="Arial" w:eastAsia="Arial" w:hAnsi="Arial"/>
          <w:b/>
          <w:bCs/>
          <w:color w:val="F57C00"/>
          <w:sz w:val="22"/>
          <w:szCs w:val="22"/>
        </w:rPr>
        <w:t xml:space="preserve">Digital Marketing</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Website Optimization — SEO-optimized website with relevant keywords related to solar panels, energy efficiency, and sustainability.</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Content Marketing — Blog posts, articles, eBooks, and videos educating audiences about solar energy benefits, installation processes, and cost savings.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Social Media Marketing — Active presence on Facebook, Instagram, LinkedIn, and Twitter for updates, customer testimonials, and industry news.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Paid Advertising — Targeted campaigns via Google Ads, Facebook Ads, and LinkedIn Ads to reach potential customers.</w:t>
      </w:r>
    </w:p>
    <w:p>
      <w:pPr>
        <w:spacing w:after="0" w:before="120"/>
      </w:pPr>
      <w:r>
        <w:t xml:space="preserve"/>
      </w:r>
    </w:p>
    <w:p>
      <w:pPr>
        <w:spacing w:after="100" w:before="220"/>
      </w:pPr>
      <w:r>
        <w:rPr>
          <w:rFonts w:ascii="Arial" w:cs="Arial" w:eastAsia="Arial" w:hAnsi="Arial"/>
          <w:b/>
          <w:bCs/>
          <w:color w:val="F57C00"/>
          <w:sz w:val="22"/>
          <w:szCs w:val="22"/>
        </w:rPr>
        <w:t xml:space="preserve">Outreach &amp; Partnerships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Partnerships — Collaboration with local businesses, contractors, and home improvement stores for cross-promotion.</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Educational Workshops &amp; Seminars — Free workshops for homeowners, businesses, and community groups about solar energy benefits.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Influencer Marketing — Collaboration with sustainability and home improvement influencers to reach wider audiences.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Customer Referral Programs — Discounts, cash rewards, or purchase credits for customers who refer new leads.</w:t>
      </w:r>
    </w:p>
    <w:p>
      <w:pPr>
        <w:spacing w:after="0" w:before="200"/>
      </w:pPr>
      <w:r>
        <w:t xml:space="preserve"/>
      </w:r>
    </w:p>
    <w:p>
      <w:pPr>
        <w:pStyle w:val="Heading2"/>
        <w:spacing w:after="140" w:before="280"/>
      </w:pPr>
      <w:r>
        <w:rPr>
          <w:rFonts w:ascii="Arial" w:cs="Arial" w:eastAsia="Arial" w:hAnsi="Arial"/>
          <w:b/>
          <w:bCs/>
          <w:color w:val="1565C0"/>
          <w:sz w:val="24"/>
          <w:szCs w:val="24"/>
        </w:rPr>
        <w:t xml:space="preserve">Sales Plan</w:t>
      </w:r>
    </w:p>
    <w:p>
      <w:pPr>
        <w:spacing w:after="80" w:before="80" w:line="320"/>
        <w:jc w:val="both"/>
      </w:pPr>
      <w:r>
        <w:rPr>
          <w:rFonts w:ascii="Arial" w:cs="Arial" w:eastAsia="Arial" w:hAnsi="Arial"/>
          <w:color w:val="212121"/>
          <w:sz w:val="20"/>
          <w:szCs w:val="20"/>
        </w:rPr>
        <w:t xml:space="preserve">Our sales approach is built on education, financial transparency, and long-term customer relationships:</w:t>
      </w:r>
    </w:p>
    <w:p>
      <w:pPr>
        <w:spacing w:after="0" w:before="80"/>
      </w:pPr>
      <w:r>
        <w:t xml:space="preserve"/>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Educational Approach — Informative content highlighting environmental advantages, cost savings, and available government incentives and tax credits.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Financial Analysis — Transparent ROI projections, energy savings estimates, payback period calculations, and flexible financing options (solar loans/lease agreements).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Demonstrations &amp; Site Visits — Real-world installations for potential customers to see performance firsthand, with virtual tours available.</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Technology Tools — Solar panel configurators, remote shading analysis, and CRM software to track leads and manage relationships.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After-Sales Support — Maintenance services, monitoring tools, and warranties to ensure customer satisfaction.</w:t>
      </w:r>
    </w:p>
    <w:p>
      <w:pPr>
        <w:spacing w:after="0" w:before="200"/>
      </w:pPr>
      <w:r>
        <w:t xml:space="preserve"/>
      </w:r>
    </w:p>
    <w:p>
      <w:pPr>
        <w:pStyle w:val="Heading2"/>
        <w:spacing w:after="140" w:before="280"/>
      </w:pPr>
      <w:r>
        <w:rPr>
          <w:rFonts w:ascii="Arial" w:cs="Arial" w:eastAsia="Arial" w:hAnsi="Arial"/>
          <w:b/>
          <w:bCs/>
          <w:color w:val="1565C0"/>
          <w:sz w:val="24"/>
          <w:szCs w:val="24"/>
        </w:rPr>
        <w:t xml:space="preserve">Residential Rooftop Pricing (National Portal 2024)</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300"/>
        <w:gridCol w:w="1700"/>
        <w:gridCol w:w="1500"/>
        <w:gridCol w:w="2060"/>
      </w:tblGrid>
      <w:tr>
        <w:tc>
          <w:tcPr>
            <w:tcW w:type="dxa" w:w="600"/>
            <w:tcBorders>
              <w:top w:val="single" w:color="DDDDDD" w:sz="1"/>
              <w:left w:val="single" w:color="DDDDDD" w:sz="1"/>
              <w:bottom w:val="single" w:color="DDDDDD" w:sz="1"/>
              <w:right w:val="single" w:color="DDDDDD" w:sz="1"/>
            </w:tcBorders>
            <w:shd w:fill="F57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Sr.</w:t>
            </w:r>
          </w:p>
        </w:tc>
        <w:tc>
          <w:tcPr>
            <w:tcW w:type="dxa" w:w="1200"/>
            <w:tcBorders>
              <w:top w:val="single" w:color="DDDDDD" w:sz="1"/>
              <w:left w:val="single" w:color="DDDDDD" w:sz="1"/>
              <w:bottom w:val="single" w:color="DDDDDD" w:sz="1"/>
              <w:right w:val="single" w:color="DDDDDD" w:sz="1"/>
            </w:tcBorders>
            <w:shd w:fill="F57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Panel Watt</w:t>
            </w:r>
          </w:p>
        </w:tc>
        <w:tc>
          <w:tcPr>
            <w:tcW w:type="dxa" w:w="1300"/>
            <w:tcBorders>
              <w:top w:val="single" w:color="DDDDDD" w:sz="1"/>
              <w:left w:val="single" w:color="DDDDDD" w:sz="1"/>
              <w:bottom w:val="single" w:color="DDDDDD" w:sz="1"/>
              <w:right w:val="single" w:color="DDDDDD" w:sz="1"/>
            </w:tcBorders>
            <w:shd w:fill="F57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System kW</w:t>
            </w:r>
          </w:p>
        </w:tc>
        <w:tc>
          <w:tcPr>
            <w:tcW w:type="dxa" w:w="1700"/>
            <w:tcBorders>
              <w:top w:val="single" w:color="DDDDDD" w:sz="1"/>
              <w:left w:val="single" w:color="DDDDDD" w:sz="1"/>
              <w:bottom w:val="single" w:color="DDDDDD" w:sz="1"/>
              <w:right w:val="single" w:color="DDDDDD" w:sz="1"/>
            </w:tcBorders>
            <w:shd w:fill="F57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Total Price</w:t>
            </w:r>
          </w:p>
        </w:tc>
        <w:tc>
          <w:tcPr>
            <w:tcW w:type="dxa" w:w="1500"/>
            <w:tcBorders>
              <w:top w:val="single" w:color="DDDDDD" w:sz="1"/>
              <w:left w:val="single" w:color="DDDDDD" w:sz="1"/>
              <w:bottom w:val="single" w:color="DDDDDD" w:sz="1"/>
              <w:right w:val="single" w:color="DDDDDD" w:sz="1"/>
            </w:tcBorders>
            <w:shd w:fill="F57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Subsidy</w:t>
            </w:r>
          </w:p>
        </w:tc>
        <w:tc>
          <w:tcPr>
            <w:tcW w:type="dxa" w:w="2060"/>
            <w:tcBorders>
              <w:top w:val="single" w:color="DDDDDD" w:sz="1"/>
              <w:left w:val="single" w:color="DDDDDD" w:sz="1"/>
              <w:bottom w:val="single" w:color="DDDDDD" w:sz="1"/>
              <w:right w:val="single" w:color="DDDDDD" w:sz="1"/>
            </w:tcBorders>
            <w:shd w:fill="F57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Customer Payable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545×3</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1.64 kW</w:t>
            </w:r>
          </w:p>
        </w:tc>
        <w:tc>
          <w:tcPr>
            <w:tcW w:type="dxa" w:w="1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₹83,879</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₹49,200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₹1,33,079</w:t>
            </w:r>
          </w:p>
        </w:tc>
      </w:tr>
      <w:tr>
        <w:tc>
          <w:tcPr>
            <w:tcW w:type="dxa" w:w="6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2</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545×4</w:t>
            </w:r>
          </w:p>
        </w:tc>
        <w:tc>
          <w:tcPr>
            <w:tcW w:type="dxa" w:w="13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2.18 kW</w:t>
            </w:r>
          </w:p>
        </w:tc>
        <w:tc>
          <w:tcPr>
            <w:tcW w:type="dxa" w:w="17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₹1,03,720</w:t>
            </w:r>
          </w:p>
        </w:tc>
        <w:tc>
          <w:tcPr>
            <w:tcW w:type="dxa" w:w="15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₹63,240</w:t>
            </w:r>
          </w:p>
        </w:tc>
        <w:tc>
          <w:tcPr>
            <w:tcW w:type="dxa" w:w="206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₹1,66,960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545×5</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2.73 kW</w:t>
            </w:r>
          </w:p>
        </w:tc>
        <w:tc>
          <w:tcPr>
            <w:tcW w:type="dxa" w:w="1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₹1,30,443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₹73,140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₹2,03,583</w:t>
            </w:r>
          </w:p>
        </w:tc>
      </w:tr>
      <w:tr>
        <w:tc>
          <w:tcPr>
            <w:tcW w:type="dxa" w:w="6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4</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545×6</w:t>
            </w:r>
          </w:p>
        </w:tc>
        <w:tc>
          <w:tcPr>
            <w:tcW w:type="dxa" w:w="13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3.27 kW</w:t>
            </w:r>
          </w:p>
        </w:tc>
        <w:tc>
          <w:tcPr>
            <w:tcW w:type="dxa" w:w="17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₹1,55,630</w:t>
            </w:r>
          </w:p>
        </w:tc>
        <w:tc>
          <w:tcPr>
            <w:tcW w:type="dxa" w:w="15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₹2,33,630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545×7</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3.82 kW</w:t>
            </w:r>
          </w:p>
        </w:tc>
        <w:tc>
          <w:tcPr>
            <w:tcW w:type="dxa" w:w="1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₹1,80,100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₹2,58,100</w:t>
            </w:r>
          </w:p>
        </w:tc>
      </w:tr>
      <w:tr>
        <w:tc>
          <w:tcPr>
            <w:tcW w:type="dxa" w:w="6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6</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545×9</w:t>
            </w:r>
          </w:p>
        </w:tc>
        <w:tc>
          <w:tcPr>
            <w:tcW w:type="dxa" w:w="13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4.91 kW</w:t>
            </w:r>
          </w:p>
        </w:tc>
        <w:tc>
          <w:tcPr>
            <w:tcW w:type="dxa" w:w="17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₹2,31,910</w:t>
            </w:r>
          </w:p>
        </w:tc>
        <w:tc>
          <w:tcPr>
            <w:tcW w:type="dxa" w:w="15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₹3,09,910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545×10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 kW</w:t>
            </w:r>
          </w:p>
        </w:tc>
        <w:tc>
          <w:tcPr>
            <w:tcW w:type="dxa" w:w="1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₹2,55,287</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₹3,33,287</w:t>
            </w:r>
          </w:p>
        </w:tc>
      </w:tr>
      <w:tr>
        <w:tc>
          <w:tcPr>
            <w:tcW w:type="dxa" w:w="6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8</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545×11</w:t>
            </w:r>
          </w:p>
        </w:tc>
        <w:tc>
          <w:tcPr>
            <w:tcW w:type="dxa" w:w="13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6.00 kW</w:t>
            </w:r>
          </w:p>
        </w:tc>
        <w:tc>
          <w:tcPr>
            <w:tcW w:type="dxa" w:w="17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₹2,74,934</w:t>
            </w:r>
          </w:p>
        </w:tc>
        <w:tc>
          <w:tcPr>
            <w:tcW w:type="dxa" w:w="15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₹3,52,934</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545×13</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7.09 kW</w:t>
            </w:r>
          </w:p>
        </w:tc>
        <w:tc>
          <w:tcPr>
            <w:tcW w:type="dxa" w:w="1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₹3,21,675</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₹3,99,675</w:t>
            </w:r>
          </w:p>
        </w:tc>
      </w:tr>
      <w:tr>
        <w:tc>
          <w:tcPr>
            <w:tcW w:type="dxa" w:w="6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10</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545×15</w:t>
            </w:r>
          </w:p>
        </w:tc>
        <w:tc>
          <w:tcPr>
            <w:tcW w:type="dxa" w:w="13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8.18 kW</w:t>
            </w:r>
          </w:p>
        </w:tc>
        <w:tc>
          <w:tcPr>
            <w:tcW w:type="dxa" w:w="17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₹3,71,436</w:t>
            </w:r>
          </w:p>
        </w:tc>
        <w:tc>
          <w:tcPr>
            <w:tcW w:type="dxa" w:w="15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₹4,49,436</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545×17</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9.27 kW</w:t>
            </w:r>
          </w:p>
        </w:tc>
        <w:tc>
          <w:tcPr>
            <w:tcW w:type="dxa" w:w="1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₹4,20,857</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₹4,98,857</w:t>
            </w:r>
          </w:p>
        </w:tc>
      </w:tr>
      <w:tr>
        <w:tc>
          <w:tcPr>
            <w:tcW w:type="dxa" w:w="6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center"/>
            </w:pPr>
            <w:r>
              <w:rPr>
                <w:rFonts w:ascii="Arial" w:cs="Arial" w:eastAsia="Arial" w:hAnsi="Arial"/>
                <w:b w:val="false"/>
                <w:bCs w:val="false"/>
                <w:color w:val="212121"/>
                <w:sz w:val="18"/>
                <w:szCs w:val="18"/>
              </w:rPr>
              <w:t xml:space="preserve">12</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545×18</w:t>
            </w:r>
          </w:p>
        </w:tc>
        <w:tc>
          <w:tcPr>
            <w:tcW w:type="dxa" w:w="13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9.81 kW</w:t>
            </w:r>
          </w:p>
        </w:tc>
        <w:tc>
          <w:tcPr>
            <w:tcW w:type="dxa" w:w="17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₹4,43,152</w:t>
            </w:r>
          </w:p>
        </w:tc>
        <w:tc>
          <w:tcPr>
            <w:tcW w:type="dxa" w:w="15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val="false"/>
                <w:bCs w:val="false"/>
                <w:color w:val="212121"/>
                <w:sz w:val="18"/>
                <w:szCs w:val="18"/>
              </w:rPr>
              <w:t xml:space="preserve">₹78,000</w:t>
            </w:r>
          </w:p>
        </w:tc>
        <w:tc>
          <w:tcPr>
            <w:tcW w:type="dxa" w:w="206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pPr>
              <w:jc w:val="right"/>
            </w:pPr>
            <w:r>
              <w:rPr>
                <w:rFonts w:ascii="Arial" w:cs="Arial" w:eastAsia="Arial" w:hAnsi="Arial"/>
                <w:b/>
                <w:bCs/>
                <w:color w:val="1A237E"/>
                <w:sz w:val="18"/>
                <w:szCs w:val="18"/>
              </w:rPr>
              <w:t xml:space="preserve">₹5,21,152</w:t>
            </w:r>
          </w:p>
        </w:tc>
      </w:tr>
    </w:tbl>
    <w:p>
      <w:pPr>
        <w:spacing w:after="0" w:before="200"/>
      </w:pPr>
      <w:r>
        <w:t xml:space="preserve"/>
      </w:r>
    </w:p>
    <w:p>
      <w:pPr>
        <w:pStyle w:val="Heading2"/>
        <w:spacing w:after="140" w:before="280"/>
      </w:pPr>
      <w:r>
        <w:rPr>
          <w:rFonts w:ascii="Arial" w:cs="Arial" w:eastAsia="Arial" w:hAnsi="Arial"/>
          <w:b/>
          <w:bCs/>
          <w:color w:val="1565C0"/>
          <w:sz w:val="24"/>
          <w:szCs w:val="24"/>
        </w:rPr>
        <w:t xml:space="preserve">Required Customer Documents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Electricity Bill</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Passport Size Photo (2 copies)</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ID Proof</w:t>
      </w:r>
    </w:p>
    <w:p>
      <w:pPr>
        <w:pStyle w:val="ListParagraph"/>
        <w:numPr>
          <w:ilvl w:val="0"/>
          <w:numId w:val="2"/>
        </w:numPr>
        <w:spacing w:after="60" w:before="60" w:line="300"/>
      </w:pPr>
      <w:r>
        <w:rPr>
          <w:rFonts w:ascii="Arial" w:cs="Arial" w:eastAsia="Arial" w:hAnsi="Arial"/>
          <w:b w:val="false"/>
          <w:bCs w:val="false"/>
          <w:color w:val="212121"/>
          <w:sz w:val="20"/>
          <w:szCs w:val="20"/>
        </w:rPr>
        <w:t xml:space="preserve">Cancelled Cheque</w:t>
      </w:r>
    </w:p>
    <w:p>
      <w:pPr>
        <w:spacing w:after="0" w:before="200"/>
      </w:pPr>
      <w:r>
        <w:t xml:space="preserve"/>
      </w:r>
    </w:p>
    <w:p>
      <w:pPr>
        <w:pStyle w:val="Heading2"/>
        <w:spacing w:after="140" w:before="280"/>
      </w:pPr>
      <w:r>
        <w:rPr>
          <w:rFonts w:ascii="Arial" w:cs="Arial" w:eastAsia="Arial" w:hAnsi="Arial"/>
          <w:b/>
          <w:bCs/>
          <w:color w:val="1565C0"/>
          <w:sz w:val="24"/>
          <w:szCs w:val="24"/>
        </w:rPr>
        <w:t xml:space="preserve">Unique Selling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237E" w:val="clear"/>
            <w:tcMar>
              <w:top w:type="dxa" w:w="120"/>
              <w:left w:type="dxa" w:w="200"/>
              <w:bottom w:type="dxa" w:w="120"/>
              <w:right w:type="dxa" w:w="200"/>
            </w:tcMar>
          </w:tcPr>
          <w:p>
            <w:pPr>
              <w:spacing w:after="60" w:before="0"/>
            </w:pPr>
            <w:r>
              <w:rPr>
                <w:rFonts w:ascii="Arial" w:cs="Arial" w:eastAsia="Arial" w:hAnsi="Arial"/>
                <w:b/>
                <w:bCs/>
                <w:color w:val="FFC107"/>
                <w:sz w:val="20"/>
                <w:szCs w:val="20"/>
              </w:rPr>
              <w:t xml:space="preserve">Solar Modules</w:t>
            </w:r>
          </w:p>
          <w:p>
            <w:r>
              <w:rPr>
                <w:rFonts w:ascii="Arial" w:cs="Arial" w:eastAsia="Arial" w:hAnsi="Arial"/>
                <w:color w:val="FFFFFF"/>
                <w:sz w:val="19"/>
                <w:szCs w:val="19"/>
              </w:rPr>
              <w:t xml:space="preserve">Rayzon &amp; Adani — Top-tier quality</w:t>
            </w:r>
          </w:p>
        </w:tc>
        <w:tc>
          <w:tcPr>
            <w:tcW w:type="dxa" w:w="4680"/>
            <w:tcBorders>
              <w:top w:val="single" w:color="DDDDDD" w:sz="1"/>
              <w:left w:val="single" w:color="DDDDDD" w:sz="1"/>
              <w:bottom w:val="single" w:color="DDDDDD" w:sz="1"/>
              <w:right w:val="single" w:color="DDDDDD" w:sz="1"/>
            </w:tcBorders>
            <w:shd w:fill="1565C0" w:val="clear"/>
            <w:tcMar>
              <w:top w:type="dxa" w:w="120"/>
              <w:left w:type="dxa" w:w="200"/>
              <w:bottom w:type="dxa" w:w="120"/>
              <w:right w:type="dxa" w:w="200"/>
            </w:tcMar>
          </w:tcPr>
          <w:p>
            <w:pPr>
              <w:spacing w:after="60" w:before="0"/>
            </w:pPr>
            <w:r>
              <w:rPr>
                <w:rFonts w:ascii="Arial" w:cs="Arial" w:eastAsia="Arial" w:hAnsi="Arial"/>
                <w:b/>
                <w:bCs/>
                <w:color w:val="FFC107"/>
                <w:sz w:val="20"/>
                <w:szCs w:val="20"/>
              </w:rPr>
              <w:t xml:space="preserve">Cables</w:t>
            </w:r>
          </w:p>
          <w:p>
            <w:r>
              <w:rPr>
                <w:rFonts w:ascii="Arial" w:cs="Arial" w:eastAsia="Arial" w:hAnsi="Arial"/>
                <w:color w:val="FFFFFF"/>
                <w:sz w:val="19"/>
                <w:szCs w:val="19"/>
              </w:rPr>
              <w:t xml:space="preserve">Polycab — Industry leading reliability</w:t>
            </w:r>
          </w:p>
        </w:tc>
      </w:tr>
      <w:tr>
        <w:tc>
          <w:tcPr>
            <w:tcW w:type="dxa" w:w="4680"/>
            <w:tcBorders>
              <w:top w:val="single" w:color="DDDDDD" w:sz="1"/>
              <w:left w:val="single" w:color="DDDDDD" w:sz="1"/>
              <w:bottom w:val="single" w:color="DDDDDD" w:sz="1"/>
              <w:right w:val="single" w:color="DDDDDD" w:sz="1"/>
            </w:tcBorders>
            <w:shd w:fill="F57C00" w:val="clear"/>
            <w:tcMar>
              <w:top w:type="dxa" w:w="120"/>
              <w:left w:type="dxa" w:w="200"/>
              <w:bottom w:type="dxa" w:w="120"/>
              <w:right w:type="dxa" w:w="200"/>
            </w:tcMar>
          </w:tcPr>
          <w:p>
            <w:pPr>
              <w:spacing w:after="60" w:before="0"/>
            </w:pPr>
            <w:r>
              <w:rPr>
                <w:rFonts w:ascii="Arial" w:cs="Arial" w:eastAsia="Arial" w:hAnsi="Arial"/>
                <w:b/>
                <w:bCs/>
                <w:color w:val="FFFFFF"/>
                <w:sz w:val="20"/>
                <w:szCs w:val="20"/>
              </w:rPr>
              <w:t xml:space="preserve">Inverters</w:t>
            </w:r>
          </w:p>
          <w:p>
            <w:r>
              <w:rPr>
                <w:rFonts w:ascii="Arial" w:cs="Arial" w:eastAsia="Arial" w:hAnsi="Arial"/>
                <w:color w:val="FFFFFF"/>
                <w:sz w:val="19"/>
                <w:szCs w:val="19"/>
              </w:rPr>
              <w:t xml:space="preserve">Sungrow, Growatt &amp; K Solare</w:t>
            </w:r>
          </w:p>
        </w:tc>
        <w:tc>
          <w:tcPr>
            <w:tcW w:type="dxa" w:w="4680"/>
            <w:tcBorders>
              <w:top w:val="single" w:color="DDDDDD" w:sz="1"/>
              <w:left w:val="single" w:color="DDDDDD" w:sz="1"/>
              <w:bottom w:val="single" w:color="DDDDDD" w:sz="1"/>
              <w:right w:val="single" w:color="DDDDDD" w:sz="1"/>
            </w:tcBorders>
            <w:shd w:fill="FFF3E0"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Warranty</w:t>
            </w:r>
          </w:p>
          <w:p>
            <w:r>
              <w:rPr>
                <w:rFonts w:ascii="Arial" w:cs="Arial" w:eastAsia="Arial" w:hAnsi="Arial"/>
                <w:color w:val="212121"/>
                <w:sz w:val="19"/>
                <w:szCs w:val="19"/>
              </w:rPr>
              <w:t xml:space="preserve">25 years (panels) | 7 years (inverter)</w:t>
            </w:r>
          </w:p>
        </w:tc>
      </w:tr>
    </w:tbl>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Operations</w:t>
      </w:r>
    </w:p>
    <w:p>
      <w:pPr>
        <w:pStyle w:val="Heading2"/>
        <w:spacing w:after="140" w:before="280"/>
      </w:pPr>
      <w:r>
        <w:rPr>
          <w:rFonts w:ascii="Arial" w:cs="Arial" w:eastAsia="Arial" w:hAnsi="Arial"/>
          <w:b/>
          <w:bCs/>
          <w:color w:val="1565C0"/>
          <w:sz w:val="24"/>
          <w:szCs w:val="24"/>
        </w:rPr>
        <w:t xml:space="preserve">Location &amp; Facilities</w:t>
      </w:r>
    </w:p>
    <w:p>
      <w:pPr>
        <w:spacing w:after="80" w:before="80" w:line="320"/>
        <w:jc w:val="both"/>
      </w:pPr>
      <w:r>
        <w:rPr>
          <w:rFonts w:ascii="Arial" w:cs="Arial" w:eastAsia="Arial" w:hAnsi="Arial"/>
          <w:color w:val="212121"/>
          <w:sz w:val="20"/>
          <w:szCs w:val="20"/>
        </w:rPr>
        <w:t xml:space="preserve">We have selected Sapar, Gujarat as the location for our assembly line. It is an established industrial zone offering a conducive environment for manufacturing companies, with strategic location, supportive government policies, a skilled workforce, and proximity to raw material suppliers and distributors. Its suitable climate is ideal for solar panel testing and assembly, and its proximity to suppliers reduces transportation costs significantly.</w:t>
      </w:r>
    </w:p>
    <w:p>
      <w:pPr>
        <w:spacing w:after="0" w:before="160"/>
      </w:pPr>
      <w:r>
        <w:t xml:space="preserve"/>
      </w:r>
    </w:p>
    <w:p>
      <w:pPr>
        <w:pStyle w:val="Heading2"/>
        <w:spacing w:after="140" w:before="280"/>
      </w:pPr>
      <w:r>
        <w:rPr>
          <w:rFonts w:ascii="Arial" w:cs="Arial" w:eastAsia="Arial" w:hAnsi="Arial"/>
          <w:b/>
          <w:bCs/>
          <w:color w:val="1565C0"/>
          <w:sz w:val="24"/>
          <w:szCs w:val="24"/>
        </w:rPr>
        <w:t xml:space="preserve">Supply Chain Partners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Adani Solar Ltd.</w:t>
            </w:r>
          </w:p>
          <w:p>
            <w:pPr>
              <w:spacing w:after="80" w:before="0"/>
            </w:pPr>
            <w:r>
              <w:rPr>
                <w:rFonts w:ascii="Arial" w:cs="Arial" w:eastAsia="Arial" w:hAnsi="Arial"/>
                <w:b/>
                <w:bCs/>
                <w:color w:val="F57C00"/>
                <w:sz w:val="20"/>
                <w:szCs w:val="20"/>
              </w:rPr>
              <w:t xml:space="preserve">Solar Modules Supplier</w:t>
            </w:r>
          </w:p>
          <w:p>
            <w:pPr>
              <w:spacing w:after="0" w:before="0"/>
              <w:jc w:val="both"/>
            </w:pPr>
            <w:r>
              <w:rPr>
                <w:rFonts w:ascii="Arial" w:cs="Arial" w:eastAsia="Arial" w:hAnsi="Arial"/>
                <w:color w:val="546E7A"/>
                <w:sz w:val="19"/>
                <w:szCs w:val="19"/>
              </w:rPr>
              <w:t xml:space="preserve">A prominent supplier of solar modules and energy solutions, part of India's largest conglomerate — the Adani Group. Adani Solar brings extensive experience and resources in energy, infrastructure, and agribusiness.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Polycab Cables</w:t>
            </w:r>
          </w:p>
          <w:p>
            <w:pPr>
              <w:spacing w:after="80" w:before="0"/>
            </w:pPr>
            <w:r>
              <w:rPr>
                <w:rFonts w:ascii="Arial" w:cs="Arial" w:eastAsia="Arial" w:hAnsi="Arial"/>
                <w:b/>
                <w:bCs/>
                <w:color w:val="F57C00"/>
                <w:sz w:val="20"/>
                <w:szCs w:val="20"/>
              </w:rPr>
              <w:t xml:space="preserve">Electrical Cables Supplier</w:t>
            </w:r>
          </w:p>
          <w:p>
            <w:pPr>
              <w:spacing w:after="0" w:before="0"/>
              <w:jc w:val="both"/>
            </w:pPr>
            <w:r>
              <w:rPr>
                <w:rFonts w:ascii="Arial" w:cs="Arial" w:eastAsia="Arial" w:hAnsi="Arial"/>
                <w:color w:val="546E7A"/>
                <w:sz w:val="19"/>
                <w:szCs w:val="19"/>
              </w:rPr>
              <w:t xml:space="preserve">A well-known Indian manufacturer of electrical cables and wires, including solar cables specifically designed for photovoltaic (PV) systems. Known for quality and reliability in the industry.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Growatt &amp; K Solare</w:t>
            </w:r>
          </w:p>
          <w:p>
            <w:pPr>
              <w:spacing w:after="80" w:before="0"/>
            </w:pPr>
            <w:r>
              <w:rPr>
                <w:rFonts w:ascii="Arial" w:cs="Arial" w:eastAsia="Arial" w:hAnsi="Arial"/>
                <w:b/>
                <w:bCs/>
                <w:color w:val="F57C00"/>
                <w:sz w:val="20"/>
                <w:szCs w:val="20"/>
              </w:rPr>
              <w:t xml:space="preserve">Inverter Suppliers</w:t>
            </w:r>
          </w:p>
          <w:p>
            <w:pPr>
              <w:spacing w:after="0" w:before="0"/>
              <w:jc w:val="both"/>
            </w:pPr>
            <w:r>
              <w:rPr>
                <w:rFonts w:ascii="Arial" w:cs="Arial" w:eastAsia="Arial" w:hAnsi="Arial"/>
                <w:color w:val="546E7A"/>
                <w:sz w:val="19"/>
                <w:szCs w:val="19"/>
              </w:rPr>
              <w:t xml:space="preserve">Both companies deliver excellent inverter solutions with strong warranty terms and customer service. Selected for their reliability, efficiency, and compatibility with our solar panel configurations.</w:t>
            </w:r>
          </w:p>
        </w:tc>
      </w:tr>
    </w:tbl>
    <w:p>
      <w:pPr>
        <w:spacing w:after="0" w:before="200"/>
      </w:pPr>
      <w:r>
        <w:t xml:space="preserve"/>
      </w:r>
    </w:p>
    <w:p>
      <w:pPr>
        <w:pStyle w:val="Heading2"/>
        <w:spacing w:after="140" w:before="280"/>
      </w:pPr>
      <w:r>
        <w:rPr>
          <w:rFonts w:ascii="Arial" w:cs="Arial" w:eastAsia="Arial" w:hAnsi="Arial"/>
          <w:b/>
          <w:bCs/>
          <w:color w:val="1565C0"/>
          <w:sz w:val="24"/>
          <w:szCs w:val="24"/>
        </w:rPr>
        <w:t xml:space="preserve">Technology Roadmap</w:t>
      </w:r>
    </w:p>
    <w:p>
      <w:pPr>
        <w:spacing w:after="80" w:before="80" w:line="320"/>
        <w:jc w:val="both"/>
      </w:pPr>
      <w:r>
        <w:rPr>
          <w:rFonts w:ascii="Arial" w:cs="Arial" w:eastAsia="Arial" w:hAnsi="Arial"/>
          <w:color w:val="212121"/>
          <w:sz w:val="20"/>
          <w:szCs w:val="20"/>
        </w:rPr>
        <w:t xml:space="preserve">As we are at an initial stage of business, our technology investments are calibrated to available resources. Our current operations focus on delivering high-quality assembly while establishing strong market presence.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237E"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Phase 1 (Current)</w:t>
            </w:r>
          </w:p>
        </w:tc>
        <w:tc>
          <w:tcPr>
            <w:tcW w:type="dxa" w:w="71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jc w:val="both"/>
            </w:pPr>
            <w:r>
              <w:rPr>
                <w:rFonts w:ascii="Arial" w:cs="Arial" w:eastAsia="Arial" w:hAnsi="Arial"/>
                <w:color w:val="212121"/>
                <w:sz w:val="18"/>
                <w:szCs w:val="18"/>
              </w:rPr>
              <w:t xml:space="preserve">Standard solar panel assembly at Sapar facility. Full product range covering residential through industrial sectors.</w:t>
            </w:r>
          </w:p>
        </w:tc>
      </w:tr>
      <w:tr>
        <w:tc>
          <w:tcPr>
            <w:tcW w:type="dxa" w:w="2200"/>
            <w:tcBorders>
              <w:top w:val="single" w:color="DDDDDD" w:sz="1"/>
              <w:left w:val="single" w:color="DDDDDD" w:sz="1"/>
              <w:bottom w:val="single" w:color="DDDDDD" w:sz="1"/>
              <w:right w:val="single" w:color="DDDDDD" w:sz="1"/>
            </w:tcBorders>
            <w:shd w:fill="1565C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Phase 2 (Near Future)</w:t>
            </w:r>
          </w:p>
        </w:tc>
        <w:tc>
          <w:tcPr>
            <w:tcW w:type="dxa" w:w="7160"/>
            <w:tcBorders>
              <w:top w:val="single" w:color="DDDDDD" w:sz="1"/>
              <w:left w:val="single" w:color="DDDDDD" w:sz="1"/>
              <w:bottom w:val="single" w:color="DDDDDD" w:sz="1"/>
              <w:right w:val="single" w:color="DDDDDD" w:sz="1"/>
            </w:tcBorders>
            <w:shd w:fill="FFFFFF" w:val="clear"/>
            <w:tcMar>
              <w:top w:type="dxa" w:w="140"/>
              <w:left w:type="dxa" w:w="200"/>
              <w:bottom w:type="dxa" w:w="140"/>
              <w:right w:type="dxa" w:w="160"/>
            </w:tcMar>
          </w:tcPr>
          <w:p>
            <w:pPr>
              <w:jc w:val="both"/>
            </w:pPr>
            <w:r>
              <w:rPr>
                <w:rFonts w:ascii="Arial" w:cs="Arial" w:eastAsia="Arial" w:hAnsi="Arial"/>
                <w:color w:val="212121"/>
                <w:sz w:val="18"/>
                <w:szCs w:val="18"/>
              </w:rPr>
              <w:t xml:space="preserve">Introduction of two-sided cabled solar panels — a dual-cable design that generates double the power from a single panel, reducing installation space by 50%.</w:t>
            </w:r>
          </w:p>
        </w:tc>
      </w:tr>
      <w:tr>
        <w:tc>
          <w:tcPr>
            <w:tcW w:type="dxa" w:w="2200"/>
            <w:tcBorders>
              <w:top w:val="single" w:color="DDDDDD" w:sz="1"/>
              <w:left w:val="single" w:color="DDDDDD" w:sz="1"/>
              <w:bottom w:val="single" w:color="DDDDDD" w:sz="1"/>
              <w:right w:val="single" w:color="DDDDDD" w:sz="1"/>
            </w:tcBorders>
            <w:shd w:fill="F57C0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Phase 3 (4-Year Plan)</w:t>
            </w:r>
          </w:p>
        </w:tc>
        <w:tc>
          <w:tcPr>
            <w:tcW w:type="dxa" w:w="71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160"/>
            </w:tcMar>
          </w:tcPr>
          <w:p>
            <w:pPr>
              <w:jc w:val="both"/>
            </w:pPr>
            <w:r>
              <w:rPr>
                <w:rFonts w:ascii="Arial" w:cs="Arial" w:eastAsia="Arial" w:hAnsi="Arial"/>
                <w:color w:val="212121"/>
                <w:sz w:val="18"/>
                <w:szCs w:val="18"/>
              </w:rPr>
              <w:t xml:space="preserve">Strategic tie-ups with government associations focused on rural electrification and development of free-of-cost electricity programs for underserved communities.</w:t>
            </w:r>
          </w:p>
        </w:tc>
      </w:tr>
    </w:tbl>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Company</w:t>
      </w:r>
    </w:p>
    <w:p>
      <w:pPr>
        <w:pStyle w:val="Heading2"/>
        <w:spacing w:after="140" w:before="280"/>
      </w:pPr>
      <w:r>
        <w:rPr>
          <w:rFonts w:ascii="Arial" w:cs="Arial" w:eastAsia="Arial" w:hAnsi="Arial"/>
          <w:b/>
          <w:bCs/>
          <w:color w:val="1565C0"/>
          <w:sz w:val="24"/>
          <w:szCs w:val="24"/>
        </w:rPr>
        <w:t xml:space="preserve">Overview</w:t>
      </w:r>
    </w:p>
    <w:p>
      <w:pPr>
        <w:spacing w:after="80" w:before="80" w:line="320"/>
        <w:jc w:val="both"/>
      </w:pPr>
      <w:r>
        <w:rPr>
          <w:rFonts w:ascii="Arial" w:cs="Arial" w:eastAsia="Arial" w:hAnsi="Arial"/>
          <w:color w:val="212121"/>
          <w:sz w:val="20"/>
          <w:szCs w:val="20"/>
        </w:rPr>
        <w:t xml:space="preserve">Dharm Solar is a Limited Liability Partnership (LLP) — a business structure that combines the features of a partnership and a corporation, offering limited liability protection to its partners while allowing direct management. Partners are not personally liable for the debts or liabilities of the LLP beyond their agreed-upon contribution, except in cases of fraud or misconduct.</w:t>
      </w:r>
    </w:p>
    <w:p>
      <w:pPr>
        <w:spacing w:after="0" w:before="200"/>
      </w:pPr>
      <w:r>
        <w:t xml:space="preserve"/>
      </w:r>
    </w:p>
    <w:p>
      <w:pPr>
        <w:pStyle w:val="Heading2"/>
        <w:spacing w:after="140" w:before="280"/>
      </w:pPr>
      <w:r>
        <w:rPr>
          <w:rFonts w:ascii="Arial" w:cs="Arial" w:eastAsia="Arial" w:hAnsi="Arial"/>
          <w:b/>
          <w:bCs/>
          <w:color w:val="1565C0"/>
          <w:sz w:val="24"/>
          <w:szCs w:val="24"/>
        </w:rPr>
        <w:t xml:space="preserve">Ownership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360"/>
        <w:gridCol w:w="2400"/>
      </w:tblGrid>
      <w:tr>
        <w:tc>
          <w:tcPr>
            <w:tcW w:type="dxa" w:w="4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w:t>
            </w:r>
          </w:p>
        </w:tc>
        <w:tc>
          <w:tcPr>
            <w:tcW w:type="dxa" w:w="42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Partner</w:t>
            </w:r>
          </w:p>
        </w:tc>
        <w:tc>
          <w:tcPr>
            <w:tcW w:type="dxa" w:w="236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Equity Share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46E7A"/>
                <w:sz w:val="18"/>
                <w:szCs w:val="18"/>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Hemang Joshi</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46E7A"/>
                <w:sz w:val="18"/>
                <w:szCs w:val="18"/>
              </w:rPr>
              <w:t xml:space="preserve">CEO (Chief Executive Officer)</w:t>
            </w:r>
          </w:p>
        </w:tc>
        <w:tc>
          <w:tcPr>
            <w:tcW w:type="dxa" w:w="2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F57C00"/>
                <w:sz w:val="18"/>
                <w:szCs w:val="18"/>
              </w:rPr>
              <w:t xml:space="preserve">40%</w:t>
            </w:r>
          </w:p>
        </w:tc>
      </w:tr>
      <w:tr>
        <w:tc>
          <w:tcPr>
            <w:tcW w:type="dxa" w:w="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color w:val="546E7A"/>
                <w:sz w:val="18"/>
                <w:szCs w:val="18"/>
              </w:rPr>
              <w:t xml:space="preserve">2</w:t>
            </w:r>
          </w:p>
        </w:tc>
        <w:tc>
          <w:tcPr>
            <w:tcW w:type="dxa" w:w="4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b/>
                <w:bCs/>
                <w:color w:val="1A237E"/>
                <w:sz w:val="18"/>
                <w:szCs w:val="18"/>
              </w:rPr>
              <w:t xml:space="preserve">Abhay Kaneriya</w:t>
            </w:r>
          </w:p>
        </w:tc>
        <w:tc>
          <w:tcPr>
            <w:tcW w:type="dxa" w:w="23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color w:val="546E7A"/>
                <w:sz w:val="18"/>
                <w:szCs w:val="18"/>
              </w:rPr>
              <w:t xml:space="preserve">CFO (Chief Financial Officer)</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bCs/>
                <w:color w:val="F57C00"/>
                <w:sz w:val="18"/>
                <w:szCs w:val="18"/>
              </w:rPr>
              <w:t xml:space="preserve">19%</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46E7A"/>
                <w:sz w:val="18"/>
                <w:szCs w:val="18"/>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Manan Savaliya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46E7A"/>
                <w:sz w:val="18"/>
                <w:szCs w:val="18"/>
              </w:rPr>
              <w:t xml:space="preserve">Partner</w:t>
            </w:r>
          </w:p>
        </w:tc>
        <w:tc>
          <w:tcPr>
            <w:tcW w:type="dxa" w:w="2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F57C00"/>
                <w:sz w:val="18"/>
                <w:szCs w:val="18"/>
              </w:rPr>
              <w:t xml:space="preserve">15%</w:t>
            </w:r>
          </w:p>
        </w:tc>
      </w:tr>
      <w:tr>
        <w:tc>
          <w:tcPr>
            <w:tcW w:type="dxa" w:w="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color w:val="546E7A"/>
                <w:sz w:val="18"/>
                <w:szCs w:val="18"/>
              </w:rPr>
              <w:t xml:space="preserve">4</w:t>
            </w:r>
          </w:p>
        </w:tc>
        <w:tc>
          <w:tcPr>
            <w:tcW w:type="dxa" w:w="4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b/>
                <w:bCs/>
                <w:color w:val="1A237E"/>
                <w:sz w:val="18"/>
                <w:szCs w:val="18"/>
              </w:rPr>
              <w:t xml:space="preserve">Harsh Vanpariya</w:t>
            </w:r>
          </w:p>
        </w:tc>
        <w:tc>
          <w:tcPr>
            <w:tcW w:type="dxa" w:w="23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color w:val="546E7A"/>
                <w:sz w:val="18"/>
                <w:szCs w:val="18"/>
              </w:rPr>
              <w:t xml:space="preserve">CHRO (Chief Human Resources Officer)</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bCs/>
                <w:color w:val="F57C00"/>
                <w:sz w:val="18"/>
                <w:szCs w:val="18"/>
              </w:rPr>
              <w:t xml:space="preserve">14%</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46E7A"/>
                <w:sz w:val="18"/>
                <w:szCs w:val="18"/>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Harshil Vanpariya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46E7A"/>
                <w:sz w:val="18"/>
                <w:szCs w:val="18"/>
              </w:rPr>
              <w:t xml:space="preserve">CMO (Chief Marketing Officer)</w:t>
            </w:r>
          </w:p>
        </w:tc>
        <w:tc>
          <w:tcPr>
            <w:tcW w:type="dxa" w:w="2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pPr>
              <w:jc w:val="center"/>
            </w:pPr>
            <w:r>
              <w:rPr>
                <w:rFonts w:ascii="Arial" w:cs="Arial" w:eastAsia="Arial" w:hAnsi="Arial"/>
                <w:b/>
                <w:bCs/>
                <w:color w:val="F57C00"/>
                <w:sz w:val="18"/>
                <w:szCs w:val="18"/>
              </w:rPr>
              <w:t xml:space="preserve">12%</w:t>
            </w:r>
          </w:p>
        </w:tc>
      </w:tr>
    </w:tbl>
    <w:p>
      <w:pPr>
        <w:spacing w:after="0" w:before="300"/>
      </w:pPr>
      <w:r>
        <w:t xml:space="preserve"/>
      </w:r>
    </w:p>
    <w:p>
      <w:pPr>
        <w:pStyle w:val="Heading2"/>
        <w:spacing w:after="140" w:before="280"/>
      </w:pPr>
      <w:r>
        <w:rPr>
          <w:rFonts w:ascii="Arial" w:cs="Arial" w:eastAsia="Arial" w:hAnsi="Arial"/>
          <w:b/>
          <w:bCs/>
          <w:color w:val="1565C0"/>
          <w:sz w:val="24"/>
          <w:szCs w:val="24"/>
        </w:rPr>
        <w:t xml:space="preserve">Management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Hemang Joshi</w:t>
            </w:r>
          </w:p>
          <w:p>
            <w:pPr>
              <w:spacing w:after="80" w:before="0"/>
            </w:pPr>
            <w:r>
              <w:rPr>
                <w:rFonts w:ascii="Arial" w:cs="Arial" w:eastAsia="Arial" w:hAnsi="Arial"/>
                <w:b/>
                <w:bCs/>
                <w:color w:val="F57C00"/>
                <w:sz w:val="20"/>
                <w:szCs w:val="20"/>
              </w:rPr>
              <w:t xml:space="preserve">Chief Executive Officer (CEO) — 40% Equity</w:t>
            </w:r>
          </w:p>
          <w:p>
            <w:pPr>
              <w:spacing w:after="0" w:before="0"/>
              <w:jc w:val="both"/>
            </w:pPr>
            <w:r>
              <w:rPr>
                <w:rFonts w:ascii="Arial" w:cs="Arial" w:eastAsia="Arial" w:hAnsi="Arial"/>
                <w:color w:val="546E7A"/>
                <w:sz w:val="19"/>
                <w:szCs w:val="19"/>
              </w:rPr>
              <w:t xml:space="preserve">Hemang stands at the helm of Dharm Solar as CEO, bringing a wealth of knowledge in the renewable energy sector. He holds an MBA from IIM Bangalore and has furthered his expertise with a renewable energy course at Brown University. His strategic acumen and leadership drive the company's mission to innovate and grow in the clean energy space.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Abhay Kaneriya</w:t>
            </w:r>
          </w:p>
          <w:p>
            <w:pPr>
              <w:spacing w:after="80" w:before="0"/>
            </w:pPr>
            <w:r>
              <w:rPr>
                <w:rFonts w:ascii="Arial" w:cs="Arial" w:eastAsia="Arial" w:hAnsi="Arial"/>
                <w:b/>
                <w:bCs/>
                <w:color w:val="F57C00"/>
                <w:sz w:val="20"/>
                <w:szCs w:val="20"/>
              </w:rPr>
              <w:t xml:space="preserve">Chief Financial Officer (CFO) — 19% Equity</w:t>
            </w:r>
          </w:p>
          <w:p>
            <w:pPr>
              <w:spacing w:after="0" w:before="0"/>
              <w:jc w:val="both"/>
            </w:pPr>
            <w:r>
              <w:rPr>
                <w:rFonts w:ascii="Arial" w:cs="Arial" w:eastAsia="Arial" w:hAnsi="Arial"/>
                <w:color w:val="546E7A"/>
                <w:sz w:val="19"/>
                <w:szCs w:val="19"/>
              </w:rPr>
              <w:t xml:space="preserve">A qualified Indian Chartered Accountant, Abhay brings deep expertise in financial management and legal compliance. His proficiency in accounting principles, financial reporting, and risk management ensures fiscal health and sound strategic guidance. His analytical mindset enables effective resource allocation and drives long-term profitability.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Diya Rachchh</w:t>
            </w:r>
          </w:p>
          <w:p>
            <w:pPr>
              <w:spacing w:after="80" w:before="0"/>
            </w:pPr>
            <w:r>
              <w:rPr>
                <w:rFonts w:ascii="Arial" w:cs="Arial" w:eastAsia="Arial" w:hAnsi="Arial"/>
                <w:b/>
                <w:bCs/>
                <w:color w:val="F57C00"/>
                <w:sz w:val="20"/>
                <w:szCs w:val="20"/>
              </w:rPr>
              <w:t xml:space="preserve">Chief Technology Officer (CTO)</w:t>
            </w:r>
          </w:p>
          <w:p>
            <w:pPr>
              <w:spacing w:after="0" w:before="0"/>
              <w:jc w:val="both"/>
            </w:pPr>
            <w:r>
              <w:rPr>
                <w:rFonts w:ascii="Arial" w:cs="Arial" w:eastAsia="Arial" w:hAnsi="Arial"/>
                <w:color w:val="546E7A"/>
                <w:sz w:val="19"/>
                <w:szCs w:val="19"/>
              </w:rPr>
              <w:t xml:space="preserve">Holding a Master's in Computer Applications (MCA), Diya brings dynamic expertise in technology and innovation. Her deep understanding of software development, system architecture, and emerging technologies positions her as the driving force behind Dharm Solar's digital transformation and technological leadership.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Harsh Vanpariya</w:t>
            </w:r>
          </w:p>
          <w:p>
            <w:pPr>
              <w:spacing w:after="80" w:before="0"/>
            </w:pPr>
            <w:r>
              <w:rPr>
                <w:rFonts w:ascii="Arial" w:cs="Arial" w:eastAsia="Arial" w:hAnsi="Arial"/>
                <w:b/>
                <w:bCs/>
                <w:color w:val="F57C00"/>
                <w:sz w:val="20"/>
                <w:szCs w:val="20"/>
              </w:rPr>
              <w:t xml:space="preserve">Chief Human Resources Officer (CHRO) — 14% Equity</w:t>
            </w:r>
          </w:p>
          <w:p>
            <w:pPr>
              <w:spacing w:after="0" w:before="0"/>
              <w:jc w:val="both"/>
            </w:pPr>
            <w:r>
              <w:rPr>
                <w:rFonts w:ascii="Arial" w:cs="Arial" w:eastAsia="Arial" w:hAnsi="Arial"/>
                <w:color w:val="546E7A"/>
                <w:sz w:val="19"/>
                <w:szCs w:val="19"/>
              </w:rPr>
              <w:t xml:space="preserve">With a background in Human Resource Management, Harsh is a catalyst for organizational excellence. His commitment to training and development, combined with a holistic approach encompassing technical skills, leadership development, and emotional intelligence, ensures a well-rounded and empowered workforce.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Harshil Vanpariya</w:t>
            </w:r>
          </w:p>
          <w:p>
            <w:pPr>
              <w:spacing w:after="80" w:before="0"/>
            </w:pPr>
            <w:r>
              <w:rPr>
                <w:rFonts w:ascii="Arial" w:cs="Arial" w:eastAsia="Arial" w:hAnsi="Arial"/>
                <w:b/>
                <w:bCs/>
                <w:color w:val="F57C00"/>
                <w:sz w:val="20"/>
                <w:szCs w:val="20"/>
              </w:rPr>
              <w:t xml:space="preserve">Chief Marketing Officer (CMO) — 12% Equity</w:t>
            </w:r>
          </w:p>
          <w:p>
            <w:pPr>
              <w:spacing w:after="0" w:before="0"/>
              <w:jc w:val="both"/>
            </w:pPr>
            <w:r>
              <w:rPr>
                <w:rFonts w:ascii="Arial" w:cs="Arial" w:eastAsia="Arial" w:hAnsi="Arial"/>
                <w:color w:val="546E7A"/>
                <w:sz w:val="19"/>
                <w:szCs w:val="19"/>
              </w:rPr>
              <w:t xml:space="preserve">An MBA graduate from FMS Delhi, Harshil brings comprehensive expertise in marketing strategy and consumer behaviour. His hands-on experience with real market dynamics and competitive landscapes enables targeted campaigns that drive engagement and long-term customer relationships. A key driver of Dharm Solar's brand identity.</w:t>
            </w:r>
          </w:p>
        </w:tc>
      </w:tr>
    </w:tbl>
    <w:p>
      <w:pPr>
        <w:spacing w:after="0" w:before="200"/>
      </w:pPr>
      <w:r>
        <w:t xml:space="preserve"/>
      </w:r>
    </w:p>
    <w:p>
      <w:pPr>
        <w:pStyle w:val="Heading2"/>
        <w:spacing w:after="140" w:before="280"/>
      </w:pPr>
      <w:r>
        <w:rPr>
          <w:rFonts w:ascii="Arial" w:cs="Arial" w:eastAsia="Arial" w:hAnsi="Arial"/>
          <w:b/>
          <w:bCs/>
          <w:color w:val="1565C0"/>
          <w:sz w:val="24"/>
          <w:szCs w:val="24"/>
        </w:rPr>
        <w:t xml:space="preserve">Advisors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Mr. Paras Rughani</w:t>
            </w:r>
          </w:p>
          <w:p>
            <w:pPr>
              <w:spacing w:after="80" w:before="0"/>
            </w:pPr>
            <w:r>
              <w:rPr>
                <w:rFonts w:ascii="Arial" w:cs="Arial" w:eastAsia="Arial" w:hAnsi="Arial"/>
                <w:b/>
                <w:bCs/>
                <w:color w:val="F57C00"/>
                <w:sz w:val="20"/>
                <w:szCs w:val="20"/>
              </w:rPr>
              <w:t xml:space="preserve">Marketing Advisor</w:t>
            </w:r>
          </w:p>
          <w:p>
            <w:pPr>
              <w:spacing w:after="0" w:before="0"/>
              <w:jc w:val="both"/>
            </w:pPr>
            <w:r>
              <w:rPr>
                <w:rFonts w:ascii="Arial" w:cs="Arial" w:eastAsia="Arial" w:hAnsi="Arial"/>
                <w:color w:val="546E7A"/>
                <w:sz w:val="19"/>
                <w:szCs w:val="19"/>
              </w:rPr>
              <w:t xml:space="preserve">Well-known marketing professional with deep insights into real market dynamics. Also serves as Head of Department and senior faculty at Marwadi University, Gujarat, bringing academic rigour and practical industry experience.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Mr. Devang Patel</w:t>
            </w:r>
          </w:p>
          <w:p>
            <w:pPr>
              <w:spacing w:after="80" w:before="0"/>
            </w:pPr>
            <w:r>
              <w:rPr>
                <w:rFonts w:ascii="Arial" w:cs="Arial" w:eastAsia="Arial" w:hAnsi="Arial"/>
                <w:b/>
                <w:bCs/>
                <w:color w:val="F57C00"/>
                <w:sz w:val="20"/>
                <w:szCs w:val="20"/>
              </w:rPr>
              <w:t xml:space="preserve">Business Consultant</w:t>
            </w:r>
          </w:p>
          <w:p>
            <w:pPr>
              <w:spacing w:after="0" w:before="0"/>
              <w:jc w:val="both"/>
            </w:pPr>
            <w:r>
              <w:rPr>
                <w:rFonts w:ascii="Arial" w:cs="Arial" w:eastAsia="Arial" w:hAnsi="Arial"/>
                <w:color w:val="546E7A"/>
                <w:sz w:val="19"/>
                <w:szCs w:val="19"/>
              </w:rPr>
              <w:t xml:space="preserve">Highly experienced business consultant trained across multiple IIMs. Holds profound knowledge of legal and theoretical business aspects, providing invaluable guidance on market strategy and organizational structure.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7C00" w:val="clear"/>
            <w:tcMar>
              <w:top w:type="dxa" w:w="0"/>
              <w:left w:type="dxa" w:w="0"/>
              <w:bottom w:type="dxa" w:w="0"/>
              <w:right w:type="dxa" w:w="0"/>
            </w:tcMar>
            <w:vAlign w:val="center"/>
          </w:tcPr>
          <w:p>
            <w:r>
              <w:t xml:space="preserve"/>
            </w:r>
          </w:p>
        </w:tc>
        <w:tc>
          <w:tcPr>
            <w:tcW w:type="dxa" w:w="9080"/>
            <w:tcBorders>
              <w:top w:val="single" w:color="DDDDDD" w:sz="1"/>
              <w:left w:val="none" w:color="FFFFFF" w:sz="0"/>
              <w:bottom w:val="single" w:color="DDDDDD" w:sz="1"/>
              <w:right w:val="single" w:color="DDDDDD" w:sz="1"/>
            </w:tcBorders>
            <w:shd w:fill="FFFFFF" w:val="clear"/>
            <w:tcMar>
              <w:top w:type="dxa" w:w="140"/>
              <w:left w:type="dxa" w:w="240"/>
              <w:bottom w:type="dxa" w:w="140"/>
              <w:right w:type="dxa" w:w="240"/>
            </w:tcMar>
          </w:tcPr>
          <w:p>
            <w:pPr>
              <w:spacing w:after="60" w:before="0"/>
            </w:pPr>
            <w:r>
              <w:rPr>
                <w:rFonts w:ascii="Arial" w:cs="Arial" w:eastAsia="Arial" w:hAnsi="Arial"/>
                <w:b/>
                <w:bCs/>
                <w:color w:val="1A237E"/>
                <w:sz w:val="24"/>
                <w:szCs w:val="24"/>
              </w:rPr>
              <w:t xml:space="preserve">CA Rajendra Raval</w:t>
            </w:r>
          </w:p>
          <w:p>
            <w:pPr>
              <w:spacing w:after="80" w:before="0"/>
            </w:pPr>
            <w:r>
              <w:rPr>
                <w:rFonts w:ascii="Arial" w:cs="Arial" w:eastAsia="Arial" w:hAnsi="Arial"/>
                <w:b/>
                <w:bCs/>
                <w:color w:val="F57C00"/>
                <w:sz w:val="20"/>
                <w:szCs w:val="20"/>
              </w:rPr>
              <w:t xml:space="preserve">Financial &amp; Tax Advisor</w:t>
            </w:r>
          </w:p>
          <w:p>
            <w:pPr>
              <w:spacing w:after="0" w:before="0"/>
              <w:jc w:val="both"/>
            </w:pPr>
            <w:r>
              <w:rPr>
                <w:rFonts w:ascii="Arial" w:cs="Arial" w:eastAsia="Arial" w:hAnsi="Arial"/>
                <w:color w:val="546E7A"/>
                <w:sz w:val="19"/>
                <w:szCs w:val="19"/>
              </w:rPr>
              <w:t xml:space="preserve">A highly qualified financial guide with expertise in legal and financial advisory, tax planning, and company policy formulation. Instrumental in establishing optimal financial strategies at minimum cost and lowest tax exposure.</w:t>
            </w:r>
          </w:p>
        </w:tc>
      </w:tr>
    </w:tbl>
    <w:p>
      <w:r>
        <w:br w:type="page"/>
      </w:r>
    </w:p>
    <w:p>
      <w:pPr>
        <w:pStyle w:val="Heading1"/>
        <w:pBdr>
          <w:bottom w:val="single" w:color="F57C00" w:sz="4" w:space="6"/>
        </w:pBdr>
        <w:spacing w:after="200" w:before="400"/>
      </w:pPr>
      <w:r>
        <w:rPr>
          <w:rFonts w:ascii="Arial" w:cs="Arial" w:eastAsia="Arial" w:hAnsi="Arial"/>
          <w:b/>
          <w:bCs/>
          <w:color w:val="1A237E"/>
          <w:sz w:val="30"/>
          <w:szCs w:val="30"/>
        </w:rPr>
        <w:t xml:space="preserve">Financial Plan</w:t>
      </w:r>
    </w:p>
    <w:p>
      <w:pPr>
        <w:pStyle w:val="Heading2"/>
        <w:spacing w:after="140" w:before="280"/>
      </w:pPr>
      <w:r>
        <w:rPr>
          <w:rFonts w:ascii="Arial" w:cs="Arial" w:eastAsia="Arial" w:hAnsi="Arial"/>
          <w:b/>
          <w:bCs/>
          <w:color w:val="1565C0"/>
          <w:sz w:val="24"/>
          <w:szCs w:val="24"/>
        </w:rPr>
        <w:t xml:space="preserve">Key Assumptions</w:t>
      </w:r>
    </w:p>
    <w:p>
      <w:pPr>
        <w:spacing w:after="80" w:before="80" w:line="320"/>
        <w:jc w:val="both"/>
      </w:pPr>
      <w:r>
        <w:rPr>
          <w:rFonts w:ascii="Arial" w:cs="Arial" w:eastAsia="Arial" w:hAnsi="Arial"/>
          <w:color w:val="212121"/>
          <w:sz w:val="20"/>
          <w:szCs w:val="20"/>
        </w:rPr>
        <w:t xml:space="preserve">Our financial targets are designed to ensure sustainable growth and profitability while delivering maximum value to customers. Revenue targets for the three-year period reflect a realistic growth trajectory based on market conditions and operational capacity: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237E" w:val="clear"/>
            <w:tcMar>
              <w:top w:type="dxa" w:w="200"/>
              <w:left w:type="dxa" w:w="200"/>
              <w:bottom w:type="dxa" w:w="200"/>
              <w:right w:type="dxa" w:w="200"/>
            </w:tcMar>
          </w:tcPr>
          <w:p>
            <w:pPr>
              <w:spacing w:after="80" w:before="0"/>
              <w:jc w:val="center"/>
            </w:pPr>
            <w:r>
              <w:rPr>
                <w:rFonts w:ascii="Arial" w:cs="Arial" w:eastAsia="Arial" w:hAnsi="Arial"/>
                <w:b/>
                <w:bCs/>
                <w:color w:val="FFFFFF"/>
                <w:sz w:val="20"/>
                <w:szCs w:val="20"/>
              </w:rPr>
              <w:t xml:space="preserve">FY 2024–25</w:t>
            </w:r>
          </w:p>
          <w:p>
            <w:pPr>
              <w:jc w:val="center"/>
            </w:pPr>
            <w:r>
              <w:rPr>
                <w:rFonts w:ascii="Arial" w:cs="Arial" w:eastAsia="Arial" w:hAnsi="Arial"/>
                <w:b/>
                <w:bCs/>
                <w:color w:val="FFC107"/>
                <w:sz w:val="36"/>
                <w:szCs w:val="36"/>
              </w:rPr>
              <w:t xml:space="preserve">₹80 Crore</w:t>
            </w:r>
          </w:p>
          <w:p>
            <w:pPr>
              <w:jc w:val="center"/>
            </w:pPr>
            <w:r>
              <w:rPr>
                <w:rFonts w:ascii="Arial" w:cs="Arial" w:eastAsia="Arial" w:hAnsi="Arial"/>
                <w:color w:val="FFFFFF"/>
                <w:sz w:val="16"/>
                <w:szCs w:val="16"/>
              </w:rPr>
              <w:t xml:space="preserve">TARGET REVENUE</w:t>
            </w:r>
          </w:p>
        </w:tc>
        <w:tc>
          <w:tcPr>
            <w:tcW w:type="dxa" w:w="3120"/>
            <w:tcBorders>
              <w:top w:val="single" w:color="DDDDDD" w:sz="1"/>
              <w:left w:val="single" w:color="DDDDDD" w:sz="1"/>
              <w:bottom w:val="single" w:color="DDDDDD" w:sz="1"/>
              <w:right w:val="single" w:color="DDDDDD" w:sz="1"/>
            </w:tcBorders>
            <w:shd w:fill="1565C0" w:val="clear"/>
            <w:tcMar>
              <w:top w:type="dxa" w:w="200"/>
              <w:left w:type="dxa" w:w="200"/>
              <w:bottom w:type="dxa" w:w="200"/>
              <w:right w:type="dxa" w:w="200"/>
            </w:tcMar>
          </w:tcPr>
          <w:p>
            <w:pPr>
              <w:spacing w:after="80" w:before="0"/>
              <w:jc w:val="center"/>
            </w:pPr>
            <w:r>
              <w:rPr>
                <w:rFonts w:ascii="Arial" w:cs="Arial" w:eastAsia="Arial" w:hAnsi="Arial"/>
                <w:b/>
                <w:bCs/>
                <w:color w:val="FFFFFF"/>
                <w:sz w:val="20"/>
                <w:szCs w:val="20"/>
              </w:rPr>
              <w:t xml:space="preserve">FY 2025–26</w:t>
            </w:r>
          </w:p>
          <w:p>
            <w:pPr>
              <w:jc w:val="center"/>
            </w:pPr>
            <w:r>
              <w:rPr>
                <w:rFonts w:ascii="Arial" w:cs="Arial" w:eastAsia="Arial" w:hAnsi="Arial"/>
                <w:b/>
                <w:bCs/>
                <w:color w:val="FFC107"/>
                <w:sz w:val="36"/>
                <w:szCs w:val="36"/>
              </w:rPr>
              <w:t xml:space="preserve">₹96 Crore</w:t>
            </w:r>
          </w:p>
          <w:p>
            <w:pPr>
              <w:jc w:val="center"/>
            </w:pPr>
            <w:r>
              <w:rPr>
                <w:rFonts w:ascii="Arial" w:cs="Arial" w:eastAsia="Arial" w:hAnsi="Arial"/>
                <w:color w:val="FFFFFF"/>
                <w:sz w:val="16"/>
                <w:szCs w:val="16"/>
              </w:rPr>
              <w:t xml:space="preserve">TARGET REVENUE</w:t>
            </w:r>
          </w:p>
        </w:tc>
        <w:tc>
          <w:tcPr>
            <w:tcW w:type="dxa" w:w="3120"/>
            <w:tcBorders>
              <w:top w:val="single" w:color="DDDDDD" w:sz="1"/>
              <w:left w:val="single" w:color="DDDDDD" w:sz="1"/>
              <w:bottom w:val="single" w:color="DDDDDD" w:sz="1"/>
              <w:right w:val="single" w:color="DDDDDD" w:sz="1"/>
            </w:tcBorders>
            <w:shd w:fill="F57C00" w:val="clear"/>
            <w:tcMar>
              <w:top w:type="dxa" w:w="200"/>
              <w:left w:type="dxa" w:w="200"/>
              <w:bottom w:type="dxa" w:w="200"/>
              <w:right w:type="dxa" w:w="200"/>
            </w:tcMar>
          </w:tcPr>
          <w:p>
            <w:pPr>
              <w:spacing w:after="80" w:before="0"/>
              <w:jc w:val="center"/>
            </w:pPr>
            <w:r>
              <w:rPr>
                <w:rFonts w:ascii="Arial" w:cs="Arial" w:eastAsia="Arial" w:hAnsi="Arial"/>
                <w:b/>
                <w:bCs/>
                <w:color w:val="FFFFFF"/>
                <w:sz w:val="20"/>
                <w:szCs w:val="20"/>
              </w:rPr>
              <w:t xml:space="preserve">FY 2026–27</w:t>
            </w:r>
          </w:p>
          <w:p>
            <w:pPr>
              <w:jc w:val="center"/>
            </w:pPr>
            <w:r>
              <w:rPr>
                <w:rFonts w:ascii="Arial" w:cs="Arial" w:eastAsia="Arial" w:hAnsi="Arial"/>
                <w:b/>
                <w:bCs/>
                <w:color w:val="FFC107"/>
                <w:sz w:val="36"/>
                <w:szCs w:val="36"/>
              </w:rPr>
              <w:t xml:space="preserve">₹125 Crore</w:t>
            </w:r>
          </w:p>
          <w:p>
            <w:pPr>
              <w:jc w:val="center"/>
            </w:pPr>
            <w:r>
              <w:rPr>
                <w:rFonts w:ascii="Arial" w:cs="Arial" w:eastAsia="Arial" w:hAnsi="Arial"/>
                <w:color w:val="FFFFFF"/>
                <w:sz w:val="16"/>
                <w:szCs w:val="16"/>
              </w:rPr>
              <w:t xml:space="preserve">TARGET REVENUE</w:t>
            </w:r>
          </w:p>
        </w:tc>
      </w:tr>
    </w:tbl>
    <w:p>
      <w:pPr>
        <w:spacing w:after="0" w:before="300"/>
      </w:pPr>
      <w:r>
        <w:t xml:space="preserve"/>
      </w:r>
    </w:p>
    <w:p>
      <w:pPr>
        <w:pStyle w:val="Heading2"/>
        <w:spacing w:after="140" w:before="280"/>
      </w:pPr>
      <w:r>
        <w:rPr>
          <w:rFonts w:ascii="Arial" w:cs="Arial" w:eastAsia="Arial" w:hAnsi="Arial"/>
          <w:b/>
          <w:bCs/>
          <w:color w:val="1565C0"/>
          <w:sz w:val="24"/>
          <w:szCs w:val="24"/>
        </w:rPr>
        <w:t xml:space="preserve">Financing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1260"/>
        <w:gridCol w:w="2500"/>
      </w:tblGrid>
      <w:tr>
        <w:tc>
          <w:tcPr>
            <w:tcW w:type="dxa" w:w="6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Sr.</w:t>
            </w:r>
          </w:p>
        </w:tc>
        <w:tc>
          <w:tcPr>
            <w:tcW w:type="dxa" w:w="26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Nature of Funds</w:t>
            </w:r>
          </w:p>
        </w:tc>
        <w:tc>
          <w:tcPr>
            <w:tcW w:type="dxa" w:w="24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Contributed By</w:t>
            </w:r>
          </w:p>
        </w:tc>
        <w:tc>
          <w:tcPr>
            <w:tcW w:type="dxa" w:w="126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Share</w:t>
            </w:r>
          </w:p>
        </w:tc>
        <w:tc>
          <w:tcPr>
            <w:tcW w:type="dxa" w:w="2500"/>
            <w:tcBorders>
              <w:top w:val="single" w:color="DDDDDD" w:sz="1"/>
              <w:left w:val="single" w:color="DDDDDD" w:sz="1"/>
              <w:bottom w:val="single" w:color="DDDDDD" w:sz="1"/>
              <w:right w:val="single" w:color="DDDDDD" w:sz="1"/>
            </w:tcBorders>
            <w:shd w:fill="1A23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Financial Value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8"/>
                <w:szCs w:val="18"/>
              </w:rPr>
              <w:t xml:space="preserve">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Land for Assembly Line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Hemang Joshi</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40%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₹6,53,24,000</w:t>
            </w:r>
          </w:p>
        </w:tc>
      </w:tr>
      <w:tr>
        <w:tc>
          <w:tcPr>
            <w:tcW w:type="dxa" w:w="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val="false"/>
                <w:bCs w:val="false"/>
                <w:color w:val="212121"/>
                <w:sz w:val="18"/>
                <w:szCs w:val="18"/>
              </w:rPr>
              <w:t xml:space="preserve">2</w:t>
            </w:r>
          </w:p>
        </w:tc>
        <w:tc>
          <w:tcPr>
            <w:tcW w:type="dxa" w:w="2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Machinery</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Abhay Kaneriya</w:t>
            </w:r>
          </w:p>
        </w:tc>
        <w:tc>
          <w:tcPr>
            <w:tcW w:type="dxa" w:w="12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19%</w:t>
            </w:r>
          </w:p>
        </w:tc>
        <w:tc>
          <w:tcPr>
            <w:tcW w:type="dxa" w:w="25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₹4,50,00,000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8"/>
                <w:szCs w:val="18"/>
              </w:rPr>
              <w:t xml:space="preserve">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Machinery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Manan Savaliya</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15%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₹3,95,50,000</w:t>
            </w:r>
          </w:p>
        </w:tc>
      </w:tr>
      <w:tr>
        <w:tc>
          <w:tcPr>
            <w:tcW w:type="dxa" w:w="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val="false"/>
                <w:bCs w:val="false"/>
                <w:color w:val="212121"/>
                <w:sz w:val="18"/>
                <w:szCs w:val="18"/>
              </w:rPr>
              <w:t xml:space="preserve">4</w:t>
            </w:r>
          </w:p>
        </w:tc>
        <w:tc>
          <w:tcPr>
            <w:tcW w:type="dxa" w:w="2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Operational Cash</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Harsh Vanpariya</w:t>
            </w:r>
          </w:p>
        </w:tc>
        <w:tc>
          <w:tcPr>
            <w:tcW w:type="dxa" w:w="12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14%</w:t>
            </w:r>
          </w:p>
        </w:tc>
        <w:tc>
          <w:tcPr>
            <w:tcW w:type="dxa" w:w="25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₹2,78,95,000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8"/>
                <w:szCs w:val="18"/>
              </w:rPr>
              <w:t xml:space="preserve">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Cash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Harshil Vanpariya</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12%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₹1,15,50,000</w:t>
            </w:r>
          </w:p>
        </w:tc>
      </w:tr>
      <w:tr>
        <w:tc>
          <w:tcPr>
            <w:tcW w:type="dxa" w:w="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center"/>
            </w:pPr>
            <w:r>
              <w:rPr>
                <w:rFonts w:ascii="Arial" w:cs="Arial" w:eastAsia="Arial" w:hAnsi="Arial"/>
                <w:b w:val="false"/>
                <w:bCs w:val="false"/>
                <w:color w:val="212121"/>
                <w:sz w:val="18"/>
                <w:szCs w:val="18"/>
              </w:rPr>
              <w:t xml:space="preserve">6</w:t>
            </w:r>
          </w:p>
        </w:tc>
        <w:tc>
          <w:tcPr>
            <w:tcW w:type="dxa" w:w="2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Loan from SBI Bank</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Dharm Solar</w:t>
            </w:r>
          </w:p>
        </w:tc>
        <w:tc>
          <w:tcPr>
            <w:tcW w:type="dxa" w:w="12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Int. 11.01%</w:t>
            </w:r>
          </w:p>
        </w:tc>
        <w:tc>
          <w:tcPr>
            <w:tcW w:type="dxa" w:w="25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₹2,00,00,000</w:t>
            </w:r>
          </w:p>
        </w:tc>
      </w:tr>
    </w:tbl>
    <w:p>
      <w:pPr>
        <w:spacing w:after="0" w:before="300"/>
      </w:pPr>
      <w:r>
        <w:t xml:space="preserve"/>
      </w:r>
    </w:p>
    <w:p>
      <w:pPr>
        <w:pStyle w:val="Heading2"/>
        <w:spacing w:after="140" w:before="280"/>
      </w:pPr>
      <w:r>
        <w:rPr>
          <w:rFonts w:ascii="Arial" w:cs="Arial" w:eastAsia="Arial" w:hAnsi="Arial"/>
          <w:b/>
          <w:bCs/>
          <w:color w:val="1565C0"/>
          <w:sz w:val="24"/>
          <w:szCs w:val="24"/>
        </w:rPr>
        <w:t xml:space="preserve">Profit &amp; Loss Statement</w:t>
      </w:r>
    </w:p>
    <w:p>
      <w:pPr>
        <w:spacing w:after="120" w:before="60"/>
      </w:pPr>
      <w:r>
        <w:rPr>
          <w:rFonts w:ascii="Arial" w:cs="Arial" w:eastAsia="Arial" w:hAnsi="Arial"/>
          <w:i/>
          <w:iCs/>
          <w:color w:val="546E7A"/>
          <w:sz w:val="18"/>
          <w:szCs w:val="18"/>
        </w:rPr>
        <w:t xml:space="preserve">Values in Indian Rupees (Lakhs)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30"/>
        <w:gridCol w:w="1935"/>
        <w:gridCol w:w="1935"/>
      </w:tblGrid>
      <w:tr>
        <w:tc>
          <w:tcPr>
            <w:tcW w:type="dxa" w:w="3560"/>
            <w:tcBorders>
              <w:top w:val="single" w:color="DDDDDD" w:sz="1"/>
              <w:left w:val="single" w:color="DDDDDD" w:sz="1"/>
              <w:bottom w:val="single" w:color="DDDDDD" w:sz="1"/>
              <w:right w:val="single" w:color="DDDDDD" w:sz="1"/>
            </w:tcBorders>
            <w:shd w:fill="1565C0"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Particulars</w:t>
            </w:r>
          </w:p>
        </w:tc>
        <w:tc>
          <w:tcPr>
            <w:tcW w:type="dxa" w:w="1930"/>
            <w:tcBorders>
              <w:top w:val="single" w:color="DDDDDD" w:sz="1"/>
              <w:left w:val="single" w:color="DDDDDD" w:sz="1"/>
              <w:bottom w:val="single" w:color="DDDDDD" w:sz="1"/>
              <w:right w:val="single" w:color="DDDDDD" w:sz="1"/>
            </w:tcBorders>
            <w:shd w:fill="1565C0"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FY 2025</w:t>
            </w:r>
          </w:p>
        </w:tc>
        <w:tc>
          <w:tcPr>
            <w:tcW w:type="dxa" w:w="1935"/>
            <w:tcBorders>
              <w:top w:val="single" w:color="DDDDDD" w:sz="1"/>
              <w:left w:val="single" w:color="DDDDDD" w:sz="1"/>
              <w:bottom w:val="single" w:color="DDDDDD" w:sz="1"/>
              <w:right w:val="single" w:color="DDDDDD" w:sz="1"/>
            </w:tcBorders>
            <w:shd w:fill="1565C0"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FY 2026</w:t>
            </w:r>
          </w:p>
        </w:tc>
        <w:tc>
          <w:tcPr>
            <w:tcW w:type="dxa" w:w="1935"/>
            <w:tcBorders>
              <w:top w:val="single" w:color="DDDDDD" w:sz="1"/>
              <w:left w:val="single" w:color="DDDDDD" w:sz="1"/>
              <w:bottom w:val="single" w:color="DDDDDD" w:sz="1"/>
              <w:right w:val="single" w:color="DDDDDD" w:sz="1"/>
            </w:tcBorders>
            <w:shd w:fill="1565C0"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FY 2027</w:t>
            </w:r>
          </w:p>
        </w:tc>
      </w:tr>
      <w:tr>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Revenue</w:t>
            </w:r>
          </w:p>
        </w:tc>
        <w:tc>
          <w:tcPr>
            <w:tcW w:type="dxa" w:w="1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114.22</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137.06</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164.47</w:t>
            </w:r>
          </w:p>
        </w:tc>
      </w:tr>
      <w:tr>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Direct Cost</w:t>
            </w:r>
          </w:p>
        </w:tc>
        <w:tc>
          <w:tcPr>
            <w:tcW w:type="dxa" w:w="19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95.60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113.76</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135.03</w:t>
            </w:r>
          </w:p>
        </w:tc>
      </w:tr>
      <w:tr>
        <w:tc>
          <w:tcPr>
            <w:tcW w:type="dxa" w:w="3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bCs/>
                <w:color w:val="212121"/>
                <w:sz w:val="18"/>
                <w:szCs w:val="18"/>
              </w:rPr>
              <w:t xml:space="preserve">Gross Margin</w:t>
            </w:r>
          </w:p>
        </w:tc>
        <w:tc>
          <w:tcPr>
            <w:tcW w:type="dxa" w:w="193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18.62</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23.30</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29.44</w:t>
            </w:r>
          </w:p>
        </w:tc>
      </w:tr>
      <w:tr>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Gross Margin %</w:t>
            </w:r>
          </w:p>
        </w:tc>
        <w:tc>
          <w:tcPr>
            <w:tcW w:type="dxa" w:w="19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1A237E"/>
                <w:sz w:val="18"/>
                <w:szCs w:val="18"/>
              </w:rPr>
              <w:t xml:space="preserve">16.3%</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1A237E"/>
                <w:sz w:val="18"/>
                <w:szCs w:val="18"/>
              </w:rPr>
              <w:t xml:space="preserve">17.0%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1A237E"/>
                <w:sz w:val="18"/>
                <w:szCs w:val="18"/>
              </w:rPr>
              <w:t xml:space="preserve">17.9%</w:t>
            </w:r>
          </w:p>
        </w:tc>
      </w:tr>
      <w:tr>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Operating Expenses</w:t>
            </w:r>
          </w:p>
        </w:tc>
        <w:tc>
          <w:tcPr>
            <w:tcW w:type="dxa" w:w="1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3.70</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4.00</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4.20</w:t>
            </w:r>
          </w:p>
        </w:tc>
      </w:tr>
      <w:tr>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Salaries</w:t>
            </w:r>
          </w:p>
        </w:tc>
        <w:tc>
          <w:tcPr>
            <w:tcW w:type="dxa" w:w="19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5.60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6.10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6.50</w:t>
            </w:r>
          </w:p>
        </w:tc>
      </w:tr>
      <w:tr>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Employee Expenses</w:t>
            </w:r>
          </w:p>
        </w:tc>
        <w:tc>
          <w:tcPr>
            <w:tcW w:type="dxa" w:w="1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1.50</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2.00</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2.20</w:t>
            </w:r>
          </w:p>
        </w:tc>
      </w:tr>
      <w:tr>
        <w:tc>
          <w:tcPr>
            <w:tcW w:type="dxa" w:w="3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bCs/>
                <w:color w:val="212121"/>
                <w:sz w:val="18"/>
                <w:szCs w:val="18"/>
              </w:rPr>
              <w:t xml:space="preserve">Total Operating Exp.</w:t>
            </w:r>
          </w:p>
        </w:tc>
        <w:tc>
          <w:tcPr>
            <w:tcW w:type="dxa" w:w="193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10.80</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12.10</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212121"/>
                <w:sz w:val="18"/>
                <w:szCs w:val="18"/>
              </w:rPr>
              <w:t xml:space="preserve">12.90</w:t>
            </w:r>
          </w:p>
        </w:tc>
      </w:tr>
      <w:tr>
        <w:tc>
          <w:tcPr>
            <w:tcW w:type="dxa" w:w="3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bCs/>
                <w:color w:val="212121"/>
                <w:sz w:val="18"/>
                <w:szCs w:val="18"/>
              </w:rPr>
              <w:t xml:space="preserve">Operating Income</w:t>
            </w:r>
          </w:p>
        </w:tc>
        <w:tc>
          <w:tcPr>
            <w:tcW w:type="dxa" w:w="193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7.82</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11.20</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14.50</w:t>
            </w:r>
          </w:p>
        </w:tc>
      </w:tr>
      <w:tr>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Interest Incurred</w:t>
            </w:r>
          </w:p>
        </w:tc>
        <w:tc>
          <w:tcPr>
            <w:tcW w:type="dxa" w:w="19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1.30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1.30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1.30</w:t>
            </w:r>
          </w:p>
        </w:tc>
      </w:tr>
      <w:tr>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Depreciation</w:t>
            </w:r>
          </w:p>
        </w:tc>
        <w:tc>
          <w:tcPr>
            <w:tcW w:type="dxa" w:w="1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4.50</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4.30</w:t>
            </w:r>
          </w:p>
        </w:tc>
        <w:tc>
          <w:tcPr>
            <w:tcW w:type="dxa" w:w="193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4.10</w:t>
            </w:r>
          </w:p>
        </w:tc>
      </w:tr>
      <w:tr>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18"/>
                <w:szCs w:val="18"/>
              </w:rPr>
              <w:t xml:space="preserve">Income Taxes</w:t>
            </w:r>
          </w:p>
        </w:tc>
        <w:tc>
          <w:tcPr>
            <w:tcW w:type="dxa" w:w="19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1.25</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1.40</w:t>
            </w:r>
          </w:p>
        </w:tc>
        <w:tc>
          <w:tcPr>
            <w:tcW w:type="dxa" w:w="193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val="false"/>
                <w:bCs w:val="false"/>
                <w:color w:val="212121"/>
                <w:sz w:val="18"/>
                <w:szCs w:val="18"/>
              </w:rPr>
              <w:t xml:space="preserve">2.28</w:t>
            </w:r>
          </w:p>
        </w:tc>
      </w:tr>
      <w:tr>
        <w:tc>
          <w:tcPr>
            <w:tcW w:type="dxa" w:w="3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left"/>
            </w:pPr>
            <w:r>
              <w:rPr>
                <w:rFonts w:ascii="Arial" w:cs="Arial" w:eastAsia="Arial" w:hAnsi="Arial"/>
                <w:b/>
                <w:bCs/>
                <w:color w:val="212121"/>
                <w:sz w:val="18"/>
                <w:szCs w:val="18"/>
              </w:rPr>
              <w:t xml:space="preserve">Net Profit / Loss</w:t>
            </w:r>
          </w:p>
        </w:tc>
        <w:tc>
          <w:tcPr>
            <w:tcW w:type="dxa" w:w="193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0.77</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4.20</w:t>
            </w:r>
          </w:p>
        </w:tc>
        <w:tc>
          <w:tcPr>
            <w:tcW w:type="dxa" w:w="1935"/>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pPr>
              <w:jc w:val="right"/>
            </w:pPr>
            <w:r>
              <w:rPr>
                <w:rFonts w:ascii="Arial" w:cs="Arial" w:eastAsia="Arial" w:hAnsi="Arial"/>
                <w:b/>
                <w:bCs/>
                <w:color w:val="1A237E"/>
                <w:sz w:val="18"/>
                <w:szCs w:val="18"/>
              </w:rPr>
              <w:t xml:space="preserve">6.83</w:t>
            </w:r>
          </w:p>
        </w:tc>
      </w:tr>
    </w:tbl>
    <w:p>
      <w:pPr>
        <w:spacing w:after="0" w:before="300"/>
      </w:pPr>
      <w:r>
        <w:t xml:space="preserve"/>
      </w:r>
    </w:p>
    <w:p>
      <w:pPr>
        <w:pStyle w:val="Heading2"/>
        <w:spacing w:after="140" w:before="280"/>
      </w:pPr>
      <w:r>
        <w:rPr>
          <w:rFonts w:ascii="Arial" w:cs="Arial" w:eastAsia="Arial" w:hAnsi="Arial"/>
          <w:b/>
          <w:bCs/>
          <w:color w:val="1565C0"/>
          <w:sz w:val="24"/>
          <w:szCs w:val="24"/>
        </w:rPr>
        <w:t xml:space="preserve">Balance Sheet Summary</w:t>
      </w:r>
    </w:p>
    <w:p>
      <w:pPr>
        <w:spacing w:after="120" w:before="60"/>
      </w:pPr>
      <w:r>
        <w:rPr>
          <w:rFonts w:ascii="Arial" w:cs="Arial" w:eastAsia="Arial" w:hAnsi="Arial"/>
          <w:i/>
          <w:iCs/>
          <w:color w:val="546E7A"/>
          <w:sz w:val="18"/>
          <w:szCs w:val="18"/>
        </w:rPr>
        <w:t xml:space="preserve">Values in Indian Rupees (Lakhs)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30"/>
        <w:gridCol w:w="1935"/>
        <w:gridCol w:w="1935"/>
      </w:tblGrid>
      <w:tr>
        <w:tc>
          <w:tcPr>
            <w:tcW w:type="dxa" w:w="3560"/>
            <w:tcBorders>
              <w:top w:val="single" w:color="DDDDDD" w:sz="1"/>
              <w:left w:val="single" w:color="DDDDDD" w:sz="1"/>
              <w:bottom w:val="single" w:color="DDDDDD" w:sz="1"/>
              <w:right w:val="single" w:color="DDDDDD" w:sz="1"/>
            </w:tcBorders>
            <w:shd w:fill="1565C0" w:val="clear"/>
            <w:tcMar>
              <w:top w:type="dxa" w:w="90"/>
              <w:left w:type="dxa" w:w="120"/>
              <w:bottom w:type="dxa" w:w="90"/>
              <w:right w:type="dxa" w:w="120"/>
            </w:tcMar>
          </w:tcPr>
          <w:p>
            <w:pPr>
              <w:jc w:val="left"/>
            </w:pPr>
            <w:r>
              <w:rPr>
                <w:rFonts w:ascii="Arial" w:cs="Arial" w:eastAsia="Arial" w:hAnsi="Arial"/>
                <w:b/>
                <w:bCs/>
                <w:color w:val="FFFFFF"/>
                <w:sz w:val="18"/>
                <w:szCs w:val="18"/>
              </w:rPr>
              <w:t xml:space="preserve">Particulars</w:t>
            </w:r>
          </w:p>
        </w:tc>
        <w:tc>
          <w:tcPr>
            <w:tcW w:type="dxa" w:w="1930"/>
            <w:tcBorders>
              <w:top w:val="single" w:color="DDDDDD" w:sz="1"/>
              <w:left w:val="single" w:color="DDDDDD" w:sz="1"/>
              <w:bottom w:val="single" w:color="DDDDDD" w:sz="1"/>
              <w:right w:val="single" w:color="DDDDDD" w:sz="1"/>
            </w:tcBorders>
            <w:shd w:fill="1565C0"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FY 2025</w:t>
            </w:r>
          </w:p>
        </w:tc>
        <w:tc>
          <w:tcPr>
            <w:tcW w:type="dxa" w:w="1935"/>
            <w:tcBorders>
              <w:top w:val="single" w:color="DDDDDD" w:sz="1"/>
              <w:left w:val="single" w:color="DDDDDD" w:sz="1"/>
              <w:bottom w:val="single" w:color="DDDDDD" w:sz="1"/>
              <w:right w:val="single" w:color="DDDDDD" w:sz="1"/>
            </w:tcBorders>
            <w:shd w:fill="1565C0"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FY 2026</w:t>
            </w:r>
          </w:p>
        </w:tc>
        <w:tc>
          <w:tcPr>
            <w:tcW w:type="dxa" w:w="1935"/>
            <w:tcBorders>
              <w:top w:val="single" w:color="DDDDDD" w:sz="1"/>
              <w:left w:val="single" w:color="DDDDDD" w:sz="1"/>
              <w:bottom w:val="single" w:color="DDDDDD" w:sz="1"/>
              <w:right w:val="single" w:color="DDDDDD" w:sz="1"/>
            </w:tcBorders>
            <w:shd w:fill="1565C0"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FY 2027</w:t>
            </w:r>
          </w:p>
        </w:tc>
      </w:tr>
      <w:tr>
        <w:tc>
          <w:tcPr>
            <w:tcW w:type="dxa" w:w="3560"/>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left"/>
            </w:pPr>
            <w:r>
              <w:rPr>
                <w:rFonts w:ascii="Arial" w:cs="Arial" w:eastAsia="Arial" w:hAnsi="Arial"/>
                <w:b/>
                <w:bCs/>
                <w:color w:val="FFFFFF"/>
                <w:sz w:val="18"/>
                <w:szCs w:val="18"/>
              </w:rPr>
              <w:t xml:space="preserve">ASSETS</w:t>
            </w:r>
          </w:p>
        </w:tc>
        <w:tc>
          <w:tcPr>
            <w:tcW w:type="dxa" w:w="1930"/>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
            </w:r>
          </w:p>
        </w:tc>
        <w:tc>
          <w:tcPr>
            <w:tcW w:type="dxa" w:w="1935"/>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
            </w:r>
          </w:p>
        </w:tc>
        <w:tc>
          <w:tcPr>
            <w:tcW w:type="dxa" w:w="1935"/>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
            </w:r>
          </w:p>
        </w:tc>
      </w:tr>
      <w:tr>
        <w:tc>
          <w:tcPr>
            <w:tcW w:type="dxa" w:w="3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color w:val="212121"/>
                <w:sz w:val="18"/>
                <w:szCs w:val="18"/>
              </w:rPr>
              <w:t xml:space="preserve">Total Current Assets</w:t>
            </w:r>
          </w:p>
        </w:tc>
        <w:tc>
          <w:tcPr>
            <w:tcW w:type="dxa" w:w="193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647.28</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859.09</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1,024.79</w:t>
            </w:r>
          </w:p>
        </w:tc>
      </w:tr>
      <w:tr>
        <w:tc>
          <w:tcPr>
            <w:tcW w:type="dxa" w:w="3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color w:val="212121"/>
                <w:sz w:val="18"/>
                <w:szCs w:val="18"/>
              </w:rPr>
              <w:t xml:space="preserve">Total Long-Term Assets</w:t>
            </w:r>
          </w:p>
        </w:tc>
        <w:tc>
          <w:tcPr>
            <w:tcW w:type="dxa" w:w="193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1,198.99</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1,224.98</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1,316.27</w:t>
            </w:r>
          </w:p>
        </w:tc>
      </w:tr>
      <w:tr>
        <w:tc>
          <w:tcPr>
            <w:tcW w:type="dxa" w:w="3560"/>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left"/>
            </w:pPr>
            <w:r>
              <w:rPr>
                <w:rFonts w:ascii="Arial" w:cs="Arial" w:eastAsia="Arial" w:hAnsi="Arial"/>
                <w:b/>
                <w:bCs/>
                <w:color w:val="212121"/>
                <w:sz w:val="18"/>
                <w:szCs w:val="18"/>
              </w:rPr>
              <w:t xml:space="preserve">Total Assets</w:t>
            </w:r>
          </w:p>
        </w:tc>
        <w:tc>
          <w:tcPr>
            <w:tcW w:type="dxa" w:w="1930"/>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1,846.27</w:t>
            </w:r>
          </w:p>
        </w:tc>
        <w:tc>
          <w:tcPr>
            <w:tcW w:type="dxa" w:w="1935"/>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1,084.07</w:t>
            </w:r>
          </w:p>
        </w:tc>
        <w:tc>
          <w:tcPr>
            <w:tcW w:type="dxa" w:w="1935"/>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2,341.06</w:t>
            </w:r>
          </w:p>
        </w:tc>
      </w:tr>
      <w:tr>
        <w:tc>
          <w:tcPr>
            <w:tcW w:type="dxa" w:w="3560"/>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left"/>
            </w:pPr>
            <w:r>
              <w:rPr>
                <w:rFonts w:ascii="Arial" w:cs="Arial" w:eastAsia="Arial" w:hAnsi="Arial"/>
                <w:b/>
                <w:bCs/>
                <w:color w:val="FFFFFF"/>
                <w:sz w:val="18"/>
                <w:szCs w:val="18"/>
              </w:rPr>
              <w:t xml:space="preserve">LIABILITIES &amp; EQUITY</w:t>
            </w:r>
          </w:p>
        </w:tc>
        <w:tc>
          <w:tcPr>
            <w:tcW w:type="dxa" w:w="1930"/>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
            </w:r>
          </w:p>
        </w:tc>
        <w:tc>
          <w:tcPr>
            <w:tcW w:type="dxa" w:w="1935"/>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
            </w:r>
          </w:p>
        </w:tc>
        <w:tc>
          <w:tcPr>
            <w:tcW w:type="dxa" w:w="1935"/>
            <w:tcBorders>
              <w:top w:val="single" w:color="DDDDDD" w:sz="1"/>
              <w:left w:val="single" w:color="DDDDDD" w:sz="1"/>
              <w:bottom w:val="single" w:color="DDDDDD" w:sz="1"/>
              <w:right w:val="single" w:color="DDDDDD" w:sz="1"/>
            </w:tcBorders>
            <w:shd w:fill="1A237E" w:val="clear"/>
            <w:tcMar>
              <w:top w:type="dxa" w:w="90"/>
              <w:left w:type="dxa" w:w="120"/>
              <w:bottom w:type="dxa" w:w="90"/>
              <w:right w:type="dxa" w:w="120"/>
            </w:tcMar>
          </w:tcPr>
          <w:p>
            <w:pPr>
              <w:jc w:val="right"/>
            </w:pPr>
            <w:r>
              <w:rPr>
                <w:rFonts w:ascii="Arial" w:cs="Arial" w:eastAsia="Arial" w:hAnsi="Arial"/>
                <w:b/>
                <w:bCs/>
                <w:color w:val="FFFFFF"/>
                <w:sz w:val="18"/>
                <w:szCs w:val="18"/>
              </w:rPr>
              <w:t xml:space="preserve"/>
            </w:r>
          </w:p>
        </w:tc>
      </w:tr>
      <w:tr>
        <w:tc>
          <w:tcPr>
            <w:tcW w:type="dxa" w:w="3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color w:val="212121"/>
                <w:sz w:val="18"/>
                <w:szCs w:val="18"/>
              </w:rPr>
              <w:t xml:space="preserve">Total Current Liabilities</w:t>
            </w:r>
          </w:p>
        </w:tc>
        <w:tc>
          <w:tcPr>
            <w:tcW w:type="dxa" w:w="193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396.29</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457.03</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563.88</w:t>
            </w:r>
          </w:p>
        </w:tc>
      </w:tr>
      <w:tr>
        <w:tc>
          <w:tcPr>
            <w:tcW w:type="dxa" w:w="3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color w:val="212121"/>
                <w:sz w:val="18"/>
                <w:szCs w:val="18"/>
              </w:rPr>
              <w:t xml:space="preserve">Long-Term Debt</w:t>
            </w:r>
          </w:p>
        </w:tc>
        <w:tc>
          <w:tcPr>
            <w:tcW w:type="dxa" w:w="193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200.00</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177.98</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val="false"/>
                <w:bCs w:val="false"/>
                <w:color w:val="212121"/>
                <w:sz w:val="18"/>
                <w:szCs w:val="18"/>
              </w:rPr>
              <w:t xml:space="preserve">158.38</w:t>
            </w:r>
          </w:p>
        </w:tc>
      </w:tr>
      <w:tr>
        <w:tc>
          <w:tcPr>
            <w:tcW w:type="dxa" w:w="3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color w:val="212121"/>
                <w:sz w:val="18"/>
                <w:szCs w:val="18"/>
              </w:rPr>
              <w:t xml:space="preserve">Total Liabilities</w:t>
            </w:r>
          </w:p>
        </w:tc>
        <w:tc>
          <w:tcPr>
            <w:tcW w:type="dxa" w:w="193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596.29</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635.01</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722.26</w:t>
            </w:r>
          </w:p>
        </w:tc>
      </w:tr>
      <w:tr>
        <w:tc>
          <w:tcPr>
            <w:tcW w:type="dxa" w:w="3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color w:val="212121"/>
                <w:sz w:val="18"/>
                <w:szCs w:val="18"/>
              </w:rPr>
              <w:t xml:space="preserve">Total Owner's Equity</w:t>
            </w:r>
          </w:p>
        </w:tc>
        <w:tc>
          <w:tcPr>
            <w:tcW w:type="dxa" w:w="193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1,477.02</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867.25</w:t>
            </w:r>
          </w:p>
        </w:tc>
        <w:tc>
          <w:tcPr>
            <w:tcW w:type="dxa" w:w="1935"/>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1,872.85</w:t>
            </w:r>
          </w:p>
        </w:tc>
      </w:tr>
      <w:tr>
        <w:tc>
          <w:tcPr>
            <w:tcW w:type="dxa" w:w="3560"/>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left"/>
            </w:pPr>
            <w:r>
              <w:rPr>
                <w:rFonts w:ascii="Arial" w:cs="Arial" w:eastAsia="Arial" w:hAnsi="Arial"/>
                <w:b/>
                <w:bCs/>
                <w:color w:val="212121"/>
                <w:sz w:val="18"/>
                <w:szCs w:val="18"/>
              </w:rPr>
              <w:t xml:space="preserve">Total Liabilities &amp; Equity</w:t>
            </w:r>
          </w:p>
        </w:tc>
        <w:tc>
          <w:tcPr>
            <w:tcW w:type="dxa" w:w="1930"/>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1,846.27</w:t>
            </w:r>
          </w:p>
        </w:tc>
        <w:tc>
          <w:tcPr>
            <w:tcW w:type="dxa" w:w="1935"/>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1,084.07</w:t>
            </w:r>
          </w:p>
        </w:tc>
        <w:tc>
          <w:tcPr>
            <w:tcW w:type="dxa" w:w="1935"/>
            <w:tcBorders>
              <w:top w:val="single" w:color="DDDDDD" w:sz="1"/>
              <w:left w:val="single" w:color="DDDDDD" w:sz="1"/>
              <w:bottom w:val="single" w:color="DDDDDD" w:sz="1"/>
              <w:right w:val="single" w:color="DDDDDD" w:sz="1"/>
            </w:tcBorders>
            <w:shd w:fill="E3F2FD" w:val="clear"/>
            <w:tcMar>
              <w:top w:type="dxa" w:w="90"/>
              <w:left w:type="dxa" w:w="120"/>
              <w:bottom w:type="dxa" w:w="90"/>
              <w:right w:type="dxa" w:w="120"/>
            </w:tcMar>
          </w:tcPr>
          <w:p>
            <w:pPr>
              <w:jc w:val="right"/>
            </w:pPr>
            <w:r>
              <w:rPr>
                <w:rFonts w:ascii="Arial" w:cs="Arial" w:eastAsia="Arial" w:hAnsi="Arial"/>
                <w:b/>
                <w:bCs/>
                <w:color w:val="212121"/>
                <w:sz w:val="18"/>
                <w:szCs w:val="18"/>
              </w:rPr>
              <w:t xml:space="preserve">2,341.06</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300"/>
              <w:left w:type="dxa" w:w="400"/>
              <w:bottom w:type="dxa" w:w="300"/>
              <w:right w:type="dxa" w:w="400"/>
            </w:tcMar>
          </w:tcPr>
          <w:p>
            <w:pPr>
              <w:spacing w:after="100" w:before="0"/>
              <w:jc w:val="center"/>
            </w:pPr>
            <w:r>
              <w:rPr>
                <w:rFonts w:ascii="Arial" w:cs="Arial" w:eastAsia="Arial" w:hAnsi="Arial"/>
                <w:b/>
                <w:bCs/>
                <w:color w:val="FFC107"/>
                <w:sz w:val="36"/>
                <w:szCs w:val="36"/>
              </w:rPr>
              <w:t xml:space="preserve">DHARM SOLAR</w:t>
            </w:r>
          </w:p>
          <w:p>
            <w:pPr>
              <w:spacing w:after="140" w:before="0"/>
              <w:jc w:val="center"/>
            </w:pPr>
            <w:r>
              <w:rPr>
                <w:rFonts w:ascii="Arial" w:cs="Arial" w:eastAsia="Arial" w:hAnsi="Arial"/>
                <w:i/>
                <w:iCs/>
                <w:color w:val="FFFFFF"/>
                <w:sz w:val="24"/>
                <w:szCs w:val="24"/>
              </w:rPr>
              <w:t xml:space="preserve">Right Decision, Bright Future</w:t>
            </w:r>
          </w:p>
          <w:p>
            <w:pPr>
              <w:jc w:val="center"/>
            </w:pPr>
            <w:r>
              <w:rPr>
                <w:rFonts w:ascii="Arial" w:cs="Arial" w:eastAsia="Arial" w:hAnsi="Arial"/>
                <w:color w:val="F5F5F5"/>
                <w:sz w:val="18"/>
                <w:szCs w:val="18"/>
              </w:rPr>
              <w:t xml:space="preserve">Sapar, Gujarat, India  |  Limited Liability Partnership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5F5" w:sz="3" w:space="8"/>
      </w:pBdr>
    </w:pPr>
    <w:r>
      <w:rPr>
        <w:rFonts w:ascii="Arial" w:cs="Arial" w:eastAsia="Arial" w:hAnsi="Arial"/>
        <w:color w:val="546E7A"/>
        <w:sz w:val="16"/>
        <w:szCs w:val="16"/>
      </w:rPr>
      <w:t xml:space="preserve">Confidential  |  Dharm Solar LLP  |  Sapar, Gujarat</w:t>
    </w:r>
    <w:r>
      <w:rPr>
        <w:rFonts w:ascii="Arial" w:cs="Arial" w:eastAsia="Arial" w:hAnsi="Arial"/>
        <w:color w:val="546E7A"/>
        <w:sz w:val="16"/>
        <w:szCs w:val="16"/>
      </w:rPr>
      <w:t xml:space="preserve">  |  Page </w:t>
    </w:r>
    <w:r>
      <w:rPr>
        <w:rFonts w:ascii="Arial" w:cs="Arial" w:eastAsia="Arial" w:hAnsi="Arial"/>
        <w:b/>
        <w:bCs/>
        <w:color w:val="F57C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F57C00" w:sz="3"/>
            <w:right w:val="none" w:color="FFFFFF" w:sz="0"/>
          </w:tcBorders>
          <w:tcMar>
            <w:top w:type="dxa" w:w="60"/>
            <w:left w:type="dxa" w:w="0"/>
            <w:bottom w:type="dxa" w:w="80"/>
            <w:right w:type="dxa" w:w="0"/>
          </w:tcMar>
        </w:tcPr>
        <w:p>
          <w:r>
            <w:rPr>
              <w:rFonts w:ascii="Arial" w:cs="Arial" w:eastAsia="Arial" w:hAnsi="Arial"/>
              <w:b/>
              <w:bCs/>
              <w:color w:val="1A237E"/>
              <w:sz w:val="18"/>
              <w:szCs w:val="18"/>
            </w:rPr>
            <w:t xml:space="preserve">DHARM SOLAR</w:t>
          </w:r>
        </w:p>
      </w:tc>
      <w:tc>
        <w:tcPr>
          <w:tcW w:type="dxa" w:w="5040"/>
          <w:tcBorders>
            <w:top w:val="none" w:color="FFFFFF" w:sz="0"/>
            <w:left w:val="none" w:color="FFFFFF" w:sz="0"/>
            <w:bottom w:val="single" w:color="F57C00" w:sz="3"/>
            <w:right w:val="none" w:color="FFFFFF" w:sz="0"/>
          </w:tcBorders>
          <w:tcMar>
            <w:top w:type="dxa" w:w="60"/>
            <w:left w:type="dxa" w:w="0"/>
            <w:bottom w:type="dxa" w:w="80"/>
            <w:right w:type="dxa" w:w="0"/>
          </w:tcMar>
        </w:tcPr>
        <w:p>
          <w:pPr>
            <w:jc w:val="right"/>
          </w:pPr>
          <w:r>
            <w:rPr>
              <w:rFonts w:ascii="Arial" w:cs="Arial" w:eastAsia="Arial" w:hAnsi="Arial"/>
              <w:i/>
              <w:iCs/>
              <w:color w:val="546E7A"/>
              <w:sz w:val="18"/>
              <w:szCs w:val="18"/>
            </w:rPr>
            <w:t xml:space="preserve">Business Plan 2024–2027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b/>
        <w:bCs/>
        <w:color w:val="F57C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2026-03-16T08:13:52.793Z</dcterms:created>
  <dcterms:modified xsi:type="dcterms:W3CDTF">2026-03-16T08:13:52.794Z</dcterms:modified>
</cp:coreProperties>
</file>

<file path=docProps/custom.xml><?xml version="1.0" encoding="utf-8"?>
<Properties xmlns="http://schemas.openxmlformats.org/officeDocument/2006/custom-properties" xmlns:vt="http://schemas.openxmlformats.org/officeDocument/2006/docPropsVTypes"/>
</file>