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5" w:val="clear"/>
            <w:tcMar>
              <w:top w:type="dxa" w:w="600"/>
              <w:left w:type="dxa" w:w="560"/>
              <w:bottom w:type="dxa" w:w="500"/>
              <w:right w:type="dxa" w:w="560"/>
            </w:tcMar>
          </w:tcPr>
          <w:p>
            <w:pPr>
              <w:spacing w:after="100" w:before="0"/>
              <w:jc w:val="center"/>
            </w:pPr>
            <w:r>
              <w:rPr>
                <w:rFonts w:ascii="Calibri" w:cs="Calibri" w:eastAsia="Calibri" w:hAnsi="Calibri"/>
                <w:b/>
                <w:bCs/>
                <w:color w:val="F0A500"/>
                <w:spacing w:val="60"/>
                <w:sz w:val="24"/>
                <w:szCs w:val="24"/>
              </w:rPr>
              <w:t xml:space="preserve">MAJOR RESEARCH PROJECT</w:t>
            </w:r>
          </w:p>
          <w:p>
            <w:pPr>
              <w:spacing w:after="200" w:before="60"/>
              <w:jc w:val="center"/>
            </w:pPr>
            <w:r>
              <w:rPr>
                <w:rFonts w:ascii="Calibri" w:cs="Calibri" w:eastAsia="Calibri" w:hAnsi="Calibri"/>
                <w:b/>
                <w:bCs/>
                <w:color w:val="FFFFFF"/>
                <w:sz w:val="48"/>
                <w:szCs w:val="48"/>
              </w:rPr>
              <w:t xml:space="preserve">Analysing Volatility of Blue-Chip Funds</w:t>
            </w:r>
          </w:p>
          <w:p>
            <w:pPr>
              <w:spacing w:after="60" w:before="0"/>
              <w:jc w:val="center"/>
            </w:pPr>
            <w:r>
              <w:rPr>
                <w:rFonts w:ascii="Calibri" w:cs="Calibri" w:eastAsia="Calibri" w:hAnsi="Calibri"/>
                <w:b/>
                <w:bCs/>
                <w:color w:val="FFFFFF"/>
                <w:sz w:val="40"/>
                <w:szCs w:val="40"/>
              </w:rPr>
              <w:t xml:space="preserve">using the GARCH Model to Depict</w:t>
            </w:r>
          </w:p>
          <w:p>
            <w:pPr>
              <w:spacing w:after="0" w:before="0"/>
              <w:jc w:val="center"/>
            </w:pPr>
            <w:r>
              <w:rPr>
                <w:rFonts w:ascii="Calibri" w:cs="Calibri" w:eastAsia="Calibri" w:hAnsi="Calibri"/>
                <w:b/>
                <w:bCs/>
                <w:color w:val="F0A500"/>
                <w:sz w:val="44"/>
                <w:szCs w:val="44"/>
              </w:rPr>
              <w:t xml:space="preserve">Risk Mitigation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A500" w:val="clear"/>
            <w:tcMar>
              <w:top w:type="dxa" w:w="120"/>
              <w:left w:type="dxa" w:w="400"/>
              <w:bottom w:type="dxa" w:w="120"/>
              <w:right w:type="dxa" w:w="400"/>
            </w:tcMar>
          </w:tcPr>
          <w:p>
            <w:pPr>
              <w:jc w:val="center"/>
            </w:pPr>
            <w:r>
              <w:rPr>
                <w:rFonts w:ascii="Calibri" w:cs="Calibri" w:eastAsia="Calibri" w:hAnsi="Calibri"/>
                <w:b/>
                <w:bCs/>
                <w:color w:val="0D2B55"/>
                <w:sz w:val="20"/>
                <w:szCs w:val="20"/>
              </w:rPr>
              <w:t xml:space="preserve">Faculty of Management Studies  ·  BBA (Hons.)  ·  April 2025</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1"/>
              <w:left w:val="single" w:color="CCCCCC" w:sz="1"/>
              <w:bottom w:val="single" w:color="CCCCCC" w:sz="1"/>
              <w:right w:val="none" w:color="FFFFFF" w:sz="0"/>
            </w:tcBorders>
            <w:shd w:fill="D6E8FA" w:val="clear"/>
            <w:tcMar>
              <w:top w:type="dxa" w:w="200"/>
              <w:left w:type="dxa" w:w="240"/>
              <w:bottom w:type="dxa" w:w="200"/>
              <w:right w:type="dxa" w:w="240"/>
            </w:tcMar>
          </w:tcPr>
          <w:p>
            <w:pPr>
              <w:spacing w:after="60" w:before="0" w:line="300"/>
            </w:pPr>
            <w:r>
              <w:rPr>
                <w:rFonts w:ascii="Calibri" w:cs="Calibri" w:eastAsia="Calibri" w:hAnsi="Calibri"/>
                <w:b/>
                <w:bCs/>
                <w:color w:val="4A5568"/>
                <w:sz w:val="16"/>
                <w:szCs w:val="16"/>
              </w:rPr>
              <w:t xml:space="preserve">PREPARED BY</w:t>
            </w:r>
          </w:p>
          <w:p>
            <w:pPr>
              <w:spacing w:after="40" w:before="0" w:line="300"/>
            </w:pPr>
            <w:r>
              <w:rPr>
                <w:rFonts w:ascii="Calibri" w:cs="Calibri" w:eastAsia="Calibri" w:hAnsi="Calibri"/>
                <w:b/>
                <w:bCs/>
                <w:color w:val="0D2B55"/>
                <w:sz w:val="20"/>
                <w:szCs w:val="20"/>
              </w:rPr>
              <w:t xml:space="preserve">Sakshi Jigneshbhai Pathak</w:t>
            </w:r>
          </w:p>
          <w:p>
            <w:pPr>
              <w:spacing w:after="80" w:before="0" w:line="300"/>
            </w:pPr>
            <w:r>
              <w:rPr>
                <w:rFonts w:ascii="Calibri" w:cs="Calibri" w:eastAsia="Calibri" w:hAnsi="Calibri"/>
                <w:color w:val="4A5568"/>
                <w:sz w:val="18"/>
                <w:szCs w:val="18"/>
              </w:rPr>
              <w:t xml:space="preserve">Enrol. No: 92201425054</w:t>
            </w:r>
          </w:p>
          <w:p>
            <w:pPr>
              <w:spacing w:after="40" w:before="0" w:line="300"/>
            </w:pPr>
            <w:r>
              <w:rPr>
                <w:rFonts w:ascii="Calibri" w:cs="Calibri" w:eastAsia="Calibri" w:hAnsi="Calibri"/>
                <w:b/>
                <w:bCs/>
                <w:color w:val="0D2B55"/>
                <w:sz w:val="20"/>
                <w:szCs w:val="20"/>
              </w:rPr>
              <w:t xml:space="preserve">Hemang Rajeshbhai Joshi</w:t>
            </w:r>
          </w:p>
          <w:p>
            <w:pPr>
              <w:spacing w:after="0" w:before="0" w:line="300"/>
            </w:pPr>
            <w:r>
              <w:rPr>
                <w:rFonts w:ascii="Calibri" w:cs="Calibri" w:eastAsia="Calibri" w:hAnsi="Calibri"/>
                <w:color w:val="4A5568"/>
                <w:sz w:val="18"/>
                <w:szCs w:val="18"/>
              </w:rPr>
              <w:t xml:space="preserve">Enrol. No: 92201425256</w:t>
            </w:r>
          </w:p>
        </w:tc>
        <w:tc>
          <w:tcPr>
            <w:tcW w:type="dxa" w:w="4780"/>
            <w:tcBorders>
              <w:top w:val="single" w:color="CCCCCC" w:sz="1"/>
              <w:left w:val="none" w:color="FFFFFF" w:sz="0"/>
              <w:bottom w:val="single" w:color="CCCCCC" w:sz="1"/>
              <w:right w:val="single" w:color="CCCCCC" w:sz="1"/>
            </w:tcBorders>
            <w:shd w:fill="FEF3CD" w:val="clear"/>
            <w:tcMar>
              <w:top w:type="dxa" w:w="200"/>
              <w:left w:type="dxa" w:w="240"/>
              <w:bottom w:type="dxa" w:w="200"/>
              <w:right w:type="dxa" w:w="240"/>
            </w:tcMar>
          </w:tcPr>
          <w:p>
            <w:pPr>
              <w:spacing w:after="60" w:before="0" w:line="300"/>
            </w:pPr>
            <w:r>
              <w:rPr>
                <w:rFonts w:ascii="Calibri" w:cs="Calibri" w:eastAsia="Calibri" w:hAnsi="Calibri"/>
                <w:b/>
                <w:bCs/>
                <w:color w:val="4A5568"/>
                <w:sz w:val="16"/>
                <w:szCs w:val="16"/>
              </w:rPr>
              <w:t xml:space="preserve">GUIDED BY</w:t>
            </w:r>
          </w:p>
          <w:p>
            <w:pPr>
              <w:spacing w:after="40" w:before="0" w:line="300"/>
            </w:pPr>
            <w:r>
              <w:rPr>
                <w:rFonts w:ascii="Calibri" w:cs="Calibri" w:eastAsia="Calibri" w:hAnsi="Calibri"/>
                <w:b/>
                <w:bCs/>
                <w:color w:val="0D2B55"/>
                <w:sz w:val="20"/>
                <w:szCs w:val="20"/>
              </w:rPr>
              <w:t xml:space="preserve">Dr. Jyoti Ishwar Laljani</w:t>
            </w:r>
          </w:p>
          <w:p>
            <w:pPr>
              <w:spacing w:after="80" w:before="0" w:line="300"/>
            </w:pPr>
            <w:r>
              <w:rPr>
                <w:rFonts w:ascii="Calibri" w:cs="Calibri" w:eastAsia="Calibri" w:hAnsi="Calibri"/>
                <w:color w:val="4A5568"/>
                <w:sz w:val="18"/>
                <w:szCs w:val="18"/>
              </w:rPr>
              <w:t xml:space="preserve">Assistant Professor &amp; Program Coordinator</w:t>
            </w:r>
          </w:p>
          <w:p>
            <w:pPr>
              <w:spacing w:after="60" w:before="0" w:line="300"/>
            </w:pPr>
            <w:r>
              <w:rPr>
                <w:rFonts w:ascii="Calibri" w:cs="Calibri" w:eastAsia="Calibri" w:hAnsi="Calibri"/>
                <w:b/>
                <w:bCs/>
                <w:color w:val="4A5568"/>
                <w:sz w:val="16"/>
                <w:szCs w:val="16"/>
              </w:rPr>
              <w:t xml:space="preserve">INSTITUTION</w:t>
            </w:r>
          </w:p>
          <w:p>
            <w:pPr>
              <w:spacing w:after="40" w:before="0" w:line="300"/>
            </w:pPr>
            <w:r>
              <w:rPr>
                <w:rFonts w:ascii="Calibri" w:cs="Calibri" w:eastAsia="Calibri" w:hAnsi="Calibri"/>
                <w:b/>
                <w:bCs/>
                <w:color w:val="0D2B55"/>
                <w:sz w:val="20"/>
                <w:szCs w:val="20"/>
              </w:rPr>
              <w:t xml:space="preserve">Marwadi University</w:t>
            </w:r>
          </w:p>
          <w:p>
            <w:pPr>
              <w:spacing w:after="0" w:before="0" w:line="300"/>
            </w:pPr>
            <w:r>
              <w:rPr>
                <w:rFonts w:ascii="Calibri" w:cs="Calibri" w:eastAsia="Calibri" w:hAnsi="Calibri"/>
                <w:color w:val="4A5568"/>
                <w:sz w:val="18"/>
                <w:szCs w:val="18"/>
              </w:rPr>
              <w:t xml:space="preserve">Rajkot, Gujarat — 360003</w:t>
            </w:r>
          </w:p>
        </w:tc>
      </w:tr>
    </w:tbl>
    <w:p>
      <w:pPr>
        <w:spacing w:after="0" w:before="400"/>
      </w:pPr>
      <w:r>
        <w:t xml:space="preserve"/>
      </w:r>
    </w:p>
    <w:p>
      <w:pPr>
        <w:jc w:val="center"/>
      </w:pPr>
      <w:r>
        <w:rPr>
          <w:rFonts w:ascii="Calibri" w:cs="Calibri" w:eastAsia="Calibri" w:hAnsi="Calibri"/>
          <w:i/>
          <w:iCs/>
          <w:color w:val="4A5568"/>
          <w:sz w:val="18"/>
          <w:szCs w:val="18"/>
        </w:rPr>
        <w:t xml:space="preserve">Submitted in Partial Fulfilment of the Requirements for the Degree of BBA (Hons.)</w:t>
      </w:r>
    </w:p>
    <w:p>
      <w:pPr>
        <w:spacing w:after="0" w:before="20"/>
      </w:pPr>
      <w:r>
        <w:t xml:space="preserve"/>
      </w:r>
    </w:p>
    <w:p>
      <w:pPr>
        <w:jc w:val="center"/>
      </w:pPr>
      <w:r>
        <w:rPr>
          <w:rFonts w:ascii="Calibri" w:cs="Calibri" w:eastAsia="Calibri" w:hAnsi="Calibri"/>
          <w:b/>
          <w:bCs/>
          <w:color w:val="0D2B55"/>
          <w:sz w:val="20"/>
          <w:szCs w:val="20"/>
        </w:rPr>
        <w:t xml:space="preserve">Academic Year 2024–25</w:t>
      </w:r>
    </w:p>
    <w:p>
      <w:pPr>
        <w:sectPr>
          <w:pgSz w:w="12240" w:h="15840" w:orient="portrait"/>
          <w:pgMar w:top="1440" w:right="1440" w:bottom="1440" w:left="1440" w:header="708" w:footer="708" w:gutter="0"/>
          <w:pgNumType/>
          <w:docGrid w:linePitch="360"/>
        </w:sectPr>
      </w:pPr>
    </w:p>
    <w:p>
      <w:pPr>
        <w:pBdr>
          <w:bottom w:val="single" w:color="F0A500" w:sz="5" w:space="6"/>
        </w:pBdr>
        <w:spacing w:after="160" w:before="400"/>
      </w:pPr>
      <w:r>
        <w:rPr>
          <w:rFonts w:ascii="Calibri" w:cs="Calibri" w:eastAsia="Calibri" w:hAnsi="Calibri"/>
          <w:b/>
          <w:bCs/>
          <w:color w:val="0D2B55"/>
          <w:sz w:val="32"/>
          <w:szCs w:val="32"/>
        </w:rPr>
        <w:t xml:space="preserve">Student Declaration</w:t>
      </w:r>
    </w:p>
    <w:p>
      <w:pPr>
        <w:spacing w:after="80" w:before="80" w:line="300"/>
        <w:jc w:val="both"/>
      </w:pPr>
      <w:r>
        <w:rPr>
          <w:rFonts w:ascii="Calibri" w:cs="Calibri" w:eastAsia="Calibri" w:hAnsi="Calibri"/>
          <w:color w:val="1A202C"/>
          <w:sz w:val="20"/>
          <w:szCs w:val="20"/>
        </w:rPr>
        <w:t xml:space="preserve">We hereby declare that this Major Research Project titled "Analysing Volatility of Blue-Chip Funds using GARCH Model to depict Risk Mitigation" submitted to the Faculty of Management Studies, Marwadi University, is a bonafide work undertaken by us and it has not been submitted to any other University or Institution for the award of any degree, diploma, or certificate, nor has it been published at any time before.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4F6F9" w:val="clear"/>
            <w:tcMar>
              <w:top w:type="dxa" w:w="160"/>
              <w:left w:type="dxa" w:w="200"/>
              <w:bottom w:type="dxa" w:w="160"/>
              <w:right w:type="dxa" w:w="200"/>
            </w:tcMar>
          </w:tcPr>
          <w:p>
            <w:pPr>
              <w:spacing w:after="60" w:before="0" w:line="300"/>
            </w:pPr>
            <w:r>
              <w:rPr>
                <w:rFonts w:ascii="Calibri" w:cs="Calibri" w:eastAsia="Calibri" w:hAnsi="Calibri"/>
                <w:b/>
                <w:bCs/>
                <w:color w:val="0D2B55"/>
                <w:sz w:val="22"/>
                <w:szCs w:val="22"/>
              </w:rPr>
              <w:t xml:space="preserve">Sakshi Jigneshbhai Pathak</w:t>
            </w:r>
          </w:p>
          <w:p>
            <w:pPr>
              <w:spacing w:after="60" w:before="0" w:line="300"/>
            </w:pPr>
            <w:r>
              <w:rPr>
                <w:rFonts w:ascii="Calibri" w:cs="Calibri" w:eastAsia="Calibri" w:hAnsi="Calibri"/>
                <w:color w:val="4A5568"/>
                <w:sz w:val="18"/>
                <w:szCs w:val="18"/>
              </w:rPr>
              <w:t xml:space="preserve">Enrol. No: 92201425054</w:t>
            </w:r>
          </w:p>
          <w:p>
            <w:pPr>
              <w:spacing w:after="0" w:before="0" w:line="300"/>
            </w:pPr>
            <w:r>
              <w:rPr>
                <w:rFonts w:ascii="Calibri" w:cs="Calibri" w:eastAsia="Calibri" w:hAnsi="Calibri"/>
                <w:color w:val="4A5568"/>
                <w:sz w:val="18"/>
                <w:szCs w:val="18"/>
              </w:rPr>
              <w:t xml:space="preserve">Date: April 2025  |  Place: Rajkot</w:t>
            </w:r>
          </w:p>
        </w:tc>
        <w:tc>
          <w:tcPr>
            <w:tcW w:type="dxa" w:w="4680"/>
            <w:tcBorders>
              <w:top w:val="none" w:color="FFFFFF" w:sz="0"/>
              <w:left w:val="none" w:color="FFFFFF" w:sz="0"/>
              <w:bottom w:val="none" w:color="FFFFFF" w:sz="0"/>
              <w:right w:val="none" w:color="FFFFFF" w:sz="0"/>
            </w:tcBorders>
            <w:shd w:fill="D6E8FA" w:val="clear"/>
            <w:tcMar>
              <w:top w:type="dxa" w:w="160"/>
              <w:left w:type="dxa" w:w="200"/>
              <w:bottom w:type="dxa" w:w="160"/>
              <w:right w:type="dxa" w:w="200"/>
            </w:tcMar>
          </w:tcPr>
          <w:p>
            <w:pPr>
              <w:spacing w:after="60" w:before="0" w:line="300"/>
            </w:pPr>
            <w:r>
              <w:rPr>
                <w:rFonts w:ascii="Calibri" w:cs="Calibri" w:eastAsia="Calibri" w:hAnsi="Calibri"/>
                <w:b/>
                <w:bCs/>
                <w:color w:val="0D2B55"/>
                <w:sz w:val="22"/>
                <w:szCs w:val="22"/>
              </w:rPr>
              <w:t xml:space="preserve">Hemang Rajeshbhai Joshi</w:t>
            </w:r>
          </w:p>
          <w:p>
            <w:pPr>
              <w:spacing w:after="60" w:before="0" w:line="300"/>
            </w:pPr>
            <w:r>
              <w:rPr>
                <w:rFonts w:ascii="Calibri" w:cs="Calibri" w:eastAsia="Calibri" w:hAnsi="Calibri"/>
                <w:color w:val="4A5568"/>
                <w:sz w:val="18"/>
                <w:szCs w:val="18"/>
              </w:rPr>
              <w:t xml:space="preserve">Enrol. No: 92201425256</w:t>
            </w:r>
          </w:p>
          <w:p>
            <w:pPr>
              <w:spacing w:after="0" w:before="0" w:line="300"/>
            </w:pPr>
            <w:r>
              <w:rPr>
                <w:rFonts w:ascii="Calibri" w:cs="Calibri" w:eastAsia="Calibri" w:hAnsi="Calibri"/>
                <w:color w:val="4A5568"/>
                <w:sz w:val="18"/>
                <w:szCs w:val="18"/>
              </w:rPr>
              <w:t xml:space="preserve">Date: April 2025  |  Place: Rajkot</w:t>
            </w:r>
          </w:p>
        </w:tc>
      </w:tr>
    </w:tbl>
    <w:p>
      <w:r>
        <w:br w:type="page"/>
      </w:r>
    </w:p>
    <w:p>
      <w:pPr>
        <w:pBdr>
          <w:bottom w:val="single" w:color="F0A500" w:sz="5" w:space="6"/>
        </w:pBdr>
        <w:spacing w:after="160" w:before="400"/>
      </w:pPr>
      <w:r>
        <w:rPr>
          <w:rFonts w:ascii="Calibri" w:cs="Calibri" w:eastAsia="Calibri" w:hAnsi="Calibri"/>
          <w:b/>
          <w:bCs/>
          <w:color w:val="0D2B55"/>
          <w:sz w:val="32"/>
          <w:szCs w:val="32"/>
        </w:rPr>
        <w:t xml:space="preserve">Preface</w:t>
      </w:r>
    </w:p>
    <w:p>
      <w:pPr>
        <w:spacing w:after="80" w:before="80" w:line="300"/>
        <w:jc w:val="both"/>
      </w:pPr>
      <w:r>
        <w:rPr>
          <w:rFonts w:ascii="Calibri" w:cs="Calibri" w:eastAsia="Calibri" w:hAnsi="Calibri"/>
          <w:color w:val="1A202C"/>
          <w:sz w:val="20"/>
          <w:szCs w:val="20"/>
        </w:rPr>
        <w:t xml:space="preserve">Research plays an indispensable role in the academic journey of any student, particularly in the field of management, where understanding real-world applications is crucial. A comprehensive and well-articulated description of the study's key elements is essential to ensure that the research is both meaningful and impactful. Within management education, students are prepared not just through theoretical learning but also by engaging with practical experiences that help them extract valuable insights into corporate culture and organizational dynamics.</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The core objective of management education is to bridge the gap between academic concepts and their real-life applications. Through research and hands-on exploration, students cultivate a deeper understanding of managerial roles, decision-making processes, and the complexities of the business environment. The major research project serves as a cornerstone of this educational approach — designed to familiarize students with academic research methodology and sharpen their analytical and investigative skills.</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At Marwadi University, the completion of a comprehensive research project report is a mandatory component of the Bachelor of Business Administration (BBA) program during the 6th semester. As part of this academic framework, we have undertaken a research project titled "Analysing Volatility of Blue-Chip Funds Using the GARCH Model to Depict Risk Mitigation." This study aims to explore the dynamics of financial risk associated with high-value investments and seeks to provide strategic insights into managing volatility using advanced econometric models.</w:t>
      </w:r>
    </w:p>
    <w:p>
      <w:r>
        <w:br w:type="page"/>
      </w:r>
    </w:p>
    <w:p>
      <w:pPr>
        <w:pBdr>
          <w:bottom w:val="single" w:color="F0A500" w:sz="5" w:space="6"/>
        </w:pBdr>
        <w:spacing w:after="160" w:before="400"/>
      </w:pPr>
      <w:r>
        <w:rPr>
          <w:rFonts w:ascii="Calibri" w:cs="Calibri" w:eastAsia="Calibri" w:hAnsi="Calibri"/>
          <w:b/>
          <w:bCs/>
          <w:color w:val="0D2B55"/>
          <w:sz w:val="32"/>
          <w:szCs w:val="32"/>
        </w:rPr>
        <w:t xml:space="preserve">Acknowledgment</w:t>
      </w:r>
    </w:p>
    <w:p>
      <w:pPr>
        <w:spacing w:after="80" w:before="80" w:line="300"/>
        <w:jc w:val="both"/>
      </w:pPr>
      <w:r>
        <w:rPr>
          <w:rFonts w:ascii="Calibri" w:cs="Calibri" w:eastAsia="Calibri" w:hAnsi="Calibri"/>
          <w:color w:val="1A202C"/>
          <w:sz w:val="20"/>
          <w:szCs w:val="20"/>
        </w:rPr>
        <w:t xml:space="preserve">We would like to extend our heartfelt gratitude to Marwadi University and the Faculty of Management Studies (FMS) for granting us the opportunity and providing the necessary resources to undertake this research project.</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We are deeply thankful to the Dean of FMS and Pro Provost Prof. (Dr) Sanjeet Sinh for his unwavering support and visionary leadership, which greatly inspired and guided us throughout this journey. Our sincere appreciation also goes to Associate Dean Prof. (Dr) Meeta Joshi and Head of Department Professor Paras Rughani for their continuous encouragement, invaluable insights, and academic guidance.</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We are especially grateful to our Program Coordinator, Prof. (Dr) Jyoti Ishwar Laljani, and Overall Project Coordinator, Prof. (Dr) Tushar Ranpariya, for their dedicated support and coordination, which contributed significantly to the successful execution of our project. A special note of thanks is reserved for our Guide, Prof. (Dr) Jyoti Ishwar Laljani, whose mentorship, constructive feedback, and constant encouragement played a pivotal role in shaping our research.</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Lastly, we would like to express our profound thanks to Professor Rohit Lala for his motivating presence, insightful guidance, and unwavering belief in our potential, which inspired us to strive for excellence and bring this project to fruition.</w:t>
      </w:r>
    </w:p>
    <w:p>
      <w:r>
        <w:br w:type="page"/>
      </w:r>
    </w:p>
    <w:p>
      <w:pPr>
        <w:pBdr>
          <w:bottom w:val="single" w:color="F0A500" w:sz="5" w:space="6"/>
        </w:pBdr>
        <w:spacing w:after="160" w:before="400"/>
      </w:pPr>
      <w:r>
        <w:rPr>
          <w:rFonts w:ascii="Calibri" w:cs="Calibri" w:eastAsia="Calibri" w:hAnsi="Calibri"/>
          <w:b/>
          <w:bCs/>
          <w:color w:val="0D2B55"/>
          <w:sz w:val="32"/>
          <w:szCs w:val="32"/>
        </w:rPr>
        <w:t xml:space="preserve">Executive Summary</w:t>
      </w:r>
    </w:p>
    <w:p>
      <w:pPr>
        <w:spacing w:after="80" w:before="80" w:line="300"/>
        <w:jc w:val="both"/>
      </w:pPr>
      <w:r>
        <w:rPr>
          <w:rFonts w:ascii="Calibri" w:cs="Calibri" w:eastAsia="Calibri" w:hAnsi="Calibri"/>
          <w:color w:val="1A202C"/>
          <w:sz w:val="20"/>
          <w:szCs w:val="20"/>
        </w:rPr>
        <w:t xml:space="preserve">This research project explores the financial dynamics of market-leading investment instruments known as Blue-Chip Funds — typically composed of large, well-established companies with a track record of reliability and stable returns. While often considered low-risk investments, even these premium assets are not entirely immune to market volatility, which can impact investor returns and risk exposure.</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The core objective of this study is to examine the volatility patterns of selected Blue-Chip Funds and assess how risk can be effectively quantified and mitigated using the GARCH (Generalized Autoregressive Conditional Heteroskedasticity) model. Leveraging historical time-series data from the financial year 2024, this research evaluates whether volatility clustering exists within the returns and determines the presence of stationarity using statistical tests.</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The methodology involves collecting daily return data of prominent Blue-Chip Funds over a one-year period, applying unit root tests such as the Augmented Dickey-Fuller (ADF) test, and fitting the GARCH model to capture volatility behavior. The study provides insights into the persistence of shocks in financial markets, the predictive power of the model, and its usefulness in constructing a more risk-averse investment strategy.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B55" w:val="clear"/>
            <w:tcMar>
              <w:top w:type="dxa" w:w="120"/>
              <w:left w:type="dxa" w:w="160"/>
              <w:bottom w:type="dxa" w:w="120"/>
              <w:right w:type="dxa" w:w="160"/>
            </w:tcMar>
          </w:tcPr>
          <w:p>
            <w:pPr>
              <w:spacing w:after="40" w:before="0" w:line="300"/>
            </w:pPr>
            <w:r>
              <w:rPr>
                <w:rFonts w:ascii="Calibri" w:cs="Calibri" w:eastAsia="Calibri" w:hAnsi="Calibri"/>
                <w:b/>
                <w:bCs/>
                <w:color w:val="F0A500"/>
                <w:sz w:val="16"/>
                <w:szCs w:val="16"/>
              </w:rPr>
              <w:t xml:space="preserve">Study Period</w:t>
            </w:r>
          </w:p>
          <w:p>
            <w:pPr>
              <w:spacing w:after="0" w:before="0" w:line="300"/>
            </w:pPr>
            <w:r>
              <w:rPr>
                <w:rFonts w:ascii="Calibri" w:cs="Calibri" w:eastAsia="Calibri" w:hAnsi="Calibri"/>
                <w:color w:val="FFFFFF"/>
                <w:sz w:val="19"/>
                <w:szCs w:val="19"/>
              </w:rPr>
              <w:t xml:space="preserve">Jan–Dec 2024</w:t>
            </w:r>
          </w:p>
        </w:tc>
        <w:tc>
          <w:tcPr>
            <w:tcW w:type="dxa" w:w="2340"/>
            <w:tcBorders>
              <w:top w:val="single" w:color="CCCCCC" w:sz="1"/>
              <w:left w:val="single" w:color="CCCCCC" w:sz="1"/>
              <w:bottom w:val="single" w:color="CCCCCC" w:sz="1"/>
              <w:right w:val="single" w:color="CCCCCC" w:sz="1"/>
            </w:tcBorders>
            <w:shd w:fill="0D2B55" w:val="clear"/>
            <w:tcMar>
              <w:top w:type="dxa" w:w="120"/>
              <w:left w:type="dxa" w:w="160"/>
              <w:bottom w:type="dxa" w:w="120"/>
              <w:right w:type="dxa" w:w="160"/>
            </w:tcMar>
          </w:tcPr>
          <w:p>
            <w:pPr>
              <w:spacing w:after="40" w:before="0" w:line="300"/>
            </w:pPr>
            <w:r>
              <w:rPr>
                <w:rFonts w:ascii="Calibri" w:cs="Calibri" w:eastAsia="Calibri" w:hAnsi="Calibri"/>
                <w:b/>
                <w:bCs/>
                <w:color w:val="F0A500"/>
                <w:sz w:val="16"/>
                <w:szCs w:val="16"/>
              </w:rPr>
              <w:t xml:space="preserve">Companies Studied</w:t>
            </w:r>
          </w:p>
          <w:p>
            <w:pPr>
              <w:spacing w:after="0" w:before="0" w:line="300"/>
            </w:pPr>
            <w:r>
              <w:rPr>
                <w:rFonts w:ascii="Calibri" w:cs="Calibri" w:eastAsia="Calibri" w:hAnsi="Calibri"/>
                <w:color w:val="FFFFFF"/>
                <w:sz w:val="19"/>
                <w:szCs w:val="19"/>
              </w:rPr>
              <w:t xml:space="preserve">Top 10 Blue-Chip (NSE/BSE)</w:t>
            </w:r>
          </w:p>
        </w:tc>
        <w:tc>
          <w:tcPr>
            <w:tcW w:type="dxa" w:w="2340"/>
            <w:tcBorders>
              <w:top w:val="single" w:color="CCCCCC" w:sz="1"/>
              <w:left w:val="single" w:color="CCCCCC" w:sz="1"/>
              <w:bottom w:val="single" w:color="CCCCCC" w:sz="1"/>
              <w:right w:val="single" w:color="CCCCCC" w:sz="1"/>
            </w:tcBorders>
            <w:shd w:fill="0D2B55" w:val="clear"/>
            <w:tcMar>
              <w:top w:type="dxa" w:w="120"/>
              <w:left w:type="dxa" w:w="160"/>
              <w:bottom w:type="dxa" w:w="120"/>
              <w:right w:type="dxa" w:w="160"/>
            </w:tcMar>
          </w:tcPr>
          <w:p>
            <w:pPr>
              <w:spacing w:after="40" w:before="0" w:line="300"/>
            </w:pPr>
            <w:r>
              <w:rPr>
                <w:rFonts w:ascii="Calibri" w:cs="Calibri" w:eastAsia="Calibri" w:hAnsi="Calibri"/>
                <w:b/>
                <w:bCs/>
                <w:color w:val="F0A500"/>
                <w:sz w:val="16"/>
                <w:szCs w:val="16"/>
              </w:rPr>
              <w:t xml:space="preserve">Primary Model</w:t>
            </w:r>
          </w:p>
          <w:p>
            <w:pPr>
              <w:spacing w:after="0" w:before="0" w:line="300"/>
            </w:pPr>
            <w:r>
              <w:rPr>
                <w:rFonts w:ascii="Calibri" w:cs="Calibri" w:eastAsia="Calibri" w:hAnsi="Calibri"/>
                <w:color w:val="FFFFFF"/>
                <w:sz w:val="19"/>
                <w:szCs w:val="19"/>
              </w:rPr>
              <w:t xml:space="preserve">GARCH (1,1)</w:t>
            </w:r>
          </w:p>
        </w:tc>
        <w:tc>
          <w:tcPr>
            <w:tcW w:type="dxa" w:w="2340"/>
            <w:tcBorders>
              <w:top w:val="single" w:color="CCCCCC" w:sz="1"/>
              <w:left w:val="single" w:color="CCCCCC" w:sz="1"/>
              <w:bottom w:val="single" w:color="CCCCCC" w:sz="1"/>
              <w:right w:val="single" w:color="CCCCCC" w:sz="1"/>
            </w:tcBorders>
            <w:shd w:fill="0D2B55" w:val="clear"/>
            <w:tcMar>
              <w:top w:type="dxa" w:w="120"/>
              <w:left w:type="dxa" w:w="160"/>
              <w:bottom w:type="dxa" w:w="120"/>
              <w:right w:type="dxa" w:w="160"/>
            </w:tcMar>
          </w:tcPr>
          <w:p>
            <w:pPr>
              <w:spacing w:after="40" w:before="0" w:line="300"/>
            </w:pPr>
            <w:r>
              <w:rPr>
                <w:rFonts w:ascii="Calibri" w:cs="Calibri" w:eastAsia="Calibri" w:hAnsi="Calibri"/>
                <w:b/>
                <w:bCs/>
                <w:color w:val="F0A500"/>
                <w:sz w:val="16"/>
                <w:szCs w:val="16"/>
              </w:rPr>
              <w:t xml:space="preserve">Data Source</w:t>
            </w:r>
          </w:p>
          <w:p>
            <w:pPr>
              <w:spacing w:after="0" w:before="0" w:line="300"/>
            </w:pPr>
            <w:r>
              <w:rPr>
                <w:rFonts w:ascii="Calibri" w:cs="Calibri" w:eastAsia="Calibri" w:hAnsi="Calibri"/>
                <w:color w:val="FFFFFF"/>
                <w:sz w:val="19"/>
                <w:szCs w:val="19"/>
              </w:rPr>
              <w:t xml:space="preserve">Yahoo Finance / NSE</w:t>
            </w:r>
          </w:p>
        </w:tc>
      </w:tr>
    </w:tbl>
    <w:p>
      <w:r>
        <w:br w:type="page"/>
      </w:r>
    </w:p>
    <w:p>
      <w:pPr>
        <w:pBdr>
          <w:bottom w:val="single" w:color="F0A500" w:sz="5" w:space="6"/>
        </w:pBdr>
        <w:spacing w:after="160" w:before="400"/>
      </w:pPr>
      <w:r>
        <w:rPr>
          <w:rFonts w:ascii="Calibri" w:cs="Calibri" w:eastAsia="Calibri" w:hAnsi="Calibri"/>
          <w:b/>
          <w:bCs/>
          <w:color w:val="0D2B55"/>
          <w:sz w:val="32"/>
          <w:szCs w:val="32"/>
        </w:rPr>
        <w:t xml:space="preserve">List of Abbreviations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200"/>
        <w:gridCol w:w="3560"/>
      </w:tblGrid>
      <w:tr>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Abbreviation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Full Form</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Abbreviation</w:t>
            </w:r>
          </w:p>
        </w:tc>
        <w:tc>
          <w:tcPr>
            <w:tcW w:type="dxa" w:w="3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Full Form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F5DA0"/>
                <w:sz w:val="18"/>
                <w:szCs w:val="18"/>
              </w:rPr>
              <w:t xml:space="preserve">VIX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Volatility Index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F5DA0"/>
                <w:sz w:val="18"/>
                <w:szCs w:val="18"/>
              </w:rPr>
              <w:t xml:space="preserve">ARCH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Autoregressive Conditional Heteroskedasticity</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bCs/>
                <w:color w:val="1F5DA0"/>
                <w:sz w:val="18"/>
                <w:szCs w:val="18"/>
              </w:rPr>
              <w:t xml:space="preserve">VAR</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Value at Risk</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bCs/>
                <w:color w:val="1F5DA0"/>
                <w:sz w:val="18"/>
                <w:szCs w:val="18"/>
              </w:rPr>
              <w:t xml:space="preserve">GARCH</w:t>
            </w:r>
          </w:p>
        </w:tc>
        <w:tc>
          <w:tcPr>
            <w:tcW w:type="dxa" w:w="3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Generalized Autoregressive Conditional Heteroskedasticity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F5DA0"/>
                <w:sz w:val="18"/>
                <w:szCs w:val="18"/>
              </w:rPr>
              <w:t xml:space="preserve">CAPM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Capital Asset Pricing Model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F5DA0"/>
                <w:sz w:val="18"/>
                <w:szCs w:val="18"/>
              </w:rPr>
              <w:t xml:space="preserve">ADF</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Augmented Dickey-Fuller</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bCs/>
                <w:color w:val="1F5DA0"/>
                <w:sz w:val="18"/>
                <w:szCs w:val="18"/>
              </w:rPr>
              <w:t xml:space="preserve">ESG</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Environmental, Social and Governance</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bCs/>
                <w:color w:val="1F5DA0"/>
                <w:sz w:val="18"/>
                <w:szCs w:val="18"/>
              </w:rPr>
              <w:t xml:space="preserve">HDFC</w:t>
            </w:r>
          </w:p>
        </w:tc>
        <w:tc>
          <w:tcPr>
            <w:tcW w:type="dxa" w:w="3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Housing Development Finance Corporation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F5DA0"/>
                <w:sz w:val="18"/>
                <w:szCs w:val="18"/>
              </w:rPr>
              <w:t xml:space="preserve">AMC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Asset Management Company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F5DA0"/>
                <w:sz w:val="18"/>
                <w:szCs w:val="18"/>
              </w:rPr>
              <w:t xml:space="preserve">ICICI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Industrial Credit and Investment Corporation of India</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bCs/>
                <w:color w:val="1F5DA0"/>
                <w:sz w:val="18"/>
                <w:szCs w:val="18"/>
              </w:rPr>
              <w:t xml:space="preserve">AUM</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Asset Under Management</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bCs/>
                <w:color w:val="1F5DA0"/>
                <w:sz w:val="18"/>
                <w:szCs w:val="18"/>
              </w:rPr>
              <w:t xml:space="preserve">SBI</w:t>
            </w:r>
          </w:p>
        </w:tc>
        <w:tc>
          <w:tcPr>
            <w:tcW w:type="dxa" w:w="3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State Bank of India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F5DA0"/>
                <w:sz w:val="18"/>
                <w:szCs w:val="18"/>
              </w:rPr>
              <w:t xml:space="preserve">EMI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Equated Monthly Instalment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F5DA0"/>
                <w:sz w:val="18"/>
                <w:szCs w:val="18"/>
              </w:rPr>
              <w:t xml:space="preserve">ITC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Indian Tobacco Company</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bCs/>
                <w:color w:val="1F5DA0"/>
                <w:sz w:val="18"/>
                <w:szCs w:val="18"/>
              </w:rPr>
              <w:t xml:space="preserve">FMCG</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Fast Moving Consumer Goods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bCs/>
                <w:color w:val="1F5DA0"/>
                <w:sz w:val="18"/>
                <w:szCs w:val="18"/>
              </w:rPr>
              <w:t xml:space="preserve">HCL</w:t>
            </w:r>
          </w:p>
        </w:tc>
        <w:tc>
          <w:tcPr>
            <w:tcW w:type="dxa" w:w="3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Calibri" w:cs="Calibri" w:eastAsia="Calibri" w:hAnsi="Calibri"/>
                <w:b w:val="false"/>
                <w:bCs w:val="false"/>
                <w:color w:val="1A202C"/>
                <w:sz w:val="18"/>
                <w:szCs w:val="18"/>
              </w:rPr>
              <w:t xml:space="preserve">Hindustan Computers Limited</w:t>
            </w:r>
          </w:p>
        </w:tc>
      </w:tr>
    </w:tbl>
    <w:p>
      <w:r>
        <w:br w:type="page"/>
      </w:r>
    </w:p>
    <w:p>
      <w:pPr>
        <w:pBdr>
          <w:bottom w:val="single" w:color="F0A500" w:sz="5" w:space="6"/>
        </w:pBdr>
        <w:spacing w:after="160" w:before="400"/>
      </w:pPr>
      <w:r>
        <w:rPr>
          <w:rFonts w:ascii="Calibri" w:cs="Calibri" w:eastAsia="Calibri" w:hAnsi="Calibri"/>
          <w:b/>
          <w:bCs/>
          <w:color w:val="0D2B55"/>
          <w:sz w:val="32"/>
          <w:szCs w:val="32"/>
        </w:rPr>
        <w:t xml:space="preserve">Chapter 1: Introduction</w:t>
      </w:r>
    </w:p>
    <w:p>
      <w:pPr>
        <w:spacing w:after="120" w:before="280"/>
      </w:pPr>
      <w:r>
        <w:rPr>
          <w:rFonts w:ascii="Calibri" w:cs="Calibri" w:eastAsia="Calibri" w:hAnsi="Calibri"/>
          <w:b/>
          <w:bCs/>
          <w:color w:val="1A3A6B"/>
          <w:sz w:val="24"/>
          <w:szCs w:val="24"/>
        </w:rPr>
        <w:t xml:space="preserve">1.1  Blue Chip</w:t>
      </w:r>
    </w:p>
    <w:p>
      <w:pPr>
        <w:spacing w:after="80" w:before="80" w:line="300"/>
        <w:jc w:val="both"/>
      </w:pPr>
      <w:r>
        <w:rPr>
          <w:rFonts w:ascii="Calibri" w:cs="Calibri" w:eastAsia="Calibri" w:hAnsi="Calibri"/>
          <w:color w:val="1A202C"/>
          <w:sz w:val="20"/>
          <w:szCs w:val="20"/>
        </w:rPr>
        <w:t xml:space="preserve">The phrase "blue chip" originated from the world of poker, where blue chips represent the highest value tokens at the table. In finance, the term has come to describe stocks and companies of the highest quality, stability, and reliability.</w:t>
      </w:r>
    </w:p>
    <w:p>
      <w:pPr>
        <w:spacing w:after="120" w:before="280"/>
      </w:pPr>
      <w:r>
        <w:rPr>
          <w:rFonts w:ascii="Calibri" w:cs="Calibri" w:eastAsia="Calibri" w:hAnsi="Calibri"/>
          <w:b/>
          <w:bCs/>
          <w:color w:val="1A3A6B"/>
          <w:sz w:val="24"/>
          <w:szCs w:val="24"/>
        </w:rPr>
        <w:t xml:space="preserve">1.2  Blue-Chip Stocks</w:t>
      </w:r>
    </w:p>
    <w:p>
      <w:pPr>
        <w:spacing w:after="80" w:before="80" w:line="300"/>
        <w:jc w:val="both"/>
      </w:pPr>
      <w:r>
        <w:rPr>
          <w:rFonts w:ascii="Calibri" w:cs="Calibri" w:eastAsia="Calibri" w:hAnsi="Calibri"/>
          <w:color w:val="1A202C"/>
          <w:sz w:val="20"/>
          <w:szCs w:val="20"/>
        </w:rPr>
        <w:t xml:space="preserve">The concept of blue-chip stocks was originated in 1923 when Oliver Gingold of Dow Jones coined the term to refer to stocks trading at $200 and above. Since then, blue-chip stocks have become synonymous with high-value, stable, and reliable large-cap companies. They are generally included in top market indices and are used to mitigate portfolio risk.</w:t>
      </w:r>
    </w:p>
    <w:p>
      <w:pPr>
        <w:spacing w:after="80" w:before="200"/>
      </w:pPr>
      <w:r>
        <w:rPr>
          <w:rFonts w:ascii="Calibri" w:cs="Calibri" w:eastAsia="Calibri" w:hAnsi="Calibri"/>
          <w:b/>
          <w:bCs/>
          <w:color w:val="1F5DA0"/>
          <w:sz w:val="22"/>
          <w:szCs w:val="22"/>
        </w:rPr>
        <w:t xml:space="preserve">1.2.1  Features and Characteristics</w:t>
      </w:r>
    </w:p>
    <w:p>
      <w:pPr>
        <w:pStyle w:val="ListParagraph"/>
        <w:numPr>
          <w:ilvl w:val="0"/>
          <w:numId w:val="2"/>
        </w:numPr>
        <w:spacing w:after="50" w:before="50" w:line="300"/>
      </w:pPr>
      <w:r>
        <w:rPr>
          <w:rFonts w:ascii="Calibri" w:cs="Calibri" w:eastAsia="Calibri" w:hAnsi="Calibri"/>
          <w:color w:val="1A202C"/>
          <w:sz w:val="20"/>
          <w:szCs w:val="20"/>
        </w:rPr>
        <w:t xml:space="preserve">Stability — These stocks have established themselves through years of continuous business success, providing predictable profits and dividend payments.</w:t>
      </w:r>
    </w:p>
    <w:p>
      <w:pPr>
        <w:pStyle w:val="ListParagraph"/>
        <w:numPr>
          <w:ilvl w:val="0"/>
          <w:numId w:val="2"/>
        </w:numPr>
        <w:spacing w:after="50" w:before="50" w:line="300"/>
      </w:pPr>
      <w:r>
        <w:rPr>
          <w:rFonts w:ascii="Calibri" w:cs="Calibri" w:eastAsia="Calibri" w:hAnsi="Calibri"/>
          <w:color w:val="1A202C"/>
          <w:sz w:val="20"/>
          <w:szCs w:val="20"/>
        </w:rPr>
        <w:t xml:space="preserve">Reputation and Brand Value — Long-established businesses with strong management practices, solid operations, and admirable leadership.</w:t>
      </w:r>
    </w:p>
    <w:p>
      <w:pPr>
        <w:pStyle w:val="ListParagraph"/>
        <w:numPr>
          <w:ilvl w:val="0"/>
          <w:numId w:val="2"/>
        </w:numPr>
        <w:spacing w:after="50" w:before="50" w:line="300"/>
      </w:pPr>
      <w:r>
        <w:rPr>
          <w:rFonts w:ascii="Calibri" w:cs="Calibri" w:eastAsia="Calibri" w:hAnsi="Calibri"/>
          <w:color w:val="1A202C"/>
          <w:sz w:val="20"/>
          <w:szCs w:val="20"/>
        </w:rPr>
        <w:t xml:space="preserve">Dividend Payouts — Regular dividends providing continuous income, targeted by investors seeking dependable profit returns.</w:t>
      </w:r>
    </w:p>
    <w:p>
      <w:pPr>
        <w:pStyle w:val="ListParagraph"/>
        <w:numPr>
          <w:ilvl w:val="0"/>
          <w:numId w:val="2"/>
        </w:numPr>
        <w:spacing w:after="50" w:before="50" w:line="300"/>
      </w:pPr>
      <w:r>
        <w:rPr>
          <w:rFonts w:ascii="Calibri" w:cs="Calibri" w:eastAsia="Calibri" w:hAnsi="Calibri"/>
          <w:color w:val="1A202C"/>
          <w:sz w:val="20"/>
          <w:szCs w:val="20"/>
        </w:rPr>
        <w:t xml:space="preserve">Long-Term Growth Potential — Designed for slow and steady long-term growth rather than speculative quick gains.</w:t>
      </w:r>
    </w:p>
    <w:p>
      <w:pPr>
        <w:spacing w:after="80" w:before="200"/>
      </w:pPr>
      <w:r>
        <w:rPr>
          <w:rFonts w:ascii="Calibri" w:cs="Calibri" w:eastAsia="Calibri" w:hAnsi="Calibri"/>
          <w:b/>
          <w:bCs/>
          <w:color w:val="1F5DA0"/>
          <w:sz w:val="22"/>
          <w:szCs w:val="22"/>
        </w:rPr>
        <w:t xml:space="preserve">1.2.2  Blue Chip Swap</w:t>
      </w:r>
    </w:p>
    <w:p>
      <w:pPr>
        <w:spacing w:after="80" w:before="80" w:line="300"/>
        <w:jc w:val="both"/>
      </w:pPr>
      <w:r>
        <w:rPr>
          <w:rFonts w:ascii="Calibri" w:cs="Calibri" w:eastAsia="Calibri" w:hAnsi="Calibri"/>
          <w:color w:val="1A202C"/>
          <w:sz w:val="20"/>
          <w:szCs w:val="20"/>
        </w:rPr>
        <w:t xml:space="preserve">Blue Chip Swap is a finance strategy where an investor exchanges holdings in one blue-chip stock for another — to restructure their portfolio, acquire underpriced securities, or move between industry sectors. The strategy requires a thorough analysis of financial health, industry trends, and market conditions before implementation.</w:t>
      </w:r>
    </w:p>
    <w:p>
      <w:pPr>
        <w:spacing w:after="80" w:before="200"/>
      </w:pPr>
      <w:r>
        <w:rPr>
          <w:rFonts w:ascii="Calibri" w:cs="Calibri" w:eastAsia="Calibri" w:hAnsi="Calibri"/>
          <w:b/>
          <w:bCs/>
          <w:color w:val="1F5DA0"/>
          <w:sz w:val="22"/>
          <w:szCs w:val="22"/>
        </w:rPr>
        <w:t xml:space="preserve">1.2.3  Top Blue-Chip Stocks in India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Rank</w:t>
            </w:r>
          </w:p>
        </w:tc>
        <w:tc>
          <w:tcPr>
            <w:tcW w:type="dxa" w:w="81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Company Name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Reliance Industries Ltd.</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2</w:t>
            </w:r>
          </w:p>
        </w:tc>
        <w:tc>
          <w:tcPr>
            <w:tcW w:type="dxa" w:w="8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HDFC Bank Ltd.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Tata Consultancy Services Ltd.</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4</w:t>
            </w:r>
          </w:p>
        </w:tc>
        <w:tc>
          <w:tcPr>
            <w:tcW w:type="dxa" w:w="8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ICICI Bank Ltd.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State Bank of India Ltd.</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6</w:t>
            </w:r>
          </w:p>
        </w:tc>
        <w:tc>
          <w:tcPr>
            <w:tcW w:type="dxa" w:w="8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Bajaj Finance Ltd.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Hindustan Unilever Ltd.</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8</w:t>
            </w:r>
          </w:p>
        </w:tc>
        <w:tc>
          <w:tcPr>
            <w:tcW w:type="dxa" w:w="8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ITC Ltd.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Larsen &amp; Toubro Ltd.</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10</w:t>
            </w:r>
          </w:p>
        </w:tc>
        <w:tc>
          <w:tcPr>
            <w:tcW w:type="dxa" w:w="8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HCL Technologies Ltd.</w:t>
            </w:r>
          </w:p>
        </w:tc>
      </w:tr>
    </w:tbl>
    <w:p>
      <w:pPr>
        <w:spacing w:after="120" w:before="280"/>
      </w:pPr>
      <w:r>
        <w:rPr>
          <w:rFonts w:ascii="Calibri" w:cs="Calibri" w:eastAsia="Calibri" w:hAnsi="Calibri"/>
          <w:b/>
          <w:bCs/>
          <w:color w:val="1A3A6B"/>
          <w:sz w:val="24"/>
          <w:szCs w:val="24"/>
        </w:rPr>
        <w:t xml:space="preserve">1.3  Blue-Chip Funds</w:t>
      </w:r>
    </w:p>
    <w:p>
      <w:pPr>
        <w:spacing w:after="80" w:before="80" w:line="300"/>
        <w:jc w:val="both"/>
      </w:pPr>
      <w:r>
        <w:rPr>
          <w:rFonts w:ascii="Calibri" w:cs="Calibri" w:eastAsia="Calibri" w:hAnsi="Calibri"/>
          <w:color w:val="1A202C"/>
          <w:sz w:val="20"/>
          <w:szCs w:val="20"/>
        </w:rPr>
        <w:t xml:space="preserve">Blue-chip funds are mutual funds that invest in the blue-chip stocks of well-established companies — predominantly large-cap companies that have performed consistently over multiple years. SEBI requires large-cap funds to place 80% of their capital into companies within the top 100 by market capitalization. These funds serve as a core investment vehicle for building wealth stability.</w:t>
      </w:r>
    </w:p>
    <w:p>
      <w:pPr>
        <w:spacing w:after="80" w:before="200"/>
      </w:pPr>
      <w:r>
        <w:rPr>
          <w:rFonts w:ascii="Calibri" w:cs="Calibri" w:eastAsia="Calibri" w:hAnsi="Calibri"/>
          <w:b/>
          <w:bCs/>
          <w:color w:val="1F5DA0"/>
          <w:sz w:val="22"/>
          <w:szCs w:val="22"/>
        </w:rPr>
        <w:t xml:space="preserve">1.3.1  Criteria for Selecting a Blue-Chip Fund</w:t>
      </w:r>
    </w:p>
    <w:p>
      <w:pPr>
        <w:pStyle w:val="ListParagraph"/>
        <w:numPr>
          <w:ilvl w:val="0"/>
          <w:numId w:val="2"/>
        </w:numPr>
        <w:spacing w:after="50" w:before="50" w:line="300"/>
      </w:pPr>
      <w:r>
        <w:rPr>
          <w:rFonts w:ascii="Calibri" w:cs="Calibri" w:eastAsia="Calibri" w:hAnsi="Calibri"/>
          <w:color w:val="1A202C"/>
          <w:sz w:val="20"/>
          <w:szCs w:val="20"/>
        </w:rPr>
        <w:t xml:space="preserve">Parent Company and Asset Management Company (AMC) track record</w:t>
      </w:r>
    </w:p>
    <w:p>
      <w:pPr>
        <w:pStyle w:val="ListParagraph"/>
        <w:numPr>
          <w:ilvl w:val="0"/>
          <w:numId w:val="2"/>
        </w:numPr>
        <w:spacing w:after="50" w:before="50" w:line="300"/>
      </w:pPr>
      <w:r>
        <w:rPr>
          <w:rFonts w:ascii="Calibri" w:cs="Calibri" w:eastAsia="Calibri" w:hAnsi="Calibri"/>
          <w:color w:val="1A202C"/>
          <w:sz w:val="20"/>
          <w:szCs w:val="20"/>
        </w:rPr>
        <w:t xml:space="preserve">Asset Under Management (AUM) — should be high</w:t>
      </w:r>
    </w:p>
    <w:p>
      <w:pPr>
        <w:pStyle w:val="ListParagraph"/>
        <w:numPr>
          <w:ilvl w:val="0"/>
          <w:numId w:val="2"/>
        </w:numPr>
        <w:spacing w:after="50" w:before="50" w:line="300"/>
      </w:pPr>
      <w:r>
        <w:rPr>
          <w:rFonts w:ascii="Calibri" w:cs="Calibri" w:eastAsia="Calibri" w:hAnsi="Calibri"/>
          <w:color w:val="1A202C"/>
          <w:sz w:val="20"/>
          <w:szCs w:val="20"/>
        </w:rPr>
        <w:t xml:space="preserve">Expense Ratio — should be low</w:t>
      </w:r>
    </w:p>
    <w:p>
      <w:pPr>
        <w:pStyle w:val="ListParagraph"/>
        <w:numPr>
          <w:ilvl w:val="0"/>
          <w:numId w:val="2"/>
        </w:numPr>
        <w:spacing w:after="50" w:before="50" w:line="300"/>
      </w:pPr>
      <w:r>
        <w:rPr>
          <w:rFonts w:ascii="Calibri" w:cs="Calibri" w:eastAsia="Calibri" w:hAnsi="Calibri"/>
          <w:color w:val="1A202C"/>
          <w:sz w:val="20"/>
          <w:szCs w:val="20"/>
        </w:rPr>
        <w:t xml:space="preserve">Annualized Return — should be high</w:t>
      </w:r>
    </w:p>
    <w:p>
      <w:pPr>
        <w:pStyle w:val="ListParagraph"/>
        <w:numPr>
          <w:ilvl w:val="0"/>
          <w:numId w:val="2"/>
        </w:numPr>
        <w:spacing w:after="50" w:before="50" w:line="300"/>
      </w:pPr>
      <w:r>
        <w:rPr>
          <w:rFonts w:ascii="Calibri" w:cs="Calibri" w:eastAsia="Calibri" w:hAnsi="Calibri"/>
          <w:color w:val="1A202C"/>
          <w:sz w:val="20"/>
          <w:szCs w:val="20"/>
        </w:rPr>
        <w:t xml:space="preserve">Risk Factors: Standard Deviation, Beta — should be low</w:t>
      </w:r>
    </w:p>
    <w:p>
      <w:pPr>
        <w:pStyle w:val="ListParagraph"/>
        <w:numPr>
          <w:ilvl w:val="0"/>
          <w:numId w:val="2"/>
        </w:numPr>
        <w:spacing w:after="50" w:before="50" w:line="300"/>
      </w:pPr>
      <w:r>
        <w:rPr>
          <w:rFonts w:ascii="Calibri" w:cs="Calibri" w:eastAsia="Calibri" w:hAnsi="Calibri"/>
          <w:color w:val="1A202C"/>
          <w:sz w:val="20"/>
          <w:szCs w:val="20"/>
        </w:rPr>
        <w:t xml:space="preserve">Ratings by rating agencies — should be high</w:t>
      </w:r>
    </w:p>
    <w:p>
      <w:pPr>
        <w:spacing w:after="80" w:before="200"/>
      </w:pPr>
      <w:r>
        <w:rPr>
          <w:rFonts w:ascii="Calibri" w:cs="Calibri" w:eastAsia="Calibri" w:hAnsi="Calibri"/>
          <w:b/>
          <w:bCs/>
          <w:color w:val="1F5DA0"/>
          <w:sz w:val="22"/>
          <w:szCs w:val="22"/>
        </w:rPr>
        <w:t xml:space="preserve">1.3.2  Advantages of Investing in Blue-Chip Funds</w:t>
      </w:r>
    </w:p>
    <w:p>
      <w:pPr>
        <w:pStyle w:val="ListParagraph"/>
        <w:numPr>
          <w:ilvl w:val="0"/>
          <w:numId w:val="2"/>
        </w:numPr>
        <w:spacing w:after="50" w:before="50" w:line="300"/>
      </w:pPr>
      <w:r>
        <w:rPr>
          <w:rFonts w:ascii="Calibri" w:cs="Calibri" w:eastAsia="Calibri" w:hAnsi="Calibri"/>
          <w:color w:val="1A202C"/>
          <w:sz w:val="20"/>
          <w:szCs w:val="20"/>
        </w:rPr>
        <w:t xml:space="preserve">Capital Growth — Builds wealth across a period of time through fundamentally sound companies.</w:t>
      </w:r>
    </w:p>
    <w:p>
      <w:pPr>
        <w:pStyle w:val="ListParagraph"/>
        <w:numPr>
          <w:ilvl w:val="0"/>
          <w:numId w:val="2"/>
        </w:numPr>
        <w:spacing w:after="50" w:before="50" w:line="300"/>
      </w:pPr>
      <w:r>
        <w:rPr>
          <w:rFonts w:ascii="Calibri" w:cs="Calibri" w:eastAsia="Calibri" w:hAnsi="Calibri"/>
          <w:color w:val="1A202C"/>
          <w:sz w:val="20"/>
          <w:szCs w:val="20"/>
        </w:rPr>
        <w:t xml:space="preserve">Financial Goals — Facilitates long-term goals such as property purchase or retirement planning.</w:t>
      </w:r>
    </w:p>
    <w:p>
      <w:pPr>
        <w:pStyle w:val="ListParagraph"/>
        <w:numPr>
          <w:ilvl w:val="0"/>
          <w:numId w:val="2"/>
        </w:numPr>
        <w:spacing w:after="50" w:before="50" w:line="300"/>
      </w:pPr>
      <w:r>
        <w:rPr>
          <w:rFonts w:ascii="Calibri" w:cs="Calibri" w:eastAsia="Calibri" w:hAnsi="Calibri"/>
          <w:color w:val="1A202C"/>
          <w:sz w:val="20"/>
          <w:szCs w:val="20"/>
        </w:rPr>
        <w:t xml:space="preserve">Liquidity — Open-end fund structure allows fast redemption anytime.</w:t>
      </w:r>
    </w:p>
    <w:p>
      <w:pPr>
        <w:pStyle w:val="ListParagraph"/>
        <w:numPr>
          <w:ilvl w:val="0"/>
          <w:numId w:val="2"/>
        </w:numPr>
        <w:spacing w:after="50" w:before="50" w:line="300"/>
      </w:pPr>
      <w:r>
        <w:rPr>
          <w:rFonts w:ascii="Calibri" w:cs="Calibri" w:eastAsia="Calibri" w:hAnsi="Calibri"/>
          <w:color w:val="1A202C"/>
          <w:sz w:val="20"/>
          <w:szCs w:val="20"/>
        </w:rPr>
        <w:t xml:space="preserve">Economic Moat — Large organizations extend competitive protection with significant market share and inflation-beating returns.</w:t>
      </w:r>
    </w:p>
    <w:p>
      <w:pPr>
        <w:spacing w:after="80" w:before="200"/>
      </w:pPr>
      <w:r>
        <w:rPr>
          <w:rFonts w:ascii="Calibri" w:cs="Calibri" w:eastAsia="Calibri" w:hAnsi="Calibri"/>
          <w:b/>
          <w:bCs/>
          <w:color w:val="1F5DA0"/>
          <w:sz w:val="22"/>
          <w:szCs w:val="22"/>
        </w:rPr>
        <w:t xml:space="preserve">1.3.4  Blue-Chip Safety Considerations</w:t>
      </w:r>
    </w:p>
    <w:p>
      <w:pPr>
        <w:pStyle w:val="ListParagraph"/>
        <w:numPr>
          <w:ilvl w:val="0"/>
          <w:numId w:val="2"/>
        </w:numPr>
        <w:spacing w:after="50" w:before="50" w:line="300"/>
      </w:pPr>
      <w:r>
        <w:rPr>
          <w:rFonts w:ascii="Calibri" w:cs="Calibri" w:eastAsia="Calibri" w:hAnsi="Calibri"/>
          <w:color w:val="1A202C"/>
          <w:sz w:val="20"/>
          <w:szCs w:val="20"/>
        </w:rPr>
        <w:t xml:space="preserve">Investment Style — Match fund manager's growth or value strategy to your comfort zone.</w:t>
      </w:r>
    </w:p>
    <w:p>
      <w:pPr>
        <w:pStyle w:val="ListParagraph"/>
        <w:numPr>
          <w:ilvl w:val="0"/>
          <w:numId w:val="2"/>
        </w:numPr>
        <w:spacing w:after="50" w:before="50" w:line="300"/>
      </w:pPr>
      <w:r>
        <w:rPr>
          <w:rFonts w:ascii="Calibri" w:cs="Calibri" w:eastAsia="Calibri" w:hAnsi="Calibri"/>
          <w:color w:val="1A202C"/>
          <w:sz w:val="20"/>
          <w:szCs w:val="20"/>
        </w:rPr>
        <w:t xml:space="preserve">Expense Ratio — Choose funds with minimal expense ratios for additional earnings.</w:t>
      </w:r>
    </w:p>
    <w:p>
      <w:pPr>
        <w:pStyle w:val="ListParagraph"/>
        <w:numPr>
          <w:ilvl w:val="0"/>
          <w:numId w:val="2"/>
        </w:numPr>
        <w:spacing w:after="50" w:before="50" w:line="300"/>
      </w:pPr>
      <w:r>
        <w:rPr>
          <w:rFonts w:ascii="Calibri" w:cs="Calibri" w:eastAsia="Calibri" w:hAnsi="Calibri"/>
          <w:color w:val="1A202C"/>
          <w:sz w:val="20"/>
          <w:szCs w:val="20"/>
        </w:rPr>
        <w:t xml:space="preserve">AMC Track Record — Examine AMC's past performance before investing.</w:t>
      </w:r>
    </w:p>
    <w:p>
      <w:pPr>
        <w:pStyle w:val="ListParagraph"/>
        <w:numPr>
          <w:ilvl w:val="0"/>
          <w:numId w:val="2"/>
        </w:numPr>
        <w:spacing w:after="50" w:before="50" w:line="300"/>
      </w:pPr>
      <w:r>
        <w:rPr>
          <w:rFonts w:ascii="Calibri" w:cs="Calibri" w:eastAsia="Calibri" w:hAnsi="Calibri"/>
          <w:color w:val="1A202C"/>
          <w:sz w:val="20"/>
          <w:szCs w:val="20"/>
        </w:rPr>
        <w:t xml:space="preserve">Portfolio Composition — Examine what assets the fund is actually invested in to avoid misleading naming.</w:t>
      </w:r>
    </w:p>
    <w:p>
      <w:pPr>
        <w:pStyle w:val="ListParagraph"/>
        <w:numPr>
          <w:ilvl w:val="0"/>
          <w:numId w:val="2"/>
        </w:numPr>
        <w:spacing w:after="50" w:before="50" w:line="300"/>
      </w:pPr>
      <w:r>
        <w:rPr>
          <w:rFonts w:ascii="Calibri" w:cs="Calibri" w:eastAsia="Calibri" w:hAnsi="Calibri"/>
          <w:color w:val="1A202C"/>
          <w:sz w:val="20"/>
          <w:szCs w:val="20"/>
        </w:rPr>
        <w:t xml:space="preserve">Benchmark Comparison — Select funds that have outperformed their benchmark over 3–5 years.</w:t>
      </w:r>
    </w:p>
    <w:p>
      <w:pPr>
        <w:spacing w:after="120" w:before="280"/>
      </w:pPr>
      <w:r>
        <w:rPr>
          <w:rFonts w:ascii="Calibri" w:cs="Calibri" w:eastAsia="Calibri" w:hAnsi="Calibri"/>
          <w:b/>
          <w:bCs/>
          <w:color w:val="1A3A6B"/>
          <w:sz w:val="24"/>
          <w:szCs w:val="24"/>
        </w:rPr>
        <w:t xml:space="preserve">1.4  Difference: Blue-Chip vs. Large Cap Funds</w:t>
      </w:r>
    </w:p>
    <w:p>
      <w:pPr>
        <w:spacing w:after="80" w:before="80" w:line="300"/>
        <w:jc w:val="both"/>
      </w:pPr>
      <w:r>
        <w:rPr>
          <w:rFonts w:ascii="Calibri" w:cs="Calibri" w:eastAsia="Calibri" w:hAnsi="Calibri"/>
          <w:color w:val="1A202C"/>
          <w:sz w:val="20"/>
          <w:szCs w:val="20"/>
        </w:rPr>
        <w:t xml:space="preserve">While frequently used interchangeably, blue-chip funds and large-cap funds differ in their composition. Blue-chip funds invest in well-established, dominant companies with strong track records across sectors, while large-cap funds strictly invest in the top 100 companies by market capitalization. Blue-chip funds may include midcap companies with strong fundamentals, whereas large-cap funds are more index-bound.</w:t>
      </w:r>
    </w:p>
    <w:p>
      <w:pPr>
        <w:spacing w:after="120" w:before="280"/>
      </w:pPr>
      <w:r>
        <w:rPr>
          <w:rFonts w:ascii="Calibri" w:cs="Calibri" w:eastAsia="Calibri" w:hAnsi="Calibri"/>
          <w:b/>
          <w:bCs/>
          <w:color w:val="1A3A6B"/>
          <w:sz w:val="24"/>
          <w:szCs w:val="24"/>
        </w:rPr>
        <w:t xml:space="preserve">1.5  Fund Manager</w:t>
      </w:r>
    </w:p>
    <w:p>
      <w:pPr>
        <w:spacing w:after="80" w:before="80" w:line="300"/>
        <w:jc w:val="both"/>
      </w:pPr>
      <w:r>
        <w:rPr>
          <w:rFonts w:ascii="Calibri" w:cs="Calibri" w:eastAsia="Calibri" w:hAnsi="Calibri"/>
          <w:color w:val="1A202C"/>
          <w:sz w:val="20"/>
          <w:szCs w:val="20"/>
        </w:rPr>
        <w:t xml:space="preserve">A blue-chip fund manager controls mutual funds which allocate money to reputable large corporations, acting as a bridge between investors and the fund. They are responsible for portfolio construction, research and analysis, asset allocation, performance monitoring, investor communication, and risk management.</w:t>
      </w:r>
    </w:p>
    <w:p>
      <w:pPr>
        <w:spacing w:after="120" w:before="280"/>
      </w:pPr>
      <w:r>
        <w:rPr>
          <w:rFonts w:ascii="Calibri" w:cs="Calibri" w:eastAsia="Calibri" w:hAnsi="Calibri"/>
          <w:b/>
          <w:bCs/>
          <w:color w:val="1A3A6B"/>
          <w:sz w:val="24"/>
          <w:szCs w:val="24"/>
        </w:rPr>
        <w:t xml:space="preserve">1.6  Volatility</w:t>
      </w:r>
    </w:p>
    <w:p>
      <w:pPr>
        <w:spacing w:after="80" w:before="80" w:line="300"/>
        <w:jc w:val="both"/>
      </w:pPr>
      <w:r>
        <w:rPr>
          <w:rFonts w:ascii="Calibri" w:cs="Calibri" w:eastAsia="Calibri" w:hAnsi="Calibri"/>
          <w:color w:val="1A202C"/>
          <w:sz w:val="20"/>
          <w:szCs w:val="20"/>
        </w:rPr>
        <w:t xml:space="preserve">Volatility refers to how rapidly security prices rise or fall over a given period. It is measured using standard deviation of annualized returns, indicating the degree of price uncertainty. A high standard deviation means prices exhibit dynamic movements; a low standard deviation indicates price uniformity within a compact range. Financial markets typically classify indices or securities as "volatile" when they experience 1%+ price changes in either direction.</w:t>
      </w:r>
    </w:p>
    <w:p>
      <w:pPr>
        <w:spacing w:after="80" w:before="200"/>
      </w:pPr>
      <w:r>
        <w:rPr>
          <w:rFonts w:ascii="Calibri" w:cs="Calibri" w:eastAsia="Calibri" w:hAnsi="Calibri"/>
          <w:b/>
          <w:bCs/>
          <w:color w:val="1F5DA0"/>
          <w:sz w:val="22"/>
          <w:szCs w:val="22"/>
        </w:rPr>
        <w:t xml:space="preserve">1.6.2  Historical Volatility</w:t>
      </w:r>
    </w:p>
    <w:p>
      <w:pPr>
        <w:spacing w:after="80" w:before="80" w:line="300"/>
        <w:jc w:val="both"/>
      </w:pPr>
      <w:r>
        <w:rPr>
          <w:rFonts w:ascii="Calibri" w:cs="Calibri" w:eastAsia="Calibri" w:hAnsi="Calibri"/>
          <w:color w:val="1A202C"/>
          <w:sz w:val="20"/>
          <w:szCs w:val="20"/>
        </w:rPr>
        <w:t xml:space="preserve">Historical volatility measures volatility over a sustained past period based on historic price and return movements — also known as statistical volatility. When historical volatility increases, prices fluctuate across a larger and abnormal range; when it declines, prices show restricted deviations from their mean.</w:t>
      </w:r>
    </w:p>
    <w:p>
      <w:pPr>
        <w:spacing w:after="80" w:before="200"/>
      </w:pPr>
      <w:r>
        <w:rPr>
          <w:rFonts w:ascii="Calibri" w:cs="Calibri" w:eastAsia="Calibri" w:hAnsi="Calibri"/>
          <w:b/>
          <w:bCs/>
          <w:color w:val="1F5DA0"/>
          <w:sz w:val="22"/>
          <w:szCs w:val="22"/>
        </w:rPr>
        <w:t xml:space="preserve">1.6.3  Implied Volatility</w:t>
      </w:r>
    </w:p>
    <w:p>
      <w:pPr>
        <w:spacing w:after="80" w:before="80" w:line="300"/>
        <w:jc w:val="both"/>
      </w:pPr>
      <w:r>
        <w:rPr>
          <w:rFonts w:ascii="Calibri" w:cs="Calibri" w:eastAsia="Calibri" w:hAnsi="Calibri"/>
          <w:color w:val="1A202C"/>
          <w:sz w:val="20"/>
          <w:szCs w:val="20"/>
        </w:rPr>
        <w:t xml:space="preserve">Implied volatility predicts upcoming market-driven changes in security values and is heavily used in options contract pricing. High implied volatility suggests bearish market expectations; low implied volatility suggests bullish trends. It is expressed as a percentage and does not indicate the direction of price movement.</w:t>
      </w:r>
    </w:p>
    <w:p>
      <w:pPr>
        <w:spacing w:after="80" w:before="200"/>
      </w:pPr>
      <w:r>
        <w:rPr>
          <w:rFonts w:ascii="Calibri" w:cs="Calibri" w:eastAsia="Calibri" w:hAnsi="Calibri"/>
          <w:b/>
          <w:bCs/>
          <w:color w:val="1F5DA0"/>
          <w:sz w:val="22"/>
          <w:szCs w:val="22"/>
        </w:rPr>
        <w:t xml:space="preserve">1.6.4  Different Measures of Volatility</w:t>
      </w:r>
    </w:p>
    <w:p>
      <w:pPr>
        <w:pStyle w:val="ListParagraph"/>
        <w:numPr>
          <w:ilvl w:val="0"/>
          <w:numId w:val="2"/>
        </w:numPr>
        <w:spacing w:after="50" w:before="50" w:line="300"/>
      </w:pPr>
      <w:r>
        <w:rPr>
          <w:rFonts w:ascii="Calibri" w:cs="Calibri" w:eastAsia="Calibri" w:hAnsi="Calibri"/>
          <w:color w:val="1A202C"/>
          <w:sz w:val="20"/>
          <w:szCs w:val="20"/>
        </w:rPr>
        <w:t xml:space="preserve">Beta — Measures stock volatility relative to a benchmark index (e.g., Nifty 50). A beta of 1.2 means the stock moves 120% for every 100% movement in the index.</w:t>
      </w:r>
    </w:p>
    <w:p>
      <w:pPr>
        <w:pStyle w:val="ListParagraph"/>
        <w:numPr>
          <w:ilvl w:val="0"/>
          <w:numId w:val="2"/>
        </w:numPr>
        <w:spacing w:after="50" w:before="50" w:line="300"/>
      </w:pPr>
      <w:r>
        <w:rPr>
          <w:rFonts w:ascii="Calibri" w:cs="Calibri" w:eastAsia="Calibri" w:hAnsi="Calibri"/>
          <w:color w:val="1A202C"/>
          <w:sz w:val="20"/>
          <w:szCs w:val="20"/>
        </w:rPr>
        <w:t xml:space="preserve">Volatility Index (VIX) — Developed by the Chicago Board Options Exchange; measures investor predictions about market movement. High VIX = volatile and risky market.</w:t>
      </w:r>
    </w:p>
    <w:p>
      <w:pPr>
        <w:pStyle w:val="ListParagraph"/>
        <w:numPr>
          <w:ilvl w:val="0"/>
          <w:numId w:val="2"/>
        </w:numPr>
        <w:spacing w:after="50" w:before="50" w:line="300"/>
      </w:pPr>
      <w:r>
        <w:rPr>
          <w:rFonts w:ascii="Calibri" w:cs="Calibri" w:eastAsia="Calibri" w:hAnsi="Calibri"/>
          <w:color w:val="1A202C"/>
          <w:sz w:val="20"/>
          <w:szCs w:val="20"/>
        </w:rPr>
        <w:t xml:space="preserve">Volatility Smile — Graphical representation of implied volatility vs. strike price, showing a U-shaped curve.</w:t>
      </w:r>
    </w:p>
    <w:p>
      <w:pPr>
        <w:pStyle w:val="ListParagraph"/>
        <w:numPr>
          <w:ilvl w:val="0"/>
          <w:numId w:val="2"/>
        </w:numPr>
        <w:spacing w:after="50" w:before="50" w:line="300"/>
      </w:pPr>
      <w:r>
        <w:rPr>
          <w:rFonts w:ascii="Calibri" w:cs="Calibri" w:eastAsia="Calibri" w:hAnsi="Calibri"/>
          <w:color w:val="1A202C"/>
          <w:sz w:val="20"/>
          <w:szCs w:val="20"/>
        </w:rPr>
        <w:t xml:space="preserve">Volatility Skew — A distorted volatility curve reflecting asymmetric market expectations.</w:t>
      </w:r>
    </w:p>
    <w:p>
      <w:pPr>
        <w:spacing w:after="120" w:before="280"/>
      </w:pPr>
      <w:r>
        <w:rPr>
          <w:rFonts w:ascii="Calibri" w:cs="Calibri" w:eastAsia="Calibri" w:hAnsi="Calibri"/>
          <w:b/>
          <w:bCs/>
          <w:color w:val="1A3A6B"/>
          <w:sz w:val="24"/>
          <w:szCs w:val="24"/>
        </w:rPr>
        <w:t xml:space="preserve">1.7  Risk</w:t>
      </w:r>
    </w:p>
    <w:p>
      <w:pPr>
        <w:spacing w:after="80" w:before="80" w:line="300"/>
        <w:jc w:val="both"/>
      </w:pPr>
      <w:r>
        <w:rPr>
          <w:rFonts w:ascii="Calibri" w:cs="Calibri" w:eastAsia="Calibri" w:hAnsi="Calibri"/>
          <w:color w:val="1A202C"/>
          <w:sz w:val="20"/>
          <w:szCs w:val="20"/>
        </w:rPr>
        <w:t xml:space="preserve">Risk in financial terms is defined as the degree of uncertainty and potential financial loss inherent in an investment decision. Financial professionals commonly use standard deviation to measure risk — assessing how active or stable asset prices remain relative to historical returns. Risk management tools include Standard Deviation, Beta, Value at Risk (VaR), and the Capital Asset Pricing Model (CAPM).</w:t>
      </w:r>
    </w:p>
    <w:p>
      <w:pPr>
        <w:spacing w:after="80" w:before="200"/>
      </w:pPr>
      <w:r>
        <w:rPr>
          <w:rFonts w:ascii="Calibri" w:cs="Calibri" w:eastAsia="Calibri" w:hAnsi="Calibri"/>
          <w:b/>
          <w:bCs/>
          <w:color w:val="1F5DA0"/>
          <w:sz w:val="22"/>
          <w:szCs w:val="22"/>
        </w:rPr>
        <w:t xml:space="preserve">1.7.2  Types of Risk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Type of Risk</w:t>
            </w:r>
          </w:p>
        </w:tc>
        <w:tc>
          <w:tcPr>
            <w:tcW w:type="dxa" w:w="63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Systematic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Affects the entire market; cannot be diversified away. Includes macroeconomic, political, interest rate, and currency risks.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Unsystematic Risk</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Affects specific firms or industries. Can be reduced through diversification. Examples: leadership changes, product recalls, regulatory shifts.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Business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Related to operational stability — ability to generate revenue above operating costs.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Credit / Default Risk</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Risk that a borrower cannot fulfill debt payment terms. Higher for corporate bonds than government bonds.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Interest Rate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Changes in interest rates affect bond and stock values. Closely related to reinvestment risk.</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Liquidity Risk</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Difficulty in converting investments into cash. Investors demand a premium for illiquid assets.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Model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Arises from incorrect financial model assumptions, methodologies, or data leading to poor predictions.</w:t>
            </w:r>
          </w:p>
        </w:tc>
      </w:tr>
    </w:tbl>
    <w:p>
      <w:pPr>
        <w:spacing w:after="80" w:before="200"/>
      </w:pPr>
      <w:r>
        <w:rPr>
          <w:rFonts w:ascii="Calibri" w:cs="Calibri" w:eastAsia="Calibri" w:hAnsi="Calibri"/>
          <w:b/>
          <w:bCs/>
          <w:color w:val="1F5DA0"/>
          <w:sz w:val="22"/>
          <w:szCs w:val="22"/>
        </w:rPr>
        <w:t xml:space="preserve">1.7.4  Risk Handling and Management</w:t>
      </w:r>
    </w:p>
    <w:p>
      <w:pPr>
        <w:pStyle w:val="ListParagraph"/>
        <w:numPr>
          <w:ilvl w:val="0"/>
          <w:numId w:val="2"/>
        </w:numPr>
        <w:spacing w:after="50" w:before="50" w:line="300"/>
      </w:pPr>
      <w:r>
        <w:rPr>
          <w:rFonts w:ascii="Calibri" w:cs="Calibri" w:eastAsia="Calibri" w:hAnsi="Calibri"/>
          <w:color w:val="1A202C"/>
          <w:sz w:val="20"/>
          <w:szCs w:val="20"/>
        </w:rPr>
        <w:t xml:space="preserve">Diversification — Spread investments across multiple assets to reduce unsystematic risk.</w:t>
      </w:r>
    </w:p>
    <w:p>
      <w:pPr>
        <w:pStyle w:val="ListParagraph"/>
        <w:numPr>
          <w:ilvl w:val="0"/>
          <w:numId w:val="2"/>
        </w:numPr>
        <w:spacing w:after="50" w:before="50" w:line="300"/>
      </w:pPr>
      <w:r>
        <w:rPr>
          <w:rFonts w:ascii="Calibri" w:cs="Calibri" w:eastAsia="Calibri" w:hAnsi="Calibri"/>
          <w:color w:val="1A202C"/>
          <w:sz w:val="20"/>
          <w:szCs w:val="20"/>
        </w:rPr>
        <w:t xml:space="preserve">Hedging — Use of forwards, options, futures, or swaps to obtain certainty about future pricing.</w:t>
      </w:r>
    </w:p>
    <w:p>
      <w:pPr>
        <w:pStyle w:val="ListParagraph"/>
        <w:numPr>
          <w:ilvl w:val="0"/>
          <w:numId w:val="2"/>
        </w:numPr>
        <w:spacing w:after="50" w:before="50" w:line="300"/>
      </w:pPr>
      <w:r>
        <w:rPr>
          <w:rFonts w:ascii="Calibri" w:cs="Calibri" w:eastAsia="Calibri" w:hAnsi="Calibri"/>
          <w:color w:val="1A202C"/>
          <w:sz w:val="20"/>
          <w:szCs w:val="20"/>
        </w:rPr>
        <w:t xml:space="preserve">Insurance — Key person insurance, general liability, and property insurance for adverse events.</w:t>
      </w:r>
    </w:p>
    <w:p>
      <w:pPr>
        <w:pStyle w:val="ListParagraph"/>
        <w:numPr>
          <w:ilvl w:val="0"/>
          <w:numId w:val="2"/>
        </w:numPr>
        <w:spacing w:after="50" w:before="50" w:line="300"/>
      </w:pPr>
      <w:r>
        <w:rPr>
          <w:rFonts w:ascii="Calibri" w:cs="Calibri" w:eastAsia="Calibri" w:hAnsi="Calibri"/>
          <w:color w:val="1A202C"/>
          <w:sz w:val="20"/>
          <w:szCs w:val="20"/>
        </w:rPr>
        <w:t xml:space="preserve">Operating Practices — Safety systems, operational audits, detailed financial planning.</w:t>
      </w:r>
    </w:p>
    <w:p>
      <w:pPr>
        <w:pStyle w:val="ListParagraph"/>
        <w:numPr>
          <w:ilvl w:val="0"/>
          <w:numId w:val="2"/>
        </w:numPr>
        <w:spacing w:after="50" w:before="50" w:line="300"/>
      </w:pPr>
      <w:r>
        <w:rPr>
          <w:rFonts w:ascii="Calibri" w:cs="Calibri" w:eastAsia="Calibri" w:hAnsi="Calibri"/>
          <w:color w:val="1A202C"/>
          <w:sz w:val="20"/>
          <w:szCs w:val="20"/>
        </w:rPr>
        <w:t xml:space="preserve">Deleveraging — Reducing debt levels to lower financial uncertainty and bankruptcy risk.</w:t>
      </w:r>
    </w:p>
    <w:p>
      <w:pPr>
        <w:spacing w:after="120" w:before="280"/>
      </w:pPr>
      <w:r>
        <w:rPr>
          <w:rFonts w:ascii="Calibri" w:cs="Calibri" w:eastAsia="Calibri" w:hAnsi="Calibri"/>
          <w:b/>
          <w:bCs/>
          <w:color w:val="1A3A6B"/>
          <w:sz w:val="24"/>
          <w:szCs w:val="24"/>
        </w:rPr>
        <w:t xml:space="preserve">1.8  Geopolitical Events and Blue-Chip Volatility</w:t>
      </w:r>
    </w:p>
    <w:p>
      <w:pPr>
        <w:spacing w:after="80" w:before="80" w:line="300"/>
        <w:jc w:val="both"/>
      </w:pPr>
      <w:r>
        <w:rPr>
          <w:rFonts w:ascii="Calibri" w:cs="Calibri" w:eastAsia="Calibri" w:hAnsi="Calibri"/>
          <w:color w:val="1A202C"/>
          <w:sz w:val="20"/>
          <w:szCs w:val="20"/>
        </w:rPr>
        <w:t xml:space="preserve">Geopolitical factors including military conflicts (e.g., Russia-Ukraine war), government instability, trade wars, tariffs, diplomatic sanctions, and interest rate policy changes influence economic conditions and market sentiment — thereby affecting blue-chip fund volatility.</w:t>
      </w:r>
    </w:p>
    <w:p>
      <w:pPr>
        <w:spacing w:after="120" w:before="280"/>
      </w:pPr>
      <w:r>
        <w:rPr>
          <w:rFonts w:ascii="Calibri" w:cs="Calibri" w:eastAsia="Calibri" w:hAnsi="Calibri"/>
          <w:b/>
          <w:bCs/>
          <w:color w:val="1A3A6B"/>
          <w:sz w:val="24"/>
          <w:szCs w:val="24"/>
        </w:rPr>
        <w:t xml:space="preserve">1.9  ESG and Blue-Chip Fund Volatility</w:t>
      </w:r>
    </w:p>
    <w:p>
      <w:pPr>
        <w:spacing w:after="80" w:before="80" w:line="300"/>
        <w:jc w:val="both"/>
      </w:pPr>
      <w:r>
        <w:rPr>
          <w:rFonts w:ascii="Calibri" w:cs="Calibri" w:eastAsia="Calibri" w:hAnsi="Calibri"/>
          <w:color w:val="1A202C"/>
          <w:sz w:val="20"/>
          <w:szCs w:val="20"/>
        </w:rPr>
        <w:t xml:space="preserve">ESG (Environmental, Social, and Governance) metrics assess sustainability and ethical standards. ESG factors affect blue-chip fund volatility through reputation risks, regulatory compliance costs, and investor demand for sustainable assets. Companies with superior ESG performance attract long-term value-focused investors, reducing speculative trading and thereby lowering volatility.</w:t>
      </w:r>
    </w:p>
    <w:p>
      <w:pPr>
        <w:spacing w:after="120" w:before="280"/>
      </w:pPr>
      <w:r>
        <w:rPr>
          <w:rFonts w:ascii="Calibri" w:cs="Calibri" w:eastAsia="Calibri" w:hAnsi="Calibri"/>
          <w:b/>
          <w:bCs/>
          <w:color w:val="1A3A6B"/>
          <w:sz w:val="24"/>
          <w:szCs w:val="24"/>
        </w:rPr>
        <w:t xml:space="preserve">1.10  GARCH Model</w:t>
      </w:r>
    </w:p>
    <w:p>
      <w:pPr>
        <w:spacing w:after="80" w:before="80" w:line="300"/>
        <w:jc w:val="both"/>
      </w:pPr>
      <w:r>
        <w:rPr>
          <w:rFonts w:ascii="Calibri" w:cs="Calibri" w:eastAsia="Calibri" w:hAnsi="Calibri"/>
          <w:color w:val="1A202C"/>
          <w:sz w:val="20"/>
          <w:szCs w:val="20"/>
        </w:rPr>
        <w:t xml:space="preserve">The Generalized Autoregressive Conditional Heteroskedasticity (GARCH) model is extensively used by financial analysts for time series prediction and volatility analysis. It accurately represents variation in stock prices, exchange rates, and interest rates over time — making it highly useful for analysing and forecasting volatility.</w:t>
      </w:r>
    </w:p>
    <w:p>
      <w:pPr>
        <w:spacing w:after="80" w:before="200"/>
      </w:pPr>
      <w:r>
        <w:rPr>
          <w:rFonts w:ascii="Calibri" w:cs="Calibri" w:eastAsia="Calibri" w:hAnsi="Calibri"/>
          <w:b/>
          <w:bCs/>
          <w:color w:val="1F5DA0"/>
          <w:sz w:val="22"/>
          <w:szCs w:val="22"/>
        </w:rPr>
        <w:t xml:space="preserve">1.10.1  History of GARCH Model</w:t>
      </w:r>
    </w:p>
    <w:p>
      <w:pPr>
        <w:spacing w:after="80" w:before="80" w:line="300"/>
        <w:jc w:val="both"/>
      </w:pPr>
      <w:r>
        <w:rPr>
          <w:rFonts w:ascii="Calibri" w:cs="Calibri" w:eastAsia="Calibri" w:hAnsi="Calibri"/>
          <w:color w:val="1A202C"/>
          <w:sz w:val="20"/>
          <w:szCs w:val="20"/>
        </w:rPr>
        <w:t xml:space="preserve">The GARCH model appeared in 1986 as an improved version of the ARCH model, which was introduced by Robert F. Engle in 1982. Tim Bollerslev developed GARCH during his doctoral work by incorporating lagged conditional variances into the ARCH framework, significantly improving the capability to forecast financial data accurately.</w:t>
      </w:r>
    </w:p>
    <w:p>
      <w:pPr>
        <w:spacing w:after="80" w:before="200"/>
      </w:pPr>
      <w:r>
        <w:rPr>
          <w:rFonts w:ascii="Calibri" w:cs="Calibri" w:eastAsia="Calibri" w:hAnsi="Calibri"/>
          <w:b/>
          <w:bCs/>
          <w:color w:val="1F5DA0"/>
          <w:sz w:val="22"/>
          <w:szCs w:val="22"/>
        </w:rPr>
        <w:t xml:space="preserve">1.10.2  Types of GARCH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Model</w:t>
            </w:r>
          </w:p>
        </w:tc>
        <w:tc>
          <w:tcPr>
            <w:tcW w:type="dxa" w:w="63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GARCH (p, 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Basic form of the GARCH model — models conditional variance based on past errors and variance.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EGARCH (Exponential GARCH)</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Nelson (1991) — captures asymmetric volatility; demonstrates the "leverage effect" where negative events create greater volatility than positive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GJR-GARCH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Glosten-Jagannathan-Runkle model — detects financial market asymmetries.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TGARCH (Threshold GARCH)</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Contains a threshold to predict unexpected market events or economic breakdowns.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IGARCH (Integrated GARCH)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Extended periods of persistent volatility shock persistence.</w:t>
            </w:r>
          </w:p>
        </w:tc>
      </w:tr>
    </w:tbl>
    <w:p>
      <w:pPr>
        <w:spacing w:after="80" w:before="200"/>
      </w:pPr>
      <w:r>
        <w:rPr>
          <w:rFonts w:ascii="Calibri" w:cs="Calibri" w:eastAsia="Calibri" w:hAnsi="Calibri"/>
          <w:b/>
          <w:bCs/>
          <w:color w:val="1F5DA0"/>
          <w:sz w:val="22"/>
          <w:szCs w:val="22"/>
        </w:rPr>
        <w:t xml:space="preserve">1.10.4  Advantages of GARCH Model</w:t>
      </w:r>
    </w:p>
    <w:p>
      <w:pPr>
        <w:pStyle w:val="ListParagraph"/>
        <w:numPr>
          <w:ilvl w:val="0"/>
          <w:numId w:val="2"/>
        </w:numPr>
        <w:spacing w:after="50" w:before="50" w:line="300"/>
      </w:pPr>
      <w:r>
        <w:rPr>
          <w:rFonts w:ascii="Calibri" w:cs="Calibri" w:eastAsia="Calibri" w:hAnsi="Calibri"/>
          <w:color w:val="1A202C"/>
          <w:sz w:val="20"/>
          <w:szCs w:val="20"/>
        </w:rPr>
        <w:t xml:space="preserve">High capability in tracking time-varying volatility</w:t>
      </w:r>
    </w:p>
    <w:p>
      <w:pPr>
        <w:pStyle w:val="ListParagraph"/>
        <w:numPr>
          <w:ilvl w:val="0"/>
          <w:numId w:val="2"/>
        </w:numPr>
        <w:spacing w:after="50" w:before="50" w:line="300"/>
      </w:pPr>
      <w:r>
        <w:rPr>
          <w:rFonts w:ascii="Calibri" w:cs="Calibri" w:eastAsia="Calibri" w:hAnsi="Calibri"/>
          <w:color w:val="1A202C"/>
          <w:sz w:val="20"/>
          <w:szCs w:val="20"/>
        </w:rPr>
        <w:t xml:space="preserve">Accurately represents volatility clustering patterns in financial markets</w:t>
      </w:r>
    </w:p>
    <w:p>
      <w:pPr>
        <w:pStyle w:val="ListParagraph"/>
        <w:numPr>
          <w:ilvl w:val="0"/>
          <w:numId w:val="2"/>
        </w:numPr>
        <w:spacing w:after="50" w:before="50" w:line="300"/>
      </w:pPr>
      <w:r>
        <w:rPr>
          <w:rFonts w:ascii="Calibri" w:cs="Calibri" w:eastAsia="Calibri" w:hAnsi="Calibri"/>
          <w:color w:val="1A202C"/>
          <w:sz w:val="20"/>
          <w:szCs w:val="20"/>
        </w:rPr>
        <w:t xml:space="preserve">Requires fewer parameters relative to the ARCH model</w:t>
      </w:r>
    </w:p>
    <w:p>
      <w:pPr>
        <w:pStyle w:val="ListParagraph"/>
        <w:numPr>
          <w:ilvl w:val="0"/>
          <w:numId w:val="2"/>
        </w:numPr>
        <w:spacing w:after="50" w:before="50" w:line="300"/>
      </w:pPr>
      <w:r>
        <w:rPr>
          <w:rFonts w:ascii="Calibri" w:cs="Calibri" w:eastAsia="Calibri" w:hAnsi="Calibri"/>
          <w:color w:val="1A202C"/>
          <w:sz w:val="20"/>
          <w:szCs w:val="20"/>
        </w:rPr>
        <w:t xml:space="preserve">Flexible for diverse financial and economic applications</w:t>
      </w:r>
    </w:p>
    <w:p>
      <w:pPr>
        <w:pStyle w:val="ListParagraph"/>
        <w:numPr>
          <w:ilvl w:val="0"/>
          <w:numId w:val="2"/>
        </w:numPr>
        <w:spacing w:after="50" w:before="50" w:line="300"/>
      </w:pPr>
      <w:r>
        <w:rPr>
          <w:rFonts w:ascii="Calibri" w:cs="Calibri" w:eastAsia="Calibri" w:hAnsi="Calibri"/>
          <w:color w:val="1A202C"/>
          <w:sz w:val="20"/>
          <w:szCs w:val="20"/>
        </w:rPr>
        <w:t xml:space="preserve">Serves risk assessment to enhance investment decision-making</w:t>
      </w:r>
    </w:p>
    <w:p>
      <w:r>
        <w:br w:type="page"/>
      </w:r>
    </w:p>
    <w:p>
      <w:pPr>
        <w:pBdr>
          <w:bottom w:val="single" w:color="F0A500" w:sz="5" w:space="6"/>
        </w:pBdr>
        <w:spacing w:after="160" w:before="400"/>
      </w:pPr>
      <w:r>
        <w:rPr>
          <w:rFonts w:ascii="Calibri" w:cs="Calibri" w:eastAsia="Calibri" w:hAnsi="Calibri"/>
          <w:b/>
          <w:bCs/>
          <w:color w:val="0D2B55"/>
          <w:sz w:val="32"/>
          <w:szCs w:val="32"/>
        </w:rPr>
        <w:t xml:space="preserve">Chapter 2: Literature Review</w:t>
      </w:r>
    </w:p>
    <w:p>
      <w:pPr>
        <w:spacing w:after="120" w:before="280"/>
      </w:pPr>
      <w:r>
        <w:rPr>
          <w:rFonts w:ascii="Calibri" w:cs="Calibri" w:eastAsia="Calibri" w:hAnsi="Calibri"/>
          <w:b/>
          <w:bCs/>
          <w:color w:val="1A3A6B"/>
          <w:sz w:val="24"/>
          <w:szCs w:val="24"/>
        </w:rPr>
        <w:t xml:space="preserve">2.1  Introduction</w:t>
      </w:r>
    </w:p>
    <w:p>
      <w:pPr>
        <w:spacing w:after="80" w:before="80" w:line="300"/>
        <w:jc w:val="both"/>
      </w:pPr>
      <w:r>
        <w:rPr>
          <w:rFonts w:ascii="Calibri" w:cs="Calibri" w:eastAsia="Calibri" w:hAnsi="Calibri"/>
          <w:color w:val="1A202C"/>
          <w:sz w:val="20"/>
          <w:szCs w:val="20"/>
        </w:rPr>
        <w:t xml:space="preserve">This section explores research on blue-chip stocks and their relationship to volatility measurements through the GARCH model. Blue-chip stocks are vital to financial markets due to their solid performance capabilities, making their volatility patterns essential to research. The GARCH model effectively captures and forecasts financial market volatility, making it appropriate for analysing blue-chip stock fluctuations.</w:t>
      </w:r>
    </w:p>
    <w:p>
      <w:pPr>
        <w:spacing w:after="80" w:before="80" w:line="300"/>
        <w:jc w:val="both"/>
      </w:pPr>
      <w:r>
        <w:rPr>
          <w:rFonts w:ascii="Calibri" w:cs="Calibri" w:eastAsia="Calibri" w:hAnsi="Calibri"/>
          <w:color w:val="1A202C"/>
          <w:sz w:val="20"/>
          <w:szCs w:val="20"/>
        </w:rPr>
        <w:t xml:space="preserve">A review of academic papers reveals that volatility modelling lacks integration of behavioural aspects and geopolitical elements. While many studies adopt quantitative approaches, few explore blue-chip volatility through geopolitical events and market sentiment. This literature review demonstrates the necessity of a new multi-faceted approach.</w:t>
      </w:r>
    </w:p>
    <w:p>
      <w:pPr>
        <w:spacing w:after="120" w:before="280"/>
      </w:pPr>
      <w:r>
        <w:rPr>
          <w:rFonts w:ascii="Calibri" w:cs="Calibri" w:eastAsia="Calibri" w:hAnsi="Calibri"/>
          <w:b/>
          <w:bCs/>
          <w:color w:val="1A3A6B"/>
          <w:sz w:val="24"/>
          <w:szCs w:val="24"/>
        </w:rPr>
        <w:t xml:space="preserve">2.2  Review of Literature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0D2B55"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Author(s) &amp; Year</w:t>
            </w:r>
          </w:p>
        </w:tc>
        <w:tc>
          <w:tcPr>
            <w:tcW w:type="dxa" w:w="2200"/>
            <w:tcBorders>
              <w:top w:val="single" w:color="CCCCCC" w:sz="1"/>
              <w:left w:val="single" w:color="CCCCCC" w:sz="1"/>
              <w:bottom w:val="single" w:color="CCCCCC" w:sz="1"/>
              <w:right w:val="single" w:color="CCCCCC" w:sz="1"/>
            </w:tcBorders>
            <w:shd w:fill="0D2B55"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Study Focus</w:t>
            </w:r>
          </w:p>
        </w:tc>
        <w:tc>
          <w:tcPr>
            <w:tcW w:type="dxa" w:w="2480"/>
            <w:tcBorders>
              <w:top w:val="single" w:color="CCCCCC" w:sz="1"/>
              <w:left w:val="single" w:color="CCCCCC" w:sz="1"/>
              <w:bottom w:val="single" w:color="CCCCCC" w:sz="1"/>
              <w:right w:val="single" w:color="CCCCCC" w:sz="1"/>
            </w:tcBorders>
            <w:shd w:fill="0D2B55"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Key Findings</w:t>
            </w:r>
          </w:p>
        </w:tc>
        <w:tc>
          <w:tcPr>
            <w:tcW w:type="dxa" w:w="2480"/>
            <w:tcBorders>
              <w:top w:val="single" w:color="CCCCCC" w:sz="1"/>
              <w:left w:val="single" w:color="CCCCCC" w:sz="1"/>
              <w:bottom w:val="single" w:color="CCCCCC" w:sz="1"/>
              <w:right w:val="single" w:color="CCCCCC" w:sz="1"/>
            </w:tcBorders>
            <w:shd w:fill="0D2B55"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Research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6B"/>
                <w:sz w:val="16"/>
                <w:szCs w:val="16"/>
              </w:rPr>
              <w:t xml:space="preserve">Bala Kalyan &amp; Subramanyam (2017)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SBI Blue Chip Fund stability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Performance maintained in downturns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Lacks ESG and geopolitical analysis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bCs/>
                <w:color w:val="1A3A6B"/>
                <w:sz w:val="16"/>
                <w:szCs w:val="16"/>
              </w:rPr>
              <w:t xml:space="preserve">Pushpalatha &amp; Shankar (2024)</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Risk-Return in Blue Chip Mutual Funds — Sharpe, Treynor, Jensen</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Funds provide security during volatility</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Fund manager strategy impacts inadequately studied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6B"/>
                <w:sz w:val="16"/>
                <w:szCs w:val="16"/>
              </w:rPr>
              <w:t xml:space="preserve">V.Y John &amp; Govind Krishna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Blue Chip MF performance in India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Stable returns with minimized risk; GARCH captures volatility persistence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Crisis-period investor choice underexplored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bCs/>
                <w:color w:val="1A3A6B"/>
                <w:sz w:val="16"/>
                <w:szCs w:val="16"/>
              </w:rPr>
              <w:t xml:space="preserve">Bhuva &amp; Bantwa (2012)</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Large &amp; Mid Cap Fund evaluation</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Robust defensive characteristics; GARCH effective for risk patterns</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Liquidity constraints and tech solutions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6B"/>
                <w:sz w:val="16"/>
                <w:szCs w:val="16"/>
              </w:rPr>
              <w:t xml:space="preserve">Sarker &amp; Saha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Diversification — Dhaka Stock Exchange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GARCH widely used for volatility clusters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Psychological factors neglected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bCs/>
                <w:color w:val="1A3A6B"/>
                <w:sz w:val="16"/>
                <w:szCs w:val="16"/>
              </w:rPr>
              <w:t xml:space="preserve">Lim et al. (2023)</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GARCH-based Stock Index Volatility Causality</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Blue-chip funds less volatile vs. mid/small-cap</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Unpredictable investor behaviour poses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6B"/>
                <w:sz w:val="16"/>
                <w:szCs w:val="16"/>
              </w:rPr>
              <w:t xml:space="preserve">Ali et al. (2022)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Time-varying Volatility — Indian Market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Blue-chip stability via diversified portfolios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Limited growth potential in bullish markets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bCs/>
                <w:color w:val="1A3A6B"/>
                <w:sz w:val="16"/>
                <w:szCs w:val="16"/>
              </w:rPr>
              <w:t xml:space="preserve">Shen (2008)</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Chinese Open-end Funds — GARCH Model</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GARCH(1,1) captures volatility clustering; EGARCH shows poor performance</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Prolonged market shocks; insufficient long-term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6B"/>
                <w:sz w:val="16"/>
                <w:szCs w:val="16"/>
              </w:rPr>
              <w:t xml:space="preserve">Mishra (2018)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Blue-Chip Stock Performance — India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Resilience during downturns; consistent long-term returns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Underperform in rapidly bullish markets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bCs/>
                <w:color w:val="1A3A6B"/>
                <w:sz w:val="16"/>
                <w:szCs w:val="16"/>
              </w:rPr>
              <w:t xml:space="preserve">Malmgren &amp; Zhang</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Sustainable Mutual Funds — GARCH</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Stability during economic fluctuations</w:t>
            </w:r>
          </w:p>
        </w:tc>
        <w:tc>
          <w:tcPr>
            <w:tcW w:type="dxa" w:w="2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Vulnerability to macroeconomic shocks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3A6B"/>
                <w:sz w:val="16"/>
                <w:szCs w:val="16"/>
              </w:rPr>
              <w:t xml:space="preserve">Sahil Sharma &amp; Dr. Dinesh Kumar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COVID-19 Impact on Blue-Chip Funds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Improved returns post-COVID; investor shift to blue-chip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02C"/>
                <w:sz w:val="16"/>
                <w:szCs w:val="16"/>
              </w:rPr>
              <w:t xml:space="preserve">Increased volatility and unpredictable behaviour post-pandemic</w:t>
            </w:r>
          </w:p>
        </w:tc>
      </w:tr>
    </w:tbl>
    <w:p>
      <w:r>
        <w:br w:type="page"/>
      </w:r>
    </w:p>
    <w:p>
      <w:pPr>
        <w:spacing w:after="120" w:before="280"/>
      </w:pPr>
      <w:r>
        <w:rPr>
          <w:rFonts w:ascii="Calibri" w:cs="Calibri" w:eastAsia="Calibri" w:hAnsi="Calibri"/>
          <w:b/>
          <w:bCs/>
          <w:color w:val="1A3A6B"/>
          <w:sz w:val="24"/>
          <w:szCs w:val="24"/>
        </w:rPr>
        <w:t xml:space="preserve">2.3  Research Gaps Identified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Research Gap</w:t>
            </w:r>
          </w:p>
        </w:tc>
        <w:tc>
          <w:tcPr>
            <w:tcW w:type="dxa" w:w="63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Significance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Geopolitical Influences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Geopolitical factors substantially affect blue-chip fund stability, yet thorough examination is lacking in existing literature.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Behavioural Aspects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Most research focuses on quantitative GARCH models while neglecting investor sentiment, psychological biases, and market reactions.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ESG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Minimal research on how ESG metrics affect blue-chip fund durability and performance longevity.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Fintech Disruption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Insufficient study of how emerging financial technology disruptions influence blue-chip investment strategies.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Volatility Clustering by Market 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Inadequate insights on blue-chip fund movements across different market phases (bull, bear, sideways).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Regional Market Differences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Minimal research on how volatility changes across different regional economic stock market frameworks.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Automated Fund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Insufficient exploration of automated fund management systems and their ability to reduce volatility and maximize returns.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GARCH Variants Effectiveness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Lacking thorough assessment of GARCH variants in forecasting extreme volatility and black swan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Sectoral Diversification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Minimal investigation of sectoral diversification in blue-chip funds to evaluate risk-defence potential.</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Macroeconomic Shock Resilience</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Insufficient analysis of inflation, interest rate changes, and fiscal policy effects on blue-chip stock stability.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Short-Term vs. Long-Term Investment Horizons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 comprehensive comparison of how different investment horizons impact volatility and returns in blue-chip funds.</w:t>
            </w:r>
          </w:p>
        </w:tc>
      </w:tr>
    </w:tbl>
    <w:p>
      <w:r>
        <w:br w:type="page"/>
      </w:r>
    </w:p>
    <w:p>
      <w:pPr>
        <w:pBdr>
          <w:bottom w:val="single" w:color="F0A500" w:sz="5" w:space="6"/>
        </w:pBdr>
        <w:spacing w:after="160" w:before="400"/>
      </w:pPr>
      <w:r>
        <w:rPr>
          <w:rFonts w:ascii="Calibri" w:cs="Calibri" w:eastAsia="Calibri" w:hAnsi="Calibri"/>
          <w:b/>
          <w:bCs/>
          <w:color w:val="0D2B55"/>
          <w:sz w:val="32"/>
          <w:szCs w:val="32"/>
        </w:rPr>
        <w:t xml:space="preserve">Chapter 3: Research Methodology</w:t>
      </w:r>
    </w:p>
    <w:p>
      <w:pPr>
        <w:spacing w:after="120" w:before="280"/>
      </w:pPr>
      <w:r>
        <w:rPr>
          <w:rFonts w:ascii="Calibri" w:cs="Calibri" w:eastAsia="Calibri" w:hAnsi="Calibri"/>
          <w:b/>
          <w:bCs/>
          <w:color w:val="1A3A6B"/>
          <w:sz w:val="24"/>
          <w:szCs w:val="24"/>
        </w:rPr>
        <w:t xml:space="preserve">3.1  Introduction to Research Universe</w:t>
      </w:r>
    </w:p>
    <w:p>
      <w:pPr>
        <w:spacing w:after="80" w:before="80" w:line="300"/>
        <w:jc w:val="both"/>
      </w:pPr>
      <w:r>
        <w:rPr>
          <w:rFonts w:ascii="Calibri" w:cs="Calibri" w:eastAsia="Calibri" w:hAnsi="Calibri"/>
          <w:color w:val="1A202C"/>
          <w:sz w:val="20"/>
          <w:szCs w:val="20"/>
        </w:rPr>
        <w:t xml:space="preserve">The research universe refers to the complete set of elements — including people, objects, events, and data — from which a sample is derived. The universe encompasses all possible units that could be studied to generate results. Due to practical restrictions, scientists assess representative sample subsets from the universe to derive conclusions about the entire population group.</w:t>
      </w:r>
    </w:p>
    <w:p>
      <w:pPr>
        <w:spacing w:after="80" w:before="200"/>
      </w:pPr>
      <w:r>
        <w:rPr>
          <w:rFonts w:ascii="Calibri" w:cs="Calibri" w:eastAsia="Calibri" w:hAnsi="Calibri"/>
          <w:b/>
          <w:bCs/>
          <w:color w:val="1F5DA0"/>
          <w:sz w:val="22"/>
          <w:szCs w:val="22"/>
        </w:rPr>
        <w:t xml:space="preserve">3.1.2  Statement of Problem</w:t>
      </w:r>
    </w:p>
    <w:p>
      <w:pPr>
        <w:spacing w:after="80" w:before="80" w:line="300"/>
        <w:jc w:val="both"/>
      </w:pPr>
      <w:r>
        <w:rPr>
          <w:rFonts w:ascii="Calibri" w:cs="Calibri" w:eastAsia="Calibri" w:hAnsi="Calibri"/>
          <w:color w:val="1A202C"/>
          <w:sz w:val="20"/>
          <w:szCs w:val="20"/>
        </w:rPr>
        <w:t xml:space="preserve">Based on the literature review, the following research gaps were identified as the basis for this study:</w:t>
      </w:r>
    </w:p>
    <w:p>
      <w:pPr>
        <w:pStyle w:val="ListParagraph"/>
        <w:numPr>
          <w:ilvl w:val="0"/>
          <w:numId w:val="2"/>
        </w:numPr>
        <w:spacing w:after="50" w:before="50" w:line="300"/>
      </w:pPr>
      <w:r>
        <w:rPr>
          <w:rFonts w:ascii="Calibri" w:cs="Calibri" w:eastAsia="Calibri" w:hAnsi="Calibri"/>
          <w:color w:val="1A202C"/>
          <w:sz w:val="20"/>
          <w:szCs w:val="20"/>
        </w:rPr>
        <w:t xml:space="preserve">Lack of analysis on geopolitical factors affecting volatility clusters</w:t>
      </w:r>
    </w:p>
    <w:p>
      <w:pPr>
        <w:pStyle w:val="ListParagraph"/>
        <w:numPr>
          <w:ilvl w:val="0"/>
          <w:numId w:val="2"/>
        </w:numPr>
        <w:spacing w:after="50" w:before="50" w:line="300"/>
      </w:pPr>
      <w:r>
        <w:rPr>
          <w:rFonts w:ascii="Calibri" w:cs="Calibri" w:eastAsia="Calibri" w:hAnsi="Calibri"/>
          <w:color w:val="1A202C"/>
          <w:sz w:val="20"/>
          <w:szCs w:val="20"/>
        </w:rPr>
        <w:t xml:space="preserve">Non-inclusion of behavioural aspects affecting fund management</w:t>
      </w:r>
    </w:p>
    <w:p>
      <w:pPr>
        <w:pStyle w:val="ListParagraph"/>
        <w:numPr>
          <w:ilvl w:val="0"/>
          <w:numId w:val="2"/>
        </w:numPr>
        <w:spacing w:after="50" w:before="50" w:line="300"/>
      </w:pPr>
      <w:r>
        <w:rPr>
          <w:rFonts w:ascii="Calibri" w:cs="Calibri" w:eastAsia="Calibri" w:hAnsi="Calibri"/>
          <w:color w:val="1A202C"/>
          <w:sz w:val="20"/>
          <w:szCs w:val="20"/>
        </w:rPr>
        <w:t xml:space="preserve">ESG factors and their impact on volatility and stability of funds</w:t>
      </w:r>
    </w:p>
    <w:p>
      <w:pPr>
        <w:pStyle w:val="ListParagraph"/>
        <w:numPr>
          <w:ilvl w:val="0"/>
          <w:numId w:val="2"/>
        </w:numPr>
        <w:spacing w:after="50" w:before="50" w:line="300"/>
      </w:pPr>
      <w:r>
        <w:rPr>
          <w:rFonts w:ascii="Calibri" w:cs="Calibri" w:eastAsia="Calibri" w:hAnsi="Calibri"/>
          <w:color w:val="1A202C"/>
          <w:sz w:val="20"/>
          <w:szCs w:val="20"/>
        </w:rPr>
        <w:t xml:space="preserve">Use of GARCH to cluster and predict volatility</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This research aims to analyze one year of blue-chip fund volatility using quantitative methods. The study investigates the top 10 companies by NSE market capitalization, applies GARCH(1,1) for volatility measurement, and uses Sharpe Ratio and Treynor Ratio for risk-adjusted return analysis.</w:t>
      </w:r>
    </w:p>
    <w:p>
      <w:pPr>
        <w:spacing w:after="80" w:before="200"/>
      </w:pPr>
      <w:r>
        <w:rPr>
          <w:rFonts w:ascii="Calibri" w:cs="Calibri" w:eastAsia="Calibri" w:hAnsi="Calibri"/>
          <w:b/>
          <w:bCs/>
          <w:color w:val="1F5DA0"/>
          <w:sz w:val="22"/>
          <w:szCs w:val="22"/>
        </w:rPr>
        <w:t xml:space="preserve">3.1.3  Objectives of the Study</w:t>
      </w:r>
    </w:p>
    <w:p>
      <w:pPr>
        <w:pStyle w:val="ListParagraph"/>
        <w:numPr>
          <w:ilvl w:val="0"/>
          <w:numId w:val="2"/>
        </w:numPr>
        <w:spacing w:after="50" w:before="50" w:line="300"/>
      </w:pPr>
      <w:r>
        <w:rPr>
          <w:rFonts w:ascii="Calibri" w:cs="Calibri" w:eastAsia="Calibri" w:hAnsi="Calibri"/>
          <w:color w:val="1A202C"/>
          <w:sz w:val="20"/>
          <w:szCs w:val="20"/>
        </w:rPr>
        <w:t xml:space="preserve">Analyse volatility patterns of blue-chip funds</w:t>
      </w:r>
    </w:p>
    <w:p>
      <w:pPr>
        <w:pStyle w:val="ListParagraph"/>
        <w:numPr>
          <w:ilvl w:val="0"/>
          <w:numId w:val="2"/>
        </w:numPr>
        <w:spacing w:after="50" w:before="50" w:line="300"/>
      </w:pPr>
      <w:r>
        <w:rPr>
          <w:rFonts w:ascii="Calibri" w:cs="Calibri" w:eastAsia="Calibri" w:hAnsi="Calibri"/>
          <w:color w:val="1A202C"/>
          <w:sz w:val="20"/>
          <w:szCs w:val="20"/>
        </w:rPr>
        <w:t xml:space="preserve">Examine diversification strategies employed by these funds</w:t>
      </w:r>
    </w:p>
    <w:p>
      <w:pPr>
        <w:pStyle w:val="ListParagraph"/>
        <w:numPr>
          <w:ilvl w:val="0"/>
          <w:numId w:val="2"/>
        </w:numPr>
        <w:spacing w:after="50" w:before="50" w:line="300"/>
      </w:pPr>
      <w:r>
        <w:rPr>
          <w:rFonts w:ascii="Calibri" w:cs="Calibri" w:eastAsia="Calibri" w:hAnsi="Calibri"/>
          <w:color w:val="1A202C"/>
          <w:sz w:val="20"/>
          <w:szCs w:val="20"/>
        </w:rPr>
        <w:t xml:space="preserve">Evaluate competitive strategies used for fund management</w:t>
      </w:r>
    </w:p>
    <w:p>
      <w:pPr>
        <w:pStyle w:val="ListParagraph"/>
        <w:numPr>
          <w:ilvl w:val="0"/>
          <w:numId w:val="2"/>
        </w:numPr>
        <w:spacing w:after="50" w:before="50" w:line="300"/>
      </w:pPr>
      <w:r>
        <w:rPr>
          <w:rFonts w:ascii="Calibri" w:cs="Calibri" w:eastAsia="Calibri" w:hAnsi="Calibri"/>
          <w:color w:val="1A202C"/>
          <w:sz w:val="20"/>
          <w:szCs w:val="20"/>
        </w:rPr>
        <w:t xml:space="preserve">Understand geopolitical impacts on fund performance</w:t>
      </w:r>
    </w:p>
    <w:p>
      <w:pPr>
        <w:pStyle w:val="ListParagraph"/>
        <w:numPr>
          <w:ilvl w:val="0"/>
          <w:numId w:val="2"/>
        </w:numPr>
        <w:spacing w:after="50" w:before="50" w:line="300"/>
      </w:pPr>
      <w:r>
        <w:rPr>
          <w:rFonts w:ascii="Calibri" w:cs="Calibri" w:eastAsia="Calibri" w:hAnsi="Calibri"/>
          <w:color w:val="1A202C"/>
          <w:sz w:val="20"/>
          <w:szCs w:val="20"/>
        </w:rPr>
        <w:t xml:space="preserve">Understand behavioural aspects influencing investment decisions</w:t>
      </w:r>
    </w:p>
    <w:p>
      <w:pPr>
        <w:spacing w:after="120" w:before="280"/>
      </w:pPr>
      <w:r>
        <w:rPr>
          <w:rFonts w:ascii="Calibri" w:cs="Calibri" w:eastAsia="Calibri" w:hAnsi="Calibri"/>
          <w:b/>
          <w:bCs/>
          <w:color w:val="1A3A6B"/>
          <w:sz w:val="24"/>
          <w:szCs w:val="24"/>
        </w:rPr>
        <w:t xml:space="preserve">3.2  Research Sample</w:t>
      </w:r>
    </w:p>
    <w:p>
      <w:pPr>
        <w:spacing w:after="80" w:before="80" w:line="300"/>
        <w:jc w:val="both"/>
      </w:pPr>
      <w:r>
        <w:rPr>
          <w:rFonts w:ascii="Calibri" w:cs="Calibri" w:eastAsia="Calibri" w:hAnsi="Calibri"/>
          <w:color w:val="1A202C"/>
          <w:sz w:val="20"/>
          <w:szCs w:val="20"/>
        </w:rPr>
        <w:t xml:space="preserve">The sample consists of the top 10 Blue-Chip companies currently operating in India, listed under NSE and BSE, selected on the basis of market capitalization. Selection factors include AUM, historical performance, consistency in generating returns, and investor preference.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w:t>
            </w:r>
          </w:p>
        </w:tc>
        <w:tc>
          <w:tcPr>
            <w:tcW w:type="dxa" w:w="85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Selected Blue-Chip Companies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Reliance Industries Ltd.</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2</w:t>
            </w:r>
          </w:p>
        </w:tc>
        <w:tc>
          <w:tcPr>
            <w:tcW w:type="dxa" w:w="85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HDFC Bank Ltd.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Tata Consultancy Services Ltd.</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4</w:t>
            </w:r>
          </w:p>
        </w:tc>
        <w:tc>
          <w:tcPr>
            <w:tcW w:type="dxa" w:w="85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ICICI Bank Ltd.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State Bank of India Ltd.</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6</w:t>
            </w:r>
          </w:p>
        </w:tc>
        <w:tc>
          <w:tcPr>
            <w:tcW w:type="dxa" w:w="85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Bajaj Finance Ltd.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Hindustan Unilever Ltd.</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8</w:t>
            </w:r>
          </w:p>
        </w:tc>
        <w:tc>
          <w:tcPr>
            <w:tcW w:type="dxa" w:w="85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ITC Ltd.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Larsen &amp; Toubro Ltd.</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10</w:t>
            </w:r>
          </w:p>
        </w:tc>
        <w:tc>
          <w:tcPr>
            <w:tcW w:type="dxa" w:w="85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HCL Technologies Ltd.</w:t>
            </w:r>
          </w:p>
        </w:tc>
      </w:tr>
    </w:tbl>
    <w:p>
      <w:pPr>
        <w:spacing w:after="120" w:before="280"/>
      </w:pPr>
      <w:r>
        <w:rPr>
          <w:rFonts w:ascii="Calibri" w:cs="Calibri" w:eastAsia="Calibri" w:hAnsi="Calibri"/>
          <w:b/>
          <w:bCs/>
          <w:color w:val="1A3A6B"/>
          <w:sz w:val="24"/>
          <w:szCs w:val="24"/>
        </w:rPr>
        <w:t xml:space="preserve">3.3  Duration of Data</w:t>
      </w:r>
    </w:p>
    <w:p>
      <w:pPr>
        <w:spacing w:after="80" w:before="80" w:line="300"/>
        <w:jc w:val="both"/>
      </w:pPr>
      <w:r>
        <w:rPr>
          <w:rFonts w:ascii="Calibri" w:cs="Calibri" w:eastAsia="Calibri" w:hAnsi="Calibri"/>
          <w:color w:val="1A202C"/>
          <w:sz w:val="20"/>
          <w:szCs w:val="20"/>
        </w:rPr>
        <w:t xml:space="preserve">Data covers the full calendar year from January 1 to December 31, 2024. This period provides complete market movement analysis enabling observation of volatility patterns during fiscal cycles including earnings periods, budget declarations, international economic events, and RBI monetary policy changes. Daily market closure data from all ten companies provides a continuous, high-quality dataset suitable for GARCH modelling.</w:t>
      </w:r>
    </w:p>
    <w:p>
      <w:pPr>
        <w:spacing w:after="120" w:before="280"/>
      </w:pPr>
      <w:r>
        <w:rPr>
          <w:rFonts w:ascii="Calibri" w:cs="Calibri" w:eastAsia="Calibri" w:hAnsi="Calibri"/>
          <w:b/>
          <w:bCs/>
          <w:color w:val="1A3A6B"/>
          <w:sz w:val="24"/>
          <w:szCs w:val="24"/>
        </w:rPr>
        <w:t xml:space="preserve">3.4  Data Source</w:t>
      </w:r>
    </w:p>
    <w:p>
      <w:pPr>
        <w:spacing w:after="80" w:before="80" w:line="300"/>
        <w:jc w:val="both"/>
      </w:pPr>
      <w:r>
        <w:rPr>
          <w:rFonts w:ascii="Calibri" w:cs="Calibri" w:eastAsia="Calibri" w:hAnsi="Calibri"/>
          <w:color w:val="1A202C"/>
          <w:sz w:val="20"/>
          <w:szCs w:val="20"/>
        </w:rPr>
        <w:t xml:space="preserve">Financial data was sourced from Yahoo Finance — a platform providing current market information about stocks, mutual funds, ETFs, commodities, currencies, and cryptocurrencies. Yahoo Finance allows download of 1–5 years of daily closing prices in CSV format for direct use in R, Python, and Excel. Data Source: https://finance.yahoo.com/quote/BLUECHIP.NS/history/</w:t>
      </w:r>
    </w:p>
    <w:p>
      <w:pPr>
        <w:spacing w:after="120" w:before="280"/>
      </w:pPr>
      <w:r>
        <w:rPr>
          <w:rFonts w:ascii="Calibri" w:cs="Calibri" w:eastAsia="Calibri" w:hAnsi="Calibri"/>
          <w:b/>
          <w:bCs/>
          <w:color w:val="1A3A6B"/>
          <w:sz w:val="24"/>
          <w:szCs w:val="24"/>
        </w:rPr>
        <w:t xml:space="preserve">3.4.1  Ratios Used for the Study</w:t>
      </w:r>
    </w:p>
    <w:p>
      <w:pPr>
        <w:spacing w:after="80" w:before="200"/>
      </w:pPr>
      <w:r>
        <w:rPr>
          <w:rFonts w:ascii="Calibri" w:cs="Calibri" w:eastAsia="Calibri" w:hAnsi="Calibri"/>
          <w:b/>
          <w:bCs/>
          <w:color w:val="1F5DA0"/>
          <w:sz w:val="22"/>
          <w:szCs w:val="22"/>
        </w:rPr>
        <w:t xml:space="preserve">Sharpe Ratio</w:t>
      </w:r>
    </w:p>
    <w:p>
      <w:pPr>
        <w:spacing w:after="80" w:before="80" w:line="300"/>
        <w:jc w:val="both"/>
      </w:pPr>
      <w:r>
        <w:rPr>
          <w:rFonts w:ascii="Calibri" w:cs="Calibri" w:eastAsia="Calibri" w:hAnsi="Calibri"/>
          <w:color w:val="1A202C"/>
          <w:sz w:val="20"/>
          <w:szCs w:val="20"/>
        </w:rPr>
        <w:t xml:space="preserve">The Sharpe Ratio measures risk-adjusted returns for investments and portfolios, determining the quotient between excess returns over the risk-free rate and total portfolio risk (standard deviation). It evaluates every risk element independent of diversification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Sharpe Ratio Range</w:t>
            </w:r>
          </w:p>
        </w:tc>
        <w:tc>
          <w:tcPr>
            <w:tcW w:type="dxa" w:w="63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Interpretation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0.0 – 0.99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Low risk/reward — below acceptable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1.00 – 1.99</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Good — acceptable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2.0 – 2.99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Very Good — strong risk-adjusted returns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3.0 and above</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Outstanding — exceptional performance</w:t>
            </w:r>
          </w:p>
        </w:tc>
      </w:tr>
    </w:tbl>
    <w:p>
      <w:pPr>
        <w:spacing w:after="0" w:before="120"/>
      </w:pPr>
      <w:r>
        <w:t xml:space="preserve"/>
      </w:r>
    </w:p>
    <w:p>
      <w:pPr>
        <w:spacing w:after="80" w:before="80" w:line="300"/>
        <w:jc w:val="both"/>
      </w:pPr>
      <w:r>
        <w:rPr>
          <w:rFonts w:ascii="Calibri" w:cs="Calibri" w:eastAsia="Calibri" w:hAnsi="Calibri"/>
          <w:b/>
          <w:bCs/>
          <w:color w:val="1A3A6B"/>
          <w:sz w:val="20"/>
          <w:szCs w:val="20"/>
        </w:rPr>
        <w:t xml:space="preserve">Formula:  Sharpe Ratio = (Rp - Rf) / sigma-p</w:t>
      </w:r>
    </w:p>
    <w:p>
      <w:pPr>
        <w:spacing w:after="80" w:before="200"/>
      </w:pPr>
      <w:r>
        <w:rPr>
          <w:rFonts w:ascii="Calibri" w:cs="Calibri" w:eastAsia="Calibri" w:hAnsi="Calibri"/>
          <w:b/>
          <w:bCs/>
          <w:color w:val="1F5DA0"/>
          <w:sz w:val="22"/>
          <w:szCs w:val="22"/>
        </w:rPr>
        <w:t xml:space="preserve">Treynor Ratio</w:t>
      </w:r>
    </w:p>
    <w:p>
      <w:pPr>
        <w:spacing w:after="80" w:before="80" w:line="300"/>
        <w:jc w:val="both"/>
      </w:pPr>
      <w:r>
        <w:rPr>
          <w:rFonts w:ascii="Calibri" w:cs="Calibri" w:eastAsia="Calibri" w:hAnsi="Calibri"/>
          <w:color w:val="1A202C"/>
          <w:sz w:val="20"/>
          <w:szCs w:val="20"/>
        </w:rPr>
        <w:t xml:space="preserve">The Treynor Ratio examines systematic risk exclusively — measured by Beta — determining the surplus return achieved according to market risk exposure. It is particularly useful for evaluating diversified portfolios and mutual funds against their benchmark index.</w:t>
      </w:r>
    </w:p>
    <w:p>
      <w:pPr>
        <w:spacing w:after="0" w:before="80"/>
      </w:pPr>
      <w:r>
        <w:t xml:space="preserve"/>
      </w:r>
    </w:p>
    <w:p>
      <w:pPr>
        <w:spacing w:after="80" w:before="80" w:line="300"/>
        <w:jc w:val="both"/>
      </w:pPr>
      <w:r>
        <w:rPr>
          <w:rFonts w:ascii="Calibri" w:cs="Calibri" w:eastAsia="Calibri" w:hAnsi="Calibri"/>
          <w:b/>
          <w:bCs/>
          <w:color w:val="1A3A6B"/>
          <w:sz w:val="20"/>
          <w:szCs w:val="20"/>
        </w:rPr>
        <w:t xml:space="preserve">Formula:  Treynor Ratio = (rp - rf) / Beta-p</w:t>
      </w:r>
    </w:p>
    <w:p>
      <w:pPr>
        <w:spacing w:after="120" w:before="280"/>
      </w:pPr>
      <w:r>
        <w:rPr>
          <w:rFonts w:ascii="Calibri" w:cs="Calibri" w:eastAsia="Calibri" w:hAnsi="Calibri"/>
          <w:b/>
          <w:bCs/>
          <w:color w:val="1A3A6B"/>
          <w:sz w:val="24"/>
          <w:szCs w:val="24"/>
        </w:rPr>
        <w:t xml:space="preserve">3.5  GARCH Model Application</w:t>
      </w:r>
    </w:p>
    <w:p>
      <w:pPr>
        <w:spacing w:after="80" w:before="80" w:line="300"/>
        <w:jc w:val="both"/>
      </w:pPr>
      <w:r>
        <w:rPr>
          <w:rFonts w:ascii="Calibri" w:cs="Calibri" w:eastAsia="Calibri" w:hAnsi="Calibri"/>
          <w:color w:val="1A202C"/>
          <w:sz w:val="20"/>
          <w:szCs w:val="20"/>
        </w:rPr>
        <w:t xml:space="preserve">The GARCH(1,1) model serves as the primary analytical framework. In this study, the GARCH framework identified frequent volatility clusters during periods of both high and low stock fund return volatility. The model tracks the clustering pattern by constructing conditional variance from historical shock events and volatility patterns, facilitating better investment choices through consideration of changing volatility patterns.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GARCH Parameter</w:t>
            </w:r>
          </w:p>
        </w:tc>
        <w:tc>
          <w:tcPr>
            <w:tcW w:type="dxa" w:w="63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Omega (ω)</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The random noise or baseline background volatility of the stock — independent of past events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Alpha (α)</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Sensitivity to new shocks — how much yesterday's news impact affects today's volatility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Beta (β)</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Persistence of volatility — how much yesterday's volatility level carries into today (memory effect)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α + β</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When close to 1, indicates high volatility persistence; typical in financial markets</w:t>
            </w:r>
          </w:p>
        </w:tc>
      </w:tr>
    </w:tbl>
    <w:p>
      <w:r>
        <w:br w:type="page"/>
      </w:r>
    </w:p>
    <w:p>
      <w:pPr>
        <w:pBdr>
          <w:bottom w:val="single" w:color="F0A500" w:sz="5" w:space="6"/>
        </w:pBdr>
        <w:spacing w:after="160" w:before="400"/>
      </w:pPr>
      <w:r>
        <w:rPr>
          <w:rFonts w:ascii="Calibri" w:cs="Calibri" w:eastAsia="Calibri" w:hAnsi="Calibri"/>
          <w:b/>
          <w:bCs/>
          <w:color w:val="0D2B55"/>
          <w:sz w:val="32"/>
          <w:szCs w:val="32"/>
        </w:rPr>
        <w:t xml:space="preserve">Chapter 4: Data Processing and Interpretations</w:t>
      </w:r>
    </w:p>
    <w:p>
      <w:pPr>
        <w:spacing w:after="120" w:before="280"/>
      </w:pPr>
      <w:r>
        <w:rPr>
          <w:rFonts w:ascii="Calibri" w:cs="Calibri" w:eastAsia="Calibri" w:hAnsi="Calibri"/>
          <w:b/>
          <w:bCs/>
          <w:color w:val="1A3A6B"/>
          <w:sz w:val="24"/>
          <w:szCs w:val="24"/>
        </w:rPr>
        <w:t xml:space="preserve">4.1  Hypothesis Framework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CD" w:val="clear"/>
            <w:tcMar>
              <w:top w:type="dxa" w:w="160"/>
              <w:left w:type="dxa" w:w="200"/>
              <w:bottom w:type="dxa" w:w="160"/>
              <w:right w:type="dxa" w:w="200"/>
            </w:tcMar>
          </w:tcPr>
          <w:p>
            <w:pPr>
              <w:spacing w:after="80" w:before="0" w:line="300"/>
            </w:pPr>
            <w:r>
              <w:rPr>
                <w:rFonts w:ascii="Calibri" w:cs="Calibri" w:eastAsia="Calibri" w:hAnsi="Calibri"/>
                <w:b/>
                <w:bCs/>
                <w:color w:val="0D2B55"/>
                <w:sz w:val="22"/>
                <w:szCs w:val="22"/>
              </w:rPr>
              <w:t xml:space="preserve">H₀ — Null Hypothesis</w:t>
            </w:r>
          </w:p>
          <w:p>
            <w:pPr>
              <w:spacing w:after="60" w:before="0" w:line="300"/>
            </w:pPr>
            <w:r>
              <w:rPr>
                <w:rFonts w:ascii="Calibri" w:cs="Calibri" w:eastAsia="Calibri" w:hAnsi="Calibri"/>
                <w:color w:val="1A202C"/>
                <w:sz w:val="20"/>
                <w:szCs w:val="20"/>
              </w:rPr>
              <w:t xml:space="preserve">The time series exhibits a unit root (non-stationary).</w:t>
            </w:r>
          </w:p>
          <w:p>
            <w:r>
              <w:rPr>
                <w:rFonts w:ascii="Calibri" w:cs="Calibri" w:eastAsia="Calibri" w:hAnsi="Calibri"/>
                <w:b/>
                <w:bCs/>
                <w:color w:val="C0392B"/>
                <w:sz w:val="19"/>
                <w:szCs w:val="19"/>
              </w:rPr>
              <w:t xml:space="preserve">Accept H₀ if  p-value &gt; 0.05</w:t>
            </w:r>
          </w:p>
        </w:tc>
        <w:tc>
          <w:tcPr>
            <w:tcW w:type="dxa" w:w="4680"/>
            <w:tcBorders>
              <w:top w:val="single" w:color="CCCCCC" w:sz="1"/>
              <w:left w:val="single" w:color="CCCCCC" w:sz="1"/>
              <w:bottom w:val="single" w:color="CCCCCC" w:sz="1"/>
              <w:right w:val="single" w:color="CCCCCC" w:sz="1"/>
            </w:tcBorders>
            <w:shd w:fill="D6E8FA" w:val="clear"/>
            <w:tcMar>
              <w:top w:type="dxa" w:w="160"/>
              <w:left w:type="dxa" w:w="200"/>
              <w:bottom w:type="dxa" w:w="160"/>
              <w:right w:type="dxa" w:w="200"/>
            </w:tcMar>
          </w:tcPr>
          <w:p>
            <w:pPr>
              <w:spacing w:after="80" w:before="0" w:line="300"/>
            </w:pPr>
            <w:r>
              <w:rPr>
                <w:rFonts w:ascii="Calibri" w:cs="Calibri" w:eastAsia="Calibri" w:hAnsi="Calibri"/>
                <w:b/>
                <w:bCs/>
                <w:color w:val="0D2B55"/>
                <w:sz w:val="22"/>
                <w:szCs w:val="22"/>
              </w:rPr>
              <w:t xml:space="preserve">H₁ — Alternative Hypothesis</w:t>
            </w:r>
          </w:p>
          <w:p>
            <w:pPr>
              <w:spacing w:after="60" w:before="0" w:line="300"/>
            </w:pPr>
            <w:r>
              <w:rPr>
                <w:rFonts w:ascii="Calibri" w:cs="Calibri" w:eastAsia="Calibri" w:hAnsi="Calibri"/>
                <w:color w:val="1A202C"/>
                <w:sz w:val="20"/>
                <w:szCs w:val="20"/>
              </w:rPr>
              <w:t xml:space="preserve">The time series is stationary (no unit root).</w:t>
            </w:r>
          </w:p>
          <w:p>
            <w:r>
              <w:rPr>
                <w:rFonts w:ascii="Calibri" w:cs="Calibri" w:eastAsia="Calibri" w:hAnsi="Calibri"/>
                <w:b/>
                <w:bCs/>
                <w:color w:val="1A6B3C"/>
                <w:sz w:val="19"/>
                <w:szCs w:val="19"/>
              </w:rPr>
              <w:t xml:space="preserve">Accept H₁ if  p-value &lt; 0.05</w:t>
            </w:r>
          </w:p>
        </w:tc>
      </w:tr>
    </w:tbl>
    <w:p>
      <w:pPr>
        <w:spacing w:after="120" w:before="280"/>
      </w:pPr>
      <w:r>
        <w:rPr>
          <w:rFonts w:ascii="Calibri" w:cs="Calibri" w:eastAsia="Calibri" w:hAnsi="Calibri"/>
          <w:b/>
          <w:bCs/>
          <w:color w:val="1A3A6B"/>
          <w:sz w:val="24"/>
          <w:szCs w:val="24"/>
        </w:rPr>
        <w:t xml:space="preserve">4.2  Stationarity Tests (ADF Test) — Results Summary</w:t>
      </w:r>
    </w:p>
    <w:p>
      <w:pPr>
        <w:spacing w:after="80" w:before="80" w:line="300"/>
        <w:jc w:val="both"/>
      </w:pPr>
      <w:r>
        <w:rPr>
          <w:rFonts w:ascii="Calibri" w:cs="Calibri" w:eastAsia="Calibri" w:hAnsi="Calibri"/>
          <w:color w:val="1A202C"/>
          <w:sz w:val="20"/>
          <w:szCs w:val="20"/>
        </w:rPr>
        <w:t xml:space="preserve">The Augmented Dickey-Fuller (ADF) test was applied to all 10 companies. All original price series showed non-stationary behaviour (p-value &gt; 0.05), confirming presence of unit roots. Following first differencing, all series became stationary (p-value &lt; 0.05), confirming suitability for time-series GARCH modelling.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Company</w:t>
            </w:r>
          </w:p>
        </w:tc>
        <w:tc>
          <w:tcPr>
            <w:tcW w:type="dxa" w:w="63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Original Series | Differenced Series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Bajaj Finance Ltd.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(unit root) → Stationary after 1st differencing</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HCL Technologies Ltd.</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(trending) → Stationary after 1st differencing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HDFC Bank Ltd.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(long-term trends) → Stationary after 1st differencing</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Hindustan Unilever Ltd.</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(continuous movement) → Stationary after 1st differencing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ICICI Bank Ltd.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(ascending/descending trends) → Stationary after 1st differencing</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ITC Ltd.</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(upward/downward fluctuations) → Stationary after 1st differencing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Larsen &amp; Toubro Ltd.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Partially Stationary (p-value borderline) → Confirmed stationary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Reliance Industries Ltd.</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(ascending then declining) → Stationary after 1st differencing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State Bank of India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(downward trend + fluctuations) → Stationary after 1st differencing</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Tata Consultancy Services Ltd.</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Non-Stationary (multiple up/down movements) → Stationary after 1st differencing</w:t>
            </w:r>
          </w:p>
        </w:tc>
      </w:tr>
    </w:tbl>
    <w:p>
      <w:pPr>
        <w:spacing w:after="120" w:before="280"/>
      </w:pPr>
      <w:r>
        <w:rPr>
          <w:rFonts w:ascii="Calibri" w:cs="Calibri" w:eastAsia="Calibri" w:hAnsi="Calibri"/>
          <w:b/>
          <w:bCs/>
          <w:color w:val="1A3A6B"/>
          <w:sz w:val="24"/>
          <w:szCs w:val="24"/>
        </w:rPr>
        <w:t xml:space="preserve">4.3  Granger Causality Tests</w:t>
      </w:r>
    </w:p>
    <w:p>
      <w:pPr>
        <w:spacing w:after="80" w:before="80" w:line="300"/>
        <w:jc w:val="both"/>
      </w:pPr>
      <w:r>
        <w:rPr>
          <w:rFonts w:ascii="Calibri" w:cs="Calibri" w:eastAsia="Calibri" w:hAnsi="Calibri"/>
          <w:color w:val="1A202C"/>
          <w:sz w:val="20"/>
          <w:szCs w:val="20"/>
        </w:rPr>
        <w:t xml:space="preserve">The Granger causality test determines whether past values of one time series help predict another. A p-value below 0.05 indicates significant Granger causality — i.e., the first variable does predict the second. Most pairs showed no significant causality, reflecting weak inter-sector linkages. However, several notable causal relationships were identified.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0D2B55"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Causal Pair</w:t>
            </w:r>
          </w:p>
        </w:tc>
        <w:tc>
          <w:tcPr>
            <w:tcW w:type="dxa" w:w="1400"/>
            <w:tcBorders>
              <w:top w:val="single" w:color="CCCCCC" w:sz="1"/>
              <w:left w:val="single" w:color="CCCCCC" w:sz="1"/>
              <w:bottom w:val="single" w:color="CCCCCC" w:sz="1"/>
              <w:right w:val="single" w:color="CCCCCC" w:sz="1"/>
            </w:tcBorders>
            <w:shd w:fill="0D2B55"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p-value</w:t>
            </w:r>
          </w:p>
        </w:tc>
        <w:tc>
          <w:tcPr>
            <w:tcW w:type="dxa" w:w="5160"/>
            <w:tcBorders>
              <w:top w:val="single" w:color="CCCCCC" w:sz="1"/>
              <w:left w:val="single" w:color="CCCCCC" w:sz="1"/>
              <w:bottom w:val="single" w:color="CCCCCC" w:sz="1"/>
              <w:right w:val="single" w:color="CCCCCC" w:sz="1"/>
            </w:tcBorders>
            <w:shd w:fill="0D2B55"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HDFC Bank → Bajaj 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1A3A6B"/>
                <w:sz w:val="18"/>
                <w:szCs w:val="18"/>
              </w:rPr>
              <w:t xml:space="preserve">0.0185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Significant — HDFC Granger-causes Bajaj Finance</w:t>
            </w:r>
          </w:p>
        </w:tc>
      </w:tr>
      <w:tr>
        <w:tc>
          <w:tcPr>
            <w:tcW w:type="dxa" w:w="28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L&amp;T → Bajaj Finance</w:t>
            </w:r>
          </w:p>
        </w:tc>
        <w:tc>
          <w:tcPr>
            <w:tcW w:type="dxa" w:w="1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center"/>
            </w:pPr>
            <w:r>
              <w:rPr>
                <w:rFonts w:ascii="Calibri" w:cs="Calibri" w:eastAsia="Calibri" w:hAnsi="Calibri"/>
                <w:b/>
                <w:bCs/>
                <w:color w:val="1A3A6B"/>
                <w:sz w:val="18"/>
                <w:szCs w:val="18"/>
              </w:rPr>
              <w:t xml:space="preserve">0.0389</w:t>
            </w:r>
          </w:p>
        </w:tc>
        <w:tc>
          <w:tcPr>
            <w:tcW w:type="dxa" w:w="516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Significant — L&amp;T predicts Bajaj Finance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ICICI Bank → HCL Technologies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1A3A6B"/>
                <w:sz w:val="18"/>
                <w:szCs w:val="18"/>
              </w:rPr>
              <w:t xml:space="preserve">0.0297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Significant — Banking sector leads IT</w:t>
            </w:r>
          </w:p>
        </w:tc>
      </w:tr>
      <w:tr>
        <w:tc>
          <w:tcPr>
            <w:tcW w:type="dxa" w:w="28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HCL Technologies → ITC</w:t>
            </w:r>
          </w:p>
        </w:tc>
        <w:tc>
          <w:tcPr>
            <w:tcW w:type="dxa" w:w="1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center"/>
            </w:pPr>
            <w:r>
              <w:rPr>
                <w:rFonts w:ascii="Calibri" w:cs="Calibri" w:eastAsia="Calibri" w:hAnsi="Calibri"/>
                <w:b/>
                <w:bCs/>
                <w:color w:val="1A3A6B"/>
                <w:sz w:val="18"/>
                <w:szCs w:val="18"/>
              </w:rPr>
              <w:t xml:space="preserve">0.0409</w:t>
            </w:r>
          </w:p>
        </w:tc>
        <w:tc>
          <w:tcPr>
            <w:tcW w:type="dxa" w:w="516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Significant — Cross-sector predictive 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ITC → Hindustan Unilever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0.0027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Highly significant — FMCG internal causality</w:t>
            </w:r>
          </w:p>
        </w:tc>
      </w:tr>
      <w:tr>
        <w:tc>
          <w:tcPr>
            <w:tcW w:type="dxa" w:w="28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Reliance → ICICI Bank</w:t>
            </w:r>
          </w:p>
        </w:tc>
        <w:tc>
          <w:tcPr>
            <w:tcW w:type="dxa" w:w="1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1.E-06</w:t>
            </w:r>
          </w:p>
        </w:tc>
        <w:tc>
          <w:tcPr>
            <w:tcW w:type="dxa" w:w="516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Very highly significant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SBI → ICICI Bank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7.E-10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Very highly significant — PSB leads private bank</w:t>
            </w:r>
          </w:p>
        </w:tc>
      </w:tr>
      <w:tr>
        <w:tc>
          <w:tcPr>
            <w:tcW w:type="dxa" w:w="28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L&amp;T → ITC</w:t>
            </w:r>
          </w:p>
        </w:tc>
        <w:tc>
          <w:tcPr>
            <w:tcW w:type="dxa" w:w="1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center"/>
            </w:pPr>
            <w:r>
              <w:rPr>
                <w:rFonts w:ascii="Calibri" w:cs="Calibri" w:eastAsia="Calibri" w:hAnsi="Calibri"/>
                <w:b/>
                <w:bCs/>
                <w:color w:val="1A3A6B"/>
                <w:sz w:val="18"/>
                <w:szCs w:val="18"/>
              </w:rPr>
              <w:t xml:space="preserve">0.0216</w:t>
            </w:r>
          </w:p>
        </w:tc>
        <w:tc>
          <w:tcPr>
            <w:tcW w:type="dxa" w:w="516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Significant — Industrial → FMCG linkage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Reliance → L&amp;T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7.E-14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Extremely significant</w:t>
            </w:r>
          </w:p>
        </w:tc>
      </w:tr>
      <w:tr>
        <w:tc>
          <w:tcPr>
            <w:tcW w:type="dxa" w:w="28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SBI → L&amp;T</w:t>
            </w:r>
          </w:p>
        </w:tc>
        <w:tc>
          <w:tcPr>
            <w:tcW w:type="dxa" w:w="1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4.E-12</w:t>
            </w:r>
          </w:p>
        </w:tc>
        <w:tc>
          <w:tcPr>
            <w:tcW w:type="dxa" w:w="516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Extremely significant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SBI → Reliance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1A3A6B"/>
                <w:sz w:val="18"/>
                <w:szCs w:val="18"/>
              </w:rPr>
              <w:t xml:space="preserve">0.0229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Significant — Public banking leads conglomerate</w:t>
            </w:r>
          </w:p>
        </w:tc>
      </w:tr>
      <w:tr>
        <w:tc>
          <w:tcPr>
            <w:tcW w:type="dxa" w:w="28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TCS → SBI</w:t>
            </w:r>
          </w:p>
        </w:tc>
        <w:tc>
          <w:tcPr>
            <w:tcW w:type="dxa" w:w="1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center"/>
            </w:pPr>
            <w:r>
              <w:rPr>
                <w:rFonts w:ascii="Calibri" w:cs="Calibri" w:eastAsia="Calibri" w:hAnsi="Calibri"/>
                <w:b/>
                <w:bCs/>
                <w:color w:val="1A3A6B"/>
                <w:sz w:val="18"/>
                <w:szCs w:val="18"/>
              </w:rPr>
              <w:t xml:space="preserve">0.0445</w:t>
            </w:r>
          </w:p>
        </w:tc>
        <w:tc>
          <w:tcPr>
            <w:tcW w:type="dxa" w:w="516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jc w:val="left"/>
            </w:pPr>
            <w:r>
              <w:rPr>
                <w:rFonts w:ascii="Calibri" w:cs="Calibri" w:eastAsia="Calibri" w:hAnsi="Calibri"/>
                <w:b w:val="false"/>
                <w:bCs w:val="false"/>
                <w:color w:val="1A202C"/>
                <w:sz w:val="18"/>
                <w:szCs w:val="18"/>
              </w:rPr>
              <w:t xml:space="preserve">Significant — IT sector predicts banking</w:t>
            </w:r>
          </w:p>
        </w:tc>
      </w:tr>
    </w:tbl>
    <w:p>
      <w:pPr>
        <w:spacing w:after="0" w:before="200"/>
      </w:pPr>
      <w:r>
        <w:t xml:space="preserve"/>
      </w:r>
    </w:p>
    <w:p>
      <w:pPr>
        <w:spacing w:after="80" w:before="200"/>
      </w:pPr>
      <w:r>
        <w:rPr>
          <w:rFonts w:ascii="Calibri" w:cs="Calibri" w:eastAsia="Calibri" w:hAnsi="Calibri"/>
          <w:b/>
          <w:bCs/>
          <w:color w:val="1F5DA0"/>
          <w:sz w:val="22"/>
          <w:szCs w:val="22"/>
        </w:rPr>
        <w:t xml:space="preserve">Key Interpretations</w:t>
      </w:r>
    </w:p>
    <w:p>
      <w:pPr>
        <w:pStyle w:val="ListParagraph"/>
        <w:numPr>
          <w:ilvl w:val="0"/>
          <w:numId w:val="2"/>
        </w:numPr>
        <w:spacing w:after="50" w:before="50" w:line="300"/>
      </w:pPr>
      <w:r>
        <w:rPr>
          <w:rFonts w:ascii="Calibri" w:cs="Calibri" w:eastAsia="Calibri" w:hAnsi="Calibri"/>
          <w:color w:val="1A202C"/>
          <w:sz w:val="20"/>
          <w:szCs w:val="20"/>
        </w:rPr>
        <w:t xml:space="preserve">Banking institutions (HDFC, ICICI, SBI) exhibit strong predictive power over Bajaj Finance, HCL Tech, and L&amp;T — indicating financial sector dominance in price discovery.</w:t>
      </w:r>
    </w:p>
    <w:p>
      <w:pPr>
        <w:pStyle w:val="ListParagraph"/>
        <w:numPr>
          <w:ilvl w:val="0"/>
          <w:numId w:val="2"/>
        </w:numPr>
        <w:spacing w:after="50" w:before="50" w:line="300"/>
      </w:pPr>
      <w:r>
        <w:rPr>
          <w:rFonts w:ascii="Calibri" w:cs="Calibri" w:eastAsia="Calibri" w:hAnsi="Calibri"/>
          <w:color w:val="1A202C"/>
          <w:sz w:val="20"/>
          <w:szCs w:val="20"/>
        </w:rPr>
        <w:t xml:space="preserve">ITC demonstrates influence over Hindustan Unilever — a within-FMCG predictive linkage.</w:t>
      </w:r>
    </w:p>
    <w:p>
      <w:pPr>
        <w:pStyle w:val="ListParagraph"/>
        <w:numPr>
          <w:ilvl w:val="0"/>
          <w:numId w:val="2"/>
        </w:numPr>
        <w:spacing w:after="50" w:before="50" w:line="300"/>
      </w:pPr>
      <w:r>
        <w:rPr>
          <w:rFonts w:ascii="Calibri" w:cs="Calibri" w:eastAsia="Calibri" w:hAnsi="Calibri"/>
          <w:color w:val="1A202C"/>
          <w:sz w:val="20"/>
          <w:szCs w:val="20"/>
        </w:rPr>
        <w:t xml:space="preserve">Reliance Industries and SBI show robust predictive capabilities across multiple stocks, reflecting their conglomerate and systemic importance.</w:t>
      </w:r>
    </w:p>
    <w:p>
      <w:pPr>
        <w:pStyle w:val="ListParagraph"/>
        <w:numPr>
          <w:ilvl w:val="0"/>
          <w:numId w:val="2"/>
        </w:numPr>
        <w:spacing w:after="50" w:before="50" w:line="300"/>
      </w:pPr>
      <w:r>
        <w:rPr>
          <w:rFonts w:ascii="Calibri" w:cs="Calibri" w:eastAsia="Calibri" w:hAnsi="Calibri"/>
          <w:color w:val="1A202C"/>
          <w:sz w:val="20"/>
          <w:szCs w:val="20"/>
        </w:rPr>
        <w:t xml:space="preserve">TCS demonstrates forecasting ability over SBI, suggesting IT sector leads banking sector sentiment.</w:t>
      </w:r>
    </w:p>
    <w:p>
      <w:pPr>
        <w:pStyle w:val="ListParagraph"/>
        <w:numPr>
          <w:ilvl w:val="0"/>
          <w:numId w:val="2"/>
        </w:numPr>
        <w:spacing w:after="50" w:before="50" w:line="300"/>
      </w:pPr>
      <w:r>
        <w:rPr>
          <w:rFonts w:ascii="Calibri" w:cs="Calibri" w:eastAsia="Calibri" w:hAnsi="Calibri"/>
          <w:color w:val="1A202C"/>
          <w:sz w:val="20"/>
          <w:szCs w:val="20"/>
        </w:rPr>
        <w:t xml:space="preserve">Weak cross-sector causality in many pairs is likely attributed to sectoral differences in valuation bases.</w:t>
      </w:r>
    </w:p>
    <w:p>
      <w:pPr>
        <w:spacing w:after="120" w:before="280"/>
      </w:pPr>
      <w:r>
        <w:rPr>
          <w:rFonts w:ascii="Calibri" w:cs="Calibri" w:eastAsia="Calibri" w:hAnsi="Calibri"/>
          <w:b/>
          <w:bCs/>
          <w:color w:val="1A3A6B"/>
          <w:sz w:val="24"/>
          <w:szCs w:val="24"/>
        </w:rPr>
        <w:t xml:space="preserve">4.4  GARCH Model Testing</w:t>
      </w:r>
    </w:p>
    <w:p>
      <w:pPr>
        <w:spacing w:after="80" w:before="80" w:line="300"/>
        <w:jc w:val="both"/>
      </w:pPr>
      <w:r>
        <w:rPr>
          <w:rFonts w:ascii="Calibri" w:cs="Calibri" w:eastAsia="Calibri" w:hAnsi="Calibri"/>
          <w:color w:val="1A202C"/>
          <w:sz w:val="20"/>
          <w:szCs w:val="20"/>
        </w:rPr>
        <w:t xml:space="preserve">To apply the GARCH model, the first-differenced time series of all 10 companies was prepared to ensure stationarity. Python was used to run the GARCH model. Alpha, Beta, and Omega values were extracted for each company and used as features for K-means clustering to identify behavioral groups.</w:t>
      </w:r>
    </w:p>
    <w:p>
      <w:pPr>
        <w:spacing w:after="80" w:before="200"/>
      </w:pPr>
      <w:r>
        <w:rPr>
          <w:rFonts w:ascii="Calibri" w:cs="Calibri" w:eastAsia="Calibri" w:hAnsi="Calibri"/>
          <w:b/>
          <w:bCs/>
          <w:color w:val="1F5DA0"/>
          <w:sz w:val="22"/>
          <w:szCs w:val="22"/>
        </w:rPr>
        <w:t xml:space="preserve">4.4.1  Cluster Analysis Results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1300"/>
        <w:gridCol w:w="1200"/>
        <w:gridCol w:w="2060"/>
      </w:tblGrid>
      <w:tr>
        <w:tc>
          <w:tcPr>
            <w:tcW w:type="dxa" w:w="2100"/>
            <w:tcBorders>
              <w:top w:val="single" w:color="CCCCCC" w:sz="1"/>
              <w:left w:val="single" w:color="CCCCCC" w:sz="1"/>
              <w:bottom w:val="single" w:color="CCCCCC" w:sz="1"/>
              <w:right w:val="single" w:color="CCCCCC" w:sz="1"/>
            </w:tcBorders>
            <w:shd w:fill="1A3A6B" w:val="clear"/>
            <w:tcMar>
              <w:top w:type="dxa" w:w="100"/>
              <w:left w:type="dxa" w:w="100"/>
              <w:bottom w:type="dxa" w:w="100"/>
              <w:right w:type="dxa" w:w="100"/>
            </w:tcMar>
          </w:tcPr>
          <w:p>
            <w:pPr>
              <w:jc w:val="center"/>
            </w:pPr>
            <w:r>
              <w:rPr>
                <w:rFonts w:ascii="Calibri" w:cs="Calibri" w:eastAsia="Calibri" w:hAnsi="Calibri"/>
                <w:b/>
                <w:bCs/>
                <w:color w:val="FFFFFF"/>
                <w:sz w:val="17"/>
                <w:szCs w:val="17"/>
              </w:rPr>
              <w:t xml:space="preserve">Cluster</w:t>
            </w:r>
          </w:p>
        </w:tc>
        <w:tc>
          <w:tcPr>
            <w:tcW w:type="dxa" w:w="1500"/>
            <w:tcBorders>
              <w:top w:val="single" w:color="CCCCCC" w:sz="1"/>
              <w:left w:val="single" w:color="CCCCCC" w:sz="1"/>
              <w:bottom w:val="single" w:color="CCCCCC" w:sz="1"/>
              <w:right w:val="single" w:color="CCCCCC" w:sz="1"/>
            </w:tcBorders>
            <w:shd w:fill="1A3A6B" w:val="clear"/>
            <w:tcMar>
              <w:top w:type="dxa" w:w="100"/>
              <w:left w:type="dxa" w:w="100"/>
              <w:bottom w:type="dxa" w:w="100"/>
              <w:right w:type="dxa" w:w="100"/>
            </w:tcMar>
          </w:tcPr>
          <w:p>
            <w:pPr>
              <w:jc w:val="center"/>
            </w:pPr>
            <w:r>
              <w:rPr>
                <w:rFonts w:ascii="Calibri" w:cs="Calibri" w:eastAsia="Calibri" w:hAnsi="Calibri"/>
                <w:b/>
                <w:bCs/>
                <w:color w:val="FFFFFF"/>
                <w:sz w:val="17"/>
                <w:szCs w:val="17"/>
              </w:rPr>
              <w:t xml:space="preserve">Companies</w:t>
            </w:r>
          </w:p>
        </w:tc>
        <w:tc>
          <w:tcPr>
            <w:tcW w:type="dxa" w:w="1200"/>
            <w:tcBorders>
              <w:top w:val="single" w:color="CCCCCC" w:sz="1"/>
              <w:left w:val="single" w:color="CCCCCC" w:sz="1"/>
              <w:bottom w:val="single" w:color="CCCCCC" w:sz="1"/>
              <w:right w:val="single" w:color="CCCCCC" w:sz="1"/>
            </w:tcBorders>
            <w:shd w:fill="1A3A6B" w:val="clear"/>
            <w:tcMar>
              <w:top w:type="dxa" w:w="100"/>
              <w:left w:type="dxa" w:w="100"/>
              <w:bottom w:type="dxa" w:w="100"/>
              <w:right w:type="dxa" w:w="100"/>
            </w:tcMar>
          </w:tcPr>
          <w:p>
            <w:pPr>
              <w:jc w:val="center"/>
            </w:pPr>
            <w:r>
              <w:rPr>
                <w:rFonts w:ascii="Calibri" w:cs="Calibri" w:eastAsia="Calibri" w:hAnsi="Calibri"/>
                <w:b/>
                <w:bCs/>
                <w:color w:val="FFFFFF"/>
                <w:sz w:val="17"/>
                <w:szCs w:val="17"/>
              </w:rPr>
              <w:t xml:space="preserve">Alpha</w:t>
            </w:r>
          </w:p>
        </w:tc>
        <w:tc>
          <w:tcPr>
            <w:tcW w:type="dxa" w:w="1300"/>
            <w:tcBorders>
              <w:top w:val="single" w:color="CCCCCC" w:sz="1"/>
              <w:left w:val="single" w:color="CCCCCC" w:sz="1"/>
              <w:bottom w:val="single" w:color="CCCCCC" w:sz="1"/>
              <w:right w:val="single" w:color="CCCCCC" w:sz="1"/>
            </w:tcBorders>
            <w:shd w:fill="1A3A6B" w:val="clear"/>
            <w:tcMar>
              <w:top w:type="dxa" w:w="100"/>
              <w:left w:type="dxa" w:w="100"/>
              <w:bottom w:type="dxa" w:w="100"/>
              <w:right w:type="dxa" w:w="100"/>
            </w:tcMar>
          </w:tcPr>
          <w:p>
            <w:pPr>
              <w:jc w:val="center"/>
            </w:pPr>
            <w:r>
              <w:rPr>
                <w:rFonts w:ascii="Calibri" w:cs="Calibri" w:eastAsia="Calibri" w:hAnsi="Calibri"/>
                <w:b/>
                <w:bCs/>
                <w:color w:val="FFFFFF"/>
                <w:sz w:val="17"/>
                <w:szCs w:val="17"/>
              </w:rPr>
              <w:t xml:space="preserve">Beta</w:t>
            </w:r>
          </w:p>
        </w:tc>
        <w:tc>
          <w:tcPr>
            <w:tcW w:type="dxa" w:w="1200"/>
            <w:tcBorders>
              <w:top w:val="single" w:color="CCCCCC" w:sz="1"/>
              <w:left w:val="single" w:color="CCCCCC" w:sz="1"/>
              <w:bottom w:val="single" w:color="CCCCCC" w:sz="1"/>
              <w:right w:val="single" w:color="CCCCCC" w:sz="1"/>
            </w:tcBorders>
            <w:shd w:fill="1A3A6B" w:val="clear"/>
            <w:tcMar>
              <w:top w:type="dxa" w:w="100"/>
              <w:left w:type="dxa" w:w="100"/>
              <w:bottom w:type="dxa" w:w="100"/>
              <w:right w:type="dxa" w:w="100"/>
            </w:tcMar>
          </w:tcPr>
          <w:p>
            <w:pPr>
              <w:jc w:val="center"/>
            </w:pPr>
            <w:r>
              <w:rPr>
                <w:rFonts w:ascii="Calibri" w:cs="Calibri" w:eastAsia="Calibri" w:hAnsi="Calibri"/>
                <w:b/>
                <w:bCs/>
                <w:color w:val="FFFFFF"/>
                <w:sz w:val="17"/>
                <w:szCs w:val="17"/>
              </w:rPr>
              <w:t xml:space="preserve">Omega</w:t>
            </w:r>
          </w:p>
        </w:tc>
        <w:tc>
          <w:tcPr>
            <w:tcW w:type="dxa" w:w="2060"/>
            <w:tcBorders>
              <w:top w:val="single" w:color="CCCCCC" w:sz="1"/>
              <w:left w:val="single" w:color="CCCCCC" w:sz="1"/>
              <w:bottom w:val="single" w:color="CCCCCC" w:sz="1"/>
              <w:right w:val="single" w:color="CCCCCC" w:sz="1"/>
            </w:tcBorders>
            <w:shd w:fill="1A3A6B" w:val="clear"/>
            <w:tcMar>
              <w:top w:type="dxa" w:w="100"/>
              <w:left w:type="dxa" w:w="100"/>
              <w:bottom w:type="dxa" w:w="100"/>
              <w:right w:type="dxa" w:w="100"/>
            </w:tcMar>
          </w:tcPr>
          <w:p>
            <w:pPr>
              <w:jc w:val="center"/>
            </w:pPr>
            <w:r>
              <w:rPr>
                <w:rFonts w:ascii="Calibri" w:cs="Calibri" w:eastAsia="Calibri" w:hAnsi="Calibri"/>
                <w:b/>
                <w:bCs/>
                <w:color w:val="FFFFFF"/>
                <w:sz w:val="17"/>
                <w:szCs w:val="17"/>
              </w:rPr>
              <w:t xml:space="preserve">Behavior Summary</w:t>
            </w:r>
          </w:p>
        </w:tc>
      </w:tr>
      <w:tr>
        <w:tc>
          <w:tcPr>
            <w:tcW w:type="dxa" w:w="2100"/>
            <w:tcBorders>
              <w:top w:val="single" w:color="CCCCCC" w:sz="1"/>
              <w:left w:val="single" w:color="CCCCCC" w:sz="1"/>
              <w:bottom w:val="single" w:color="CCCCCC" w:sz="1"/>
              <w:right w:val="single" w:color="CCCCCC" w:sz="1"/>
            </w:tcBorders>
            <w:shd w:fill="FEF3CD" w:val="clear"/>
            <w:tcMar>
              <w:top w:type="dxa" w:w="80"/>
              <w:left w:type="dxa" w:w="100"/>
              <w:bottom w:type="dxa" w:w="80"/>
              <w:right w:type="dxa" w:w="100"/>
            </w:tcMar>
          </w:tcPr>
          <w:p>
            <w:r>
              <w:rPr>
                <w:rFonts w:ascii="Calibri" w:cs="Calibri" w:eastAsia="Calibri" w:hAnsi="Calibri"/>
                <w:b/>
                <w:bCs/>
                <w:color w:val="1A3A6B"/>
                <w:sz w:val="17"/>
                <w:szCs w:val="17"/>
              </w:rPr>
              <w:t xml:space="preserve">Cluster 0 — Shock Reactors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ITC, ICICI, SBI, L&amp;T, HCL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High Alpha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Very Low Beta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Moderate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Strong reaction to new shocks but quickly forget past volatility</w:t>
            </w:r>
          </w:p>
        </w:tc>
      </w:tr>
      <w:tr>
        <w:tc>
          <w:tcPr>
            <w:tcW w:type="dxa" w:w="2100"/>
            <w:tcBorders>
              <w:top w:val="single" w:color="CCCCCC" w:sz="1"/>
              <w:left w:val="single" w:color="CCCCCC" w:sz="1"/>
              <w:bottom w:val="single" w:color="CCCCCC" w:sz="1"/>
              <w:right w:val="single" w:color="CCCCCC" w:sz="1"/>
            </w:tcBorders>
            <w:shd w:fill="D6E8FA" w:val="clear"/>
            <w:tcMar>
              <w:top w:type="dxa" w:w="80"/>
              <w:left w:type="dxa" w:w="100"/>
              <w:bottom w:type="dxa" w:w="80"/>
              <w:right w:type="dxa" w:w="100"/>
            </w:tcMar>
          </w:tcPr>
          <w:p>
            <w:r>
              <w:rPr>
                <w:rFonts w:ascii="Calibri" w:cs="Calibri" w:eastAsia="Calibri" w:hAnsi="Calibri"/>
                <w:b/>
                <w:bCs/>
                <w:color w:val="1A3A6B"/>
                <w:sz w:val="17"/>
                <w:szCs w:val="17"/>
              </w:rPr>
              <w:t xml:space="preserve">Cluster 1 — Calm &amp; Stable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Hindustan Unilever Ltd.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Low Alpha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High Beta (0.92)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Very Low</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Smooth, gradual changes; high memory of past volatility; most stable</w:t>
            </w:r>
          </w:p>
        </w:tc>
      </w:tr>
      <w:tr>
        <w:tc>
          <w:tcPr>
            <w:tcW w:type="dxa" w:w="2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alibri" w:cs="Calibri" w:eastAsia="Calibri" w:hAnsi="Calibri"/>
                <w:b/>
                <w:bCs/>
                <w:color w:val="1A3A6B"/>
                <w:sz w:val="17"/>
                <w:szCs w:val="17"/>
              </w:rPr>
              <w:t xml:space="preserve">Cluster 2 — Balanced Movers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Reliance, HDFC, TCS, Bajaj</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Low–Medium Alpha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Low Beta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Moderate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val="false"/>
                <w:bCs w:val="false"/>
                <w:color w:val="1A202C"/>
                <w:sz w:val="17"/>
                <w:szCs w:val="17"/>
              </w:rPr>
              <w:t xml:space="preserve">Some randomness-driven movement; less reactive to shocks</w:t>
            </w:r>
          </w:p>
        </w:tc>
      </w:tr>
    </w:tbl>
    <w:p>
      <w:pPr>
        <w:spacing w:after="0" w:before="200"/>
      </w:pPr>
      <w:r>
        <w:t xml:space="preserve"/>
      </w:r>
    </w:p>
    <w:p>
      <w:pPr>
        <w:spacing w:after="80" w:before="200"/>
      </w:pPr>
      <w:r>
        <w:rPr>
          <w:rFonts w:ascii="Calibri" w:cs="Calibri" w:eastAsia="Calibri" w:hAnsi="Calibri"/>
          <w:b/>
          <w:bCs/>
          <w:color w:val="1F5DA0"/>
          <w:sz w:val="22"/>
          <w:szCs w:val="22"/>
        </w:rPr>
        <w:t xml:space="preserve">Cluster Interpretations</w:t>
      </w:r>
    </w:p>
    <w:p>
      <w:pPr>
        <w:pStyle w:val="ListParagraph"/>
        <w:numPr>
          <w:ilvl w:val="0"/>
          <w:numId w:val="2"/>
        </w:numPr>
        <w:spacing w:after="50" w:before="50" w:line="300"/>
      </w:pPr>
      <w:r>
        <w:rPr>
          <w:rFonts w:ascii="Calibri" w:cs="Calibri" w:eastAsia="Calibri" w:hAnsi="Calibri"/>
          <w:color w:val="1A202C"/>
          <w:sz w:val="20"/>
          <w:szCs w:val="20"/>
        </w:rPr>
        <w:t xml:space="preserve">Cluster 0 (Shock Reactors — ITC, ICICI, SBI, L&amp;T, HCL): High Alpha means these stocks react strongly to new news events. Very low Beta means they quickly forget past volatility. ITC leads this group with Alpha = 0.63 — an extremely strong reaction to new information.</w:t>
      </w:r>
    </w:p>
    <w:p>
      <w:pPr>
        <w:pStyle w:val="ListParagraph"/>
        <w:numPr>
          <w:ilvl w:val="0"/>
          <w:numId w:val="2"/>
        </w:numPr>
        <w:spacing w:after="50" w:before="50" w:line="300"/>
      </w:pPr>
      <w:r>
        <w:rPr>
          <w:rFonts w:ascii="Calibri" w:cs="Calibri" w:eastAsia="Calibri" w:hAnsi="Calibri"/>
          <w:color w:val="1A202C"/>
          <w:sz w:val="20"/>
          <w:szCs w:val="20"/>
        </w:rPr>
        <w:t xml:space="preserve">Cluster 1 (Calm &amp; Stable — Hindustan Unilever): Low Alpha and very low Omega with high Beta (0.92). HUL demonstrates the smoothest, most gradual price changes. It retains strong memory of past volatility (persistent) but barely reacts to new shocks. The most stable stock in the sample.</w:t>
      </w:r>
    </w:p>
    <w:p>
      <w:pPr>
        <w:pStyle w:val="ListParagraph"/>
        <w:numPr>
          <w:ilvl w:val="0"/>
          <w:numId w:val="2"/>
        </w:numPr>
        <w:spacing w:after="50" w:before="50" w:line="300"/>
      </w:pPr>
      <w:r>
        <w:rPr>
          <w:rFonts w:ascii="Calibri" w:cs="Calibri" w:eastAsia="Calibri" w:hAnsi="Calibri"/>
          <w:color w:val="1A202C"/>
          <w:sz w:val="20"/>
          <w:szCs w:val="20"/>
        </w:rPr>
        <w:t xml:space="preserve">Cluster 2 (Balanced &amp; Random Movers — Reliance, HDFC, TCS, Bajaj): Moderate Omega with low Alpha and Beta. These stocks are driven more by random background noise than by specific news events. TCS shows very low Alpha/Beta but higher Omega — a "random bouncer." Bajaj Finance is slightly jumpy but not highly reactive.</w:t>
      </w:r>
    </w:p>
    <w:p>
      <w:r>
        <w:br w:type="page"/>
      </w:r>
    </w:p>
    <w:p>
      <w:pPr>
        <w:pBdr>
          <w:bottom w:val="single" w:color="F0A500" w:sz="5" w:space="6"/>
        </w:pBdr>
        <w:spacing w:after="160" w:before="400"/>
      </w:pPr>
      <w:r>
        <w:rPr>
          <w:rFonts w:ascii="Calibri" w:cs="Calibri" w:eastAsia="Calibri" w:hAnsi="Calibri"/>
          <w:b/>
          <w:bCs/>
          <w:color w:val="0D2B55"/>
          <w:sz w:val="32"/>
          <w:szCs w:val="32"/>
        </w:rPr>
        <w:t xml:space="preserve">Chapter 5: Findings and Future Research</w:t>
      </w:r>
    </w:p>
    <w:p>
      <w:pPr>
        <w:spacing w:after="120" w:before="280"/>
      </w:pPr>
      <w:r>
        <w:rPr>
          <w:rFonts w:ascii="Calibri" w:cs="Calibri" w:eastAsia="Calibri" w:hAnsi="Calibri"/>
          <w:b/>
          <w:bCs/>
          <w:color w:val="1A3A6B"/>
          <w:sz w:val="24"/>
          <w:szCs w:val="24"/>
        </w:rPr>
        <w:t xml:space="preserve">5.1  Key Findings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Finding</w:t>
            </w:r>
          </w:p>
        </w:tc>
        <w:tc>
          <w:tcPr>
            <w:tcW w:type="dxa" w:w="636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Calibri" w:cs="Calibri" w:eastAsia="Calibri" w:hAnsi="Calibri"/>
                <w:b/>
                <w:bCs/>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1. Blue-Chip Funds Show Resilience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Economic crises and high-volatility periods bring out superior defensive performance from blue-chip funds due to strong financial fundamentals and large market capitalization.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2. Volatility Clustering Confirmed</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GARCH (1,1) successfully modelled and forecast volatility clustering — high volatility events regularly follow other high-volatility incidents.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3. Non-Stationarity in Raw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All original stock price series were non-stationary per ADF test. Following first differencing, all series became stationary (p &lt; 0.05) and suitable for GARCH modelling.</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4. Three Volatility Behavior Clusters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K-means clustering on GARCH parameters revealed 3 distinct behavioral groups: Shock Reactors, Calm &amp; Stable, and Balanced Random Movers.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5. ESG Reputation Stability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Organizations with superior ESG performance attract long-term investors, reducing speculative trading and lowering overall volatility.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6. Investor Capital Inflows via ESG</w:t>
            </w:r>
          </w:p>
        </w:tc>
        <w:tc>
          <w:tcPr>
            <w:tcW w:type="dxa" w:w="63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pPr>
              <w:jc w:val="left"/>
            </w:pPr>
            <w:r>
              <w:rPr>
                <w:rFonts w:ascii="Calibri" w:cs="Calibri" w:eastAsia="Calibri" w:hAnsi="Calibri"/>
                <w:color w:val="1A202C"/>
                <w:sz w:val="19"/>
                <w:szCs w:val="19"/>
              </w:rPr>
              <w:t xml:space="preserve">Rising sustainable investment interest draws substantial financial support to ESG-compliant funds, stabilizing prices and reducing fluctuation risks.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7. Limited Cross-Stock Granger Causality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Calibri" w:cs="Calibri" w:eastAsia="Calibri" w:hAnsi="Calibri"/>
                <w:color w:val="1A202C"/>
                <w:sz w:val="19"/>
                <w:szCs w:val="19"/>
              </w:rPr>
              <w:t xml:space="preserve">Significant Granger-causality between blue-chip stocks was rare — stock movements predominantly result from firm-specific or macroeconomic events independent of other companies.</w:t>
            </w:r>
          </w:p>
        </w:tc>
      </w:tr>
    </w:tbl>
    <w:p>
      <w:pPr>
        <w:spacing w:after="120" w:before="280"/>
      </w:pPr>
      <w:r>
        <w:rPr>
          <w:rFonts w:ascii="Calibri" w:cs="Calibri" w:eastAsia="Calibri" w:hAnsi="Calibri"/>
          <w:b/>
          <w:bCs/>
          <w:color w:val="1A3A6B"/>
          <w:sz w:val="24"/>
          <w:szCs w:val="24"/>
        </w:rPr>
        <w:t xml:space="preserve">5.2  Risk Mitigation Strategies</w:t>
      </w:r>
    </w:p>
    <w:p>
      <w:pPr>
        <w:spacing w:after="80" w:before="200"/>
      </w:pPr>
      <w:r>
        <w:rPr>
          <w:rFonts w:ascii="Calibri" w:cs="Calibri" w:eastAsia="Calibri" w:hAnsi="Calibri"/>
          <w:b/>
          <w:bCs/>
          <w:color w:val="1F5DA0"/>
          <w:sz w:val="22"/>
          <w:szCs w:val="22"/>
        </w:rPr>
        <w:t xml:space="preserve">5.2.1  Time-Series Modelling for Active Risk Monitoring</w:t>
      </w:r>
    </w:p>
    <w:p>
      <w:pPr>
        <w:spacing w:after="80" w:before="80" w:line="300"/>
        <w:jc w:val="both"/>
      </w:pPr>
      <w:r>
        <w:rPr>
          <w:rFonts w:ascii="Calibri" w:cs="Calibri" w:eastAsia="Calibri" w:hAnsi="Calibri"/>
          <w:color w:val="1A202C"/>
          <w:sz w:val="20"/>
          <w:szCs w:val="20"/>
        </w:rPr>
        <w:t xml:space="preserve">GARCH models provide fund managers with automatic capabilities to detect volatility variations, enabling portfolio modification in advance. Asset rebalancing through GARCH-based alerts becomes essential since clustering patterns lead to high-risk periods. An automatic warning system based on rolling GARCH predictions should be established.</w:t>
      </w:r>
    </w:p>
    <w:p>
      <w:pPr>
        <w:spacing w:after="80" w:before="200"/>
      </w:pPr>
      <w:r>
        <w:rPr>
          <w:rFonts w:ascii="Calibri" w:cs="Calibri" w:eastAsia="Calibri" w:hAnsi="Calibri"/>
          <w:b/>
          <w:bCs/>
          <w:color w:val="1F5DA0"/>
          <w:sz w:val="22"/>
          <w:szCs w:val="22"/>
        </w:rPr>
        <w:t xml:space="preserve">5.2.2  Intra-Portfolio Sectoral Diversification</w:t>
      </w:r>
    </w:p>
    <w:p>
      <w:pPr>
        <w:spacing w:after="80" w:before="80" w:line="300"/>
        <w:jc w:val="both"/>
      </w:pPr>
      <w:r>
        <w:rPr>
          <w:rFonts w:ascii="Calibri" w:cs="Calibri" w:eastAsia="Calibri" w:hAnsi="Calibri"/>
          <w:color w:val="1A202C"/>
          <w:sz w:val="20"/>
          <w:szCs w:val="20"/>
        </w:rPr>
        <w:t xml:space="preserve">Non-stationarity across various blue-chip stocks underscores the importance of investing across multiple sectors. Concentration in financial services or IT (e.g., ICICI, TCS) brings increased risk. Fund management teams should enhance diversification by adding defensive sector stocks — consumer goods (HUL, ITC) and industrial companies (L&amp;T) — which showed lower volatility after differencing.</w:t>
      </w:r>
    </w:p>
    <w:p>
      <w:pPr>
        <w:spacing w:after="80" w:before="200"/>
      </w:pPr>
      <w:r>
        <w:rPr>
          <w:rFonts w:ascii="Calibri" w:cs="Calibri" w:eastAsia="Calibri" w:hAnsi="Calibri"/>
          <w:b/>
          <w:bCs/>
          <w:color w:val="1F5DA0"/>
          <w:sz w:val="22"/>
          <w:szCs w:val="22"/>
        </w:rPr>
        <w:t xml:space="preserve">5.2.3  Integrate Behavioural and Geopolitical Sentiment Monitoring</w:t>
      </w:r>
    </w:p>
    <w:p>
      <w:pPr>
        <w:spacing w:after="80" w:before="80" w:line="300"/>
        <w:jc w:val="both"/>
      </w:pPr>
      <w:r>
        <w:rPr>
          <w:rFonts w:ascii="Calibri" w:cs="Calibri" w:eastAsia="Calibri" w:hAnsi="Calibri"/>
          <w:color w:val="1A202C"/>
          <w:sz w:val="20"/>
          <w:szCs w:val="20"/>
        </w:rPr>
        <w:t xml:space="preserve">Behavioural finance and geopolitical shocks significantly influence volatility but are often excluded from quantitative models. A behavioural risk index or sentiment scorecard adjusting exposure based on news sentiment, Google Trends, or social media analysis related to key sectors should be introduced.</w:t>
      </w:r>
    </w:p>
    <w:p>
      <w:pPr>
        <w:spacing w:after="120" w:before="280"/>
      </w:pPr>
      <w:r>
        <w:rPr>
          <w:rFonts w:ascii="Calibri" w:cs="Calibri" w:eastAsia="Calibri" w:hAnsi="Calibri"/>
          <w:b/>
          <w:bCs/>
          <w:color w:val="1A3A6B"/>
          <w:sz w:val="24"/>
          <w:szCs w:val="24"/>
        </w:rPr>
        <w:t xml:space="preserve">5.3  Suggestions for Future Research</w:t>
      </w:r>
    </w:p>
    <w:p>
      <w:pPr>
        <w:pStyle w:val="ListParagraph"/>
        <w:numPr>
          <w:ilvl w:val="0"/>
          <w:numId w:val="2"/>
        </w:numPr>
        <w:spacing w:after="50" w:before="50" w:line="300"/>
      </w:pPr>
      <w:r>
        <w:rPr>
          <w:rFonts w:ascii="Calibri" w:cs="Calibri" w:eastAsia="Calibri" w:hAnsi="Calibri"/>
          <w:color w:val="1A202C"/>
          <w:sz w:val="20"/>
          <w:szCs w:val="20"/>
        </w:rPr>
        <w:t xml:space="preserve">Investigation of fintech disruptions and automated fund management impact on blue-chip volatility</w:t>
      </w:r>
    </w:p>
    <w:p>
      <w:pPr>
        <w:pStyle w:val="ListParagraph"/>
        <w:numPr>
          <w:ilvl w:val="0"/>
          <w:numId w:val="2"/>
        </w:numPr>
        <w:spacing w:after="50" w:before="50" w:line="300"/>
      </w:pPr>
      <w:r>
        <w:rPr>
          <w:rFonts w:ascii="Calibri" w:cs="Calibri" w:eastAsia="Calibri" w:hAnsi="Calibri"/>
          <w:color w:val="1A202C"/>
          <w:sz w:val="20"/>
          <w:szCs w:val="20"/>
        </w:rPr>
        <w:t xml:space="preserve">In-depth research on sectoral diversification within blue-chip funds</w:t>
      </w:r>
    </w:p>
    <w:p>
      <w:pPr>
        <w:pStyle w:val="ListParagraph"/>
        <w:numPr>
          <w:ilvl w:val="0"/>
          <w:numId w:val="2"/>
        </w:numPr>
        <w:spacing w:after="50" w:before="50" w:line="300"/>
      </w:pPr>
      <w:r>
        <w:rPr>
          <w:rFonts w:ascii="Calibri" w:cs="Calibri" w:eastAsia="Calibri" w:hAnsi="Calibri"/>
          <w:color w:val="1A202C"/>
          <w:sz w:val="20"/>
          <w:szCs w:val="20"/>
        </w:rPr>
        <w:t xml:space="preserve">Regional and temporal volatility comparisons across different stock market frameworks</w:t>
      </w:r>
    </w:p>
    <w:p>
      <w:pPr>
        <w:pStyle w:val="ListParagraph"/>
        <w:numPr>
          <w:ilvl w:val="0"/>
          <w:numId w:val="2"/>
        </w:numPr>
        <w:spacing w:after="50" w:before="50" w:line="300"/>
      </w:pPr>
      <w:r>
        <w:rPr>
          <w:rFonts w:ascii="Calibri" w:cs="Calibri" w:eastAsia="Calibri" w:hAnsi="Calibri"/>
          <w:color w:val="1A202C"/>
          <w:sz w:val="20"/>
          <w:szCs w:val="20"/>
        </w:rPr>
        <w:t xml:space="preserve">Integration of geopolitical sentiment indicators into GARCH-based models</w:t>
      </w:r>
    </w:p>
    <w:p>
      <w:pPr>
        <w:pStyle w:val="ListParagraph"/>
        <w:numPr>
          <w:ilvl w:val="0"/>
          <w:numId w:val="2"/>
        </w:numPr>
        <w:spacing w:after="50" w:before="50" w:line="300"/>
      </w:pPr>
      <w:r>
        <w:rPr>
          <w:rFonts w:ascii="Calibri" w:cs="Calibri" w:eastAsia="Calibri" w:hAnsi="Calibri"/>
          <w:color w:val="1A202C"/>
          <w:sz w:val="20"/>
          <w:szCs w:val="20"/>
        </w:rPr>
        <w:t xml:space="preserve">Comprehensive ESG-volatility relationship studies across Indian blue-chip funds</w:t>
      </w:r>
    </w:p>
    <w:p>
      <w:r>
        <w:br w:type="page"/>
      </w:r>
    </w:p>
    <w:p>
      <w:pPr>
        <w:pBdr>
          <w:bottom w:val="single" w:color="F0A500" w:sz="5" w:space="6"/>
        </w:pBdr>
        <w:spacing w:after="160" w:before="400"/>
      </w:pPr>
      <w:r>
        <w:rPr>
          <w:rFonts w:ascii="Calibri" w:cs="Calibri" w:eastAsia="Calibri" w:hAnsi="Calibri"/>
          <w:b/>
          <w:bCs/>
          <w:color w:val="0D2B55"/>
          <w:sz w:val="32"/>
          <w:szCs w:val="32"/>
        </w:rPr>
        <w:t xml:space="preserve">Chapter 6: Conclusion</w:t>
      </w:r>
    </w:p>
    <w:p>
      <w:pPr>
        <w:spacing w:after="80" w:before="80" w:line="300"/>
        <w:jc w:val="both"/>
      </w:pPr>
      <w:r>
        <w:rPr>
          <w:rFonts w:ascii="Calibri" w:cs="Calibri" w:eastAsia="Calibri" w:hAnsi="Calibri"/>
          <w:color w:val="1A202C"/>
          <w:sz w:val="20"/>
          <w:szCs w:val="20"/>
        </w:rPr>
        <w:t xml:space="preserve">This study offers a robust analysis of blue-chip stocks and their behavior under market volatility, emphasizing the stability, reliability, and long-term growth potential these stocks provide to investors. Blue-chip funds, chosen for their performance consistency and strong financial fundamentals, are particularly attractive during market downturns and economic uncertainty.</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The research provided thorough knowledge about blue-chip stock behavior during unstable times, demonstrating their operational stability. Mutual funds increase capital value through blue-chip stock investments, leveraging good corporate practices and economic measurement indicators for stability. GARCH modelling on important Indian blue-chip entities successfully captured scientific detection of volatility trends — including economic and political market responses.</w:t>
      </w:r>
    </w:p>
    <w:p>
      <w:pPr>
        <w:spacing w:after="0" w:before="100"/>
      </w:pPr>
      <w:r>
        <w:t xml:space="preserve"/>
      </w:r>
    </w:p>
    <w:p>
      <w:pPr>
        <w:spacing w:after="80" w:before="80" w:line="300"/>
        <w:jc w:val="both"/>
      </w:pPr>
      <w:r>
        <w:rPr>
          <w:rFonts w:ascii="Calibri" w:cs="Calibri" w:eastAsia="Calibri" w:hAnsi="Calibri"/>
          <w:color w:val="1A202C"/>
          <w:sz w:val="20"/>
          <w:szCs w:val="20"/>
        </w:rPr>
        <w:t xml:space="preserve">The integration of Sharpe and Treynor ratios for risk-adjusted metric calculation, GARCH modelling, and diversified risk management approaches provides investors with the analytical framework for stable profit generation with controlled risk. This research reaffirms that for long-term investors, blue-chip funds remain a cornerstone of well-managed portfolios — particularly when volatility clustering, stationarity conditions, and cross-sector causalities are properly understood and monitored.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5" w:val="clear"/>
            <w:tcMar>
              <w:top w:type="dxa" w:w="300"/>
              <w:left w:type="dxa" w:w="400"/>
              <w:bottom w:type="dxa" w:w="300"/>
              <w:right w:type="dxa" w:w="400"/>
            </w:tcMar>
          </w:tcPr>
          <w:p>
            <w:pPr>
              <w:spacing w:after="80" w:before="0" w:line="300"/>
              <w:jc w:val="center"/>
            </w:pPr>
            <w:r>
              <w:rPr>
                <w:rFonts w:ascii="Calibri" w:cs="Calibri" w:eastAsia="Calibri" w:hAnsi="Calibri"/>
                <w:b/>
                <w:bCs/>
                <w:color w:val="F0A500"/>
                <w:spacing w:val="60"/>
                <w:sz w:val="20"/>
                <w:szCs w:val="20"/>
              </w:rPr>
              <w:t xml:space="preserve">KEY CONCLUSION</w:t>
            </w:r>
          </w:p>
          <w:p>
            <w:pPr>
              <w:spacing w:after="100" w:before="0" w:line="300"/>
              <w:jc w:val="center"/>
            </w:pPr>
            <w:r>
              <w:rPr>
                <w:rFonts w:ascii="Calibri" w:cs="Calibri" w:eastAsia="Calibri" w:hAnsi="Calibri"/>
                <w:b/>
                <w:bCs/>
                <w:color w:val="FFFFFF"/>
                <w:sz w:val="24"/>
                <w:szCs w:val="24"/>
              </w:rPr>
              <w:t xml:space="preserve">GARCH (1,1) effectively models volatility clustering in Indian blue-chip stocks.</w:t>
            </w:r>
          </w:p>
          <w:p>
            <w:pPr>
              <w:jc w:val="center"/>
            </w:pPr>
            <w:r>
              <w:rPr>
                <w:rFonts w:ascii="Calibri" w:cs="Calibri" w:eastAsia="Calibri" w:hAnsi="Calibri"/>
                <w:i/>
                <w:iCs/>
                <w:color w:val="F4F6F9"/>
                <w:sz w:val="19"/>
                <w:szCs w:val="19"/>
              </w:rPr>
              <w:t xml:space="preserve">Time-series differencing, Granger causality, and K-means cluster analysis together provide a multi-layered framework for informed investment and risk management decisions.</w:t>
            </w:r>
          </w:p>
        </w:tc>
      </w:tr>
    </w:tbl>
    <w:p>
      <w:r>
        <w:br w:type="page"/>
      </w:r>
    </w:p>
    <w:p>
      <w:pPr>
        <w:pBdr>
          <w:bottom w:val="single" w:color="F0A500" w:sz="5" w:space="6"/>
        </w:pBdr>
        <w:spacing w:after="160" w:before="400"/>
      </w:pPr>
      <w:r>
        <w:rPr>
          <w:rFonts w:ascii="Calibri" w:cs="Calibri" w:eastAsia="Calibri" w:hAnsi="Calibri"/>
          <w:b/>
          <w:bCs/>
          <w:color w:val="0D2B55"/>
          <w:sz w:val="32"/>
          <w:szCs w:val="32"/>
        </w:rPr>
        <w:t xml:space="preserve">Annexure: Sample Data Used for Research</w:t>
      </w:r>
    </w:p>
    <w:p>
      <w:pPr>
        <w:spacing w:after="80" w:before="80" w:line="300"/>
        <w:jc w:val="both"/>
      </w:pPr>
      <w:r>
        <w:rPr>
          <w:rFonts w:ascii="Calibri" w:cs="Calibri" w:eastAsia="Calibri" w:hAnsi="Calibri"/>
          <w:color w:val="1A202C"/>
          <w:sz w:val="20"/>
          <w:szCs w:val="20"/>
        </w:rPr>
        <w:t xml:space="preserve">The following table presents a representative sample of the adjusted closing price data used in this study. Complete daily data for all 10 companies from January 1 to December 31, 2024 was sourced from Yahoo Finance and NSE. All values are in INR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800"/>
        <w:gridCol w:w="900"/>
        <w:gridCol w:w="800"/>
        <w:gridCol w:w="1080"/>
        <w:gridCol w:w="800"/>
        <w:gridCol w:w="700"/>
        <w:gridCol w:w="700"/>
        <w:gridCol w:w="880"/>
      </w:tblGrid>
      <w:tr>
        <w:tc>
          <w:tcPr>
            <w:tcW w:type="dxa" w:w="11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Date</w:t>
            </w:r>
          </w:p>
        </w:tc>
        <w:tc>
          <w:tcPr>
            <w:tcW w:type="dxa" w:w="9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Reliance</w:t>
            </w:r>
          </w:p>
        </w:tc>
        <w:tc>
          <w:tcPr>
            <w:tcW w:type="dxa" w:w="9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HDFC Bank</w:t>
            </w:r>
          </w:p>
        </w:tc>
        <w:tc>
          <w:tcPr>
            <w:tcW w:type="dxa" w:w="8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TCS</w:t>
            </w:r>
          </w:p>
        </w:tc>
        <w:tc>
          <w:tcPr>
            <w:tcW w:type="dxa" w:w="9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ICICI Bank</w:t>
            </w:r>
          </w:p>
        </w:tc>
        <w:tc>
          <w:tcPr>
            <w:tcW w:type="dxa" w:w="8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SBI</w:t>
            </w:r>
          </w:p>
        </w:tc>
        <w:tc>
          <w:tcPr>
            <w:tcW w:type="dxa" w:w="108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Bajaj Finance</w:t>
            </w:r>
          </w:p>
        </w:tc>
        <w:tc>
          <w:tcPr>
            <w:tcW w:type="dxa" w:w="8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HUL</w:t>
            </w:r>
          </w:p>
        </w:tc>
        <w:tc>
          <w:tcPr>
            <w:tcW w:type="dxa" w:w="7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ITC</w:t>
            </w:r>
          </w:p>
        </w:tc>
        <w:tc>
          <w:tcPr>
            <w:tcW w:type="dxa" w:w="70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L&amp;T</w:t>
            </w:r>
          </w:p>
        </w:tc>
        <w:tc>
          <w:tcPr>
            <w:tcW w:type="dxa" w:w="880"/>
            <w:tcBorders>
              <w:top w:val="single" w:color="CCCCCC" w:sz="1"/>
              <w:left w:val="single" w:color="CCCCCC" w:sz="1"/>
              <w:bottom w:val="single" w:color="CCCCCC" w:sz="1"/>
              <w:right w:val="single" w:color="CCCCCC" w:sz="1"/>
            </w:tcBorders>
            <w:shd w:fill="0D2B55" w:val="clear"/>
            <w:tcMar>
              <w:top w:type="dxa" w:w="80"/>
              <w:left w:type="dxa" w:w="60"/>
              <w:bottom w:type="dxa" w:w="80"/>
              <w:right w:type="dxa" w:w="60"/>
            </w:tcMar>
          </w:tcPr>
          <w:p>
            <w:pPr>
              <w:jc w:val="center"/>
            </w:pPr>
            <w:r>
              <w:rPr>
                <w:rFonts w:ascii="Calibri" w:cs="Calibri" w:eastAsia="Calibri" w:hAnsi="Calibri"/>
                <w:b/>
                <w:bCs/>
                <w:color w:val="FFFFFF"/>
                <w:sz w:val="15"/>
                <w:szCs w:val="15"/>
              </w:rPr>
              <w:t xml:space="preserve">HCL Tech</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left"/>
            </w:pPr>
            <w:r>
              <w:rPr>
                <w:rFonts w:ascii="Calibri" w:cs="Calibri" w:eastAsia="Calibri" w:hAnsi="Calibri"/>
                <w:b/>
                <w:bCs/>
                <w:color w:val="1A3A6B"/>
                <w:sz w:val="15"/>
                <w:szCs w:val="15"/>
              </w:rPr>
              <w:t xml:space="preserve">Jan 2, 2024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1,301.43</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990.87</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630.77</w:t>
            </w:r>
          </w:p>
        </w:tc>
        <w:tc>
          <w:tcPr>
            <w:tcW w:type="dxa" w:w="10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3,497.95</w:t>
            </w:r>
          </w:p>
        </w:tc>
        <w:tc>
          <w:tcPr>
            <w:tcW w:type="dxa" w:w="8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1,361.67</w:t>
            </w:r>
          </w:p>
        </w:tc>
      </w:tr>
      <w:tr>
        <w:tc>
          <w:tcPr>
            <w:tcW w:type="dxa" w:w="11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left"/>
            </w:pPr>
            <w:r>
              <w:rPr>
                <w:rFonts w:ascii="Calibri" w:cs="Calibri" w:eastAsia="Calibri" w:hAnsi="Calibri"/>
                <w:b/>
                <w:bCs/>
                <w:color w:val="1A3A6B"/>
                <w:sz w:val="15"/>
                <w:szCs w:val="15"/>
              </w:rPr>
              <w:t xml:space="preserve">Mar 1, 2024</w:t>
            </w:r>
          </w:p>
        </w:tc>
        <w:tc>
          <w:tcPr>
            <w:tcW w:type="dxa" w:w="9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1,487.08</w:t>
            </w:r>
          </w:p>
        </w:tc>
        <w:tc>
          <w:tcPr>
            <w:tcW w:type="dxa" w:w="9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1,403.10</w:t>
            </w:r>
          </w:p>
        </w:tc>
        <w:tc>
          <w:tcPr>
            <w:tcW w:type="dxa" w:w="8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3,993.84</w:t>
            </w:r>
          </w:p>
        </w:tc>
        <w:tc>
          <w:tcPr>
            <w:tcW w:type="dxa" w:w="9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1,043.22</w:t>
            </w:r>
          </w:p>
        </w:tc>
        <w:tc>
          <w:tcPr>
            <w:tcW w:type="dxa" w:w="8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735.76</w:t>
            </w:r>
          </w:p>
        </w:tc>
        <w:tc>
          <w:tcPr>
            <w:tcW w:type="dxa" w:w="108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6,607.94</w:t>
            </w:r>
          </w:p>
        </w:tc>
        <w:tc>
          <w:tcPr>
            <w:tcW w:type="dxa" w:w="8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2,381.70</w:t>
            </w:r>
          </w:p>
        </w:tc>
        <w:tc>
          <w:tcPr>
            <w:tcW w:type="dxa" w:w="7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395.83</w:t>
            </w:r>
          </w:p>
        </w:tc>
        <w:tc>
          <w:tcPr>
            <w:tcW w:type="dxa" w:w="7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3,450.43</w:t>
            </w:r>
          </w:p>
        </w:tc>
        <w:tc>
          <w:tcPr>
            <w:tcW w:type="dxa" w:w="88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1,582.84</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left"/>
            </w:pPr>
            <w:r>
              <w:rPr>
                <w:rFonts w:ascii="Calibri" w:cs="Calibri" w:eastAsia="Calibri" w:hAnsi="Calibri"/>
                <w:b/>
                <w:bCs/>
                <w:color w:val="1A3A6B"/>
                <w:sz w:val="15"/>
                <w:szCs w:val="15"/>
              </w:rPr>
              <w:t xml:space="preserve">Jun 3, 2024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1,505.22</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1,527.95</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3,718.98</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1,111.48</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825.85</w:t>
            </w:r>
          </w:p>
        </w:tc>
        <w:tc>
          <w:tcPr>
            <w:tcW w:type="dxa" w:w="10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6,840.17</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2,349.51</w:t>
            </w:r>
          </w:p>
        </w:tc>
        <w:tc>
          <w:tcPr>
            <w:tcW w:type="dxa" w:w="7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414.88</w:t>
            </w:r>
          </w:p>
        </w:tc>
        <w:tc>
          <w:tcPr>
            <w:tcW w:type="dxa" w:w="7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3,640.68</w:t>
            </w:r>
          </w:p>
        </w:tc>
        <w:tc>
          <w:tcPr>
            <w:tcW w:type="dxa" w:w="8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1,287.28</w:t>
            </w:r>
          </w:p>
        </w:tc>
      </w:tr>
      <w:tr>
        <w:tc>
          <w:tcPr>
            <w:tcW w:type="dxa" w:w="11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left"/>
            </w:pPr>
            <w:r>
              <w:rPr>
                <w:rFonts w:ascii="Calibri" w:cs="Calibri" w:eastAsia="Calibri" w:hAnsi="Calibri"/>
                <w:b/>
                <w:bCs/>
                <w:color w:val="1A3A6B"/>
                <w:sz w:val="15"/>
                <w:szCs w:val="15"/>
              </w:rPr>
              <w:t xml:space="preserve">Sep 2, 2024</w:t>
            </w:r>
          </w:p>
        </w:tc>
        <w:tc>
          <w:tcPr>
            <w:tcW w:type="dxa" w:w="9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1,516.25</w:t>
            </w:r>
          </w:p>
        </w:tc>
        <w:tc>
          <w:tcPr>
            <w:tcW w:type="dxa" w:w="9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1,636.40</w:t>
            </w:r>
          </w:p>
        </w:tc>
        <w:tc>
          <w:tcPr>
            <w:tcW w:type="dxa" w:w="8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4,418.30</w:t>
            </w:r>
          </w:p>
        </w:tc>
        <w:tc>
          <w:tcPr>
            <w:tcW w:type="dxa" w:w="9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1,229.20</w:t>
            </w:r>
          </w:p>
        </w:tc>
        <w:tc>
          <w:tcPr>
            <w:tcW w:type="dxa" w:w="8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815.60</w:t>
            </w:r>
          </w:p>
        </w:tc>
        <w:tc>
          <w:tcPr>
            <w:tcW w:type="dxa" w:w="108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6,898.45</w:t>
            </w:r>
          </w:p>
        </w:tc>
        <w:tc>
          <w:tcPr>
            <w:tcW w:type="dxa" w:w="8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2,783.85</w:t>
            </w:r>
          </w:p>
        </w:tc>
        <w:tc>
          <w:tcPr>
            <w:tcW w:type="dxa" w:w="7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489.43</w:t>
            </w:r>
          </w:p>
        </w:tc>
        <w:tc>
          <w:tcPr>
            <w:tcW w:type="dxa" w:w="70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3,704.65</w:t>
            </w:r>
          </w:p>
        </w:tc>
        <w:tc>
          <w:tcPr>
            <w:tcW w:type="dxa" w:w="880"/>
            <w:tcBorders>
              <w:top w:val="single" w:color="CCCCCC" w:sz="1"/>
              <w:left w:val="single" w:color="CCCCCC" w:sz="1"/>
              <w:bottom w:val="single" w:color="CCCCCC" w:sz="1"/>
              <w:right w:val="single" w:color="CCCCCC" w:sz="1"/>
            </w:tcBorders>
            <w:shd w:fill="F4F6F9"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1,782.87</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left"/>
            </w:pPr>
            <w:r>
              <w:rPr>
                <w:rFonts w:ascii="Calibri" w:cs="Calibri" w:eastAsia="Calibri" w:hAnsi="Calibri"/>
                <w:b/>
                <w:bCs/>
                <w:color w:val="1A3A6B"/>
                <w:sz w:val="15"/>
                <w:szCs w:val="15"/>
              </w:rPr>
              <w:t xml:space="preserve">Dec 30, 2024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1,210.70</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1,778.70</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4,083.84</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1,294.65</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788.30</w:t>
            </w:r>
          </w:p>
        </w:tc>
        <w:tc>
          <w:tcPr>
            <w:tcW w:type="dxa" w:w="10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6,887.50</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2,344.30</w:t>
            </w:r>
          </w:p>
        </w:tc>
        <w:tc>
          <w:tcPr>
            <w:tcW w:type="dxa" w:w="7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469.69</w:t>
            </w:r>
          </w:p>
        </w:tc>
        <w:tc>
          <w:tcPr>
            <w:tcW w:type="dxa" w:w="7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3,578.95</w:t>
            </w:r>
          </w:p>
        </w:tc>
        <w:tc>
          <w:tcPr>
            <w:tcW w:type="dxa" w:w="8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right"/>
            </w:pPr>
            <w:r>
              <w:rPr>
                <w:rFonts w:ascii="Calibri" w:cs="Calibri" w:eastAsia="Calibri" w:hAnsi="Calibri"/>
                <w:b w:val="false"/>
                <w:bCs w:val="false"/>
                <w:color w:val="1A202C"/>
                <w:sz w:val="15"/>
                <w:szCs w:val="15"/>
              </w:rPr>
              <w:t xml:space="preserve">1,916.03</w:t>
            </w:r>
          </w:p>
        </w:tc>
      </w:tr>
    </w:tbl>
    <w:p>
      <w:pPr>
        <w:spacing w:after="0" w:before="200"/>
      </w:pPr>
      <w:r>
        <w:t xml:space="preserve"/>
      </w:r>
    </w:p>
    <w:p>
      <w:pPr>
        <w:spacing w:after="80" w:before="80" w:line="300"/>
        <w:jc w:val="both"/>
      </w:pPr>
      <w:r>
        <w:rPr>
          <w:rFonts w:ascii="Calibri" w:cs="Calibri" w:eastAsia="Calibri" w:hAnsi="Calibri"/>
          <w:i/>
          <w:iCs/>
          <w:color w:val="4A5568"/>
          <w:sz w:val="20"/>
          <w:szCs w:val="20"/>
        </w:rPr>
        <w:t xml:space="preserve">Note: Full dataset of 249+ trading days per company was used for GARCH model estimation. Missing values (—) represent non-trading days or data gaps in the Yahoo Finance records for specific dates.</w:t>
      </w:r>
    </w:p>
    <w:p>
      <w:r>
        <w:br w:type="page"/>
      </w:r>
    </w:p>
    <w:p>
      <w:pPr>
        <w:pBdr>
          <w:bottom w:val="single" w:color="F0A500" w:sz="5" w:space="6"/>
        </w:pBdr>
        <w:spacing w:after="160" w:before="400"/>
      </w:pPr>
      <w:r>
        <w:rPr>
          <w:rFonts w:ascii="Calibri" w:cs="Calibri" w:eastAsia="Calibri" w:hAnsi="Calibri"/>
          <w:b/>
          <w:bCs/>
          <w:color w:val="0D2B55"/>
          <w:sz w:val="32"/>
          <w:szCs w:val="32"/>
        </w:rPr>
        <w:t xml:space="preserve">Bibliography</w:t>
      </w:r>
    </w:p>
    <w:p>
      <w:pPr>
        <w:spacing w:after="0" w:before="80"/>
      </w:pPr>
      <w:r>
        <w:t xml:space="preserve"/>
      </w:r>
    </w:p>
    <w:p>
      <w:pPr>
        <w:spacing w:after="60" w:before="60" w:line="300"/>
        <w:ind w:left="480" w:hanging="480"/>
      </w:pPr>
      <w:r>
        <w:rPr>
          <w:rFonts w:ascii="Calibri" w:cs="Calibri" w:eastAsia="Calibri" w:hAnsi="Calibri"/>
          <w:color w:val="4A5568"/>
          <w:sz w:val="18"/>
          <w:szCs w:val="18"/>
        </w:rPr>
        <w:t xml:space="preserve">Ali, F., Suri, P., Kaur, T., &amp; Bisht, D. (2022). Modelling time-varying volatility using GARCH models: evidence from the Indian stock market. F1000Research, 11, 1098. https://doi.org/10.12688/f1000research.124998.1</w:t>
      </w:r>
    </w:p>
    <w:p>
      <w:pPr>
        <w:spacing w:after="60" w:before="60" w:line="300"/>
        <w:ind w:left="480" w:hanging="480"/>
      </w:pPr>
      <w:r>
        <w:rPr>
          <w:rFonts w:ascii="Calibri" w:cs="Calibri" w:eastAsia="Calibri" w:hAnsi="Calibri"/>
          <w:color w:val="4A5568"/>
          <w:sz w:val="18"/>
          <w:szCs w:val="18"/>
        </w:rPr>
        <w:t xml:space="preserve">Bala Kalyan, N., &amp; Subramanyam, P. (2017). A Study on Performance of SBI Blue Chip Fund at SBI Mutual Funds in India. International Journal of Advance Research, IJARIIT.</w:t>
      </w:r>
    </w:p>
    <w:p>
      <w:pPr>
        <w:spacing w:after="60" w:before="60" w:line="300"/>
        <w:ind w:left="480" w:hanging="480"/>
      </w:pPr>
      <w:r>
        <w:rPr>
          <w:rFonts w:ascii="Calibri" w:cs="Calibri" w:eastAsia="Calibri" w:hAnsi="Calibri"/>
          <w:color w:val="4A5568"/>
          <w:sz w:val="18"/>
          <w:szCs w:val="18"/>
        </w:rPr>
        <w:t xml:space="preserve">Dr. T. Vara Lakshmi, &amp; Maddi Keerthi Reddy. (2024). Diversification: A Strategic Approach Towards Risk Mitigation of Select Stocks. IRJAEM, 2(05), 1727–1730. https://doi.org/10.47392/irjaem.2024.0252</w:t>
      </w:r>
    </w:p>
    <w:p>
      <w:pPr>
        <w:spacing w:after="60" w:before="60" w:line="300"/>
        <w:ind w:left="480" w:hanging="480"/>
      </w:pPr>
      <w:r>
        <w:rPr>
          <w:rFonts w:ascii="Calibri" w:cs="Calibri" w:eastAsia="Calibri" w:hAnsi="Calibri"/>
          <w:color w:val="4A5568"/>
          <w:sz w:val="18"/>
          <w:szCs w:val="18"/>
        </w:rPr>
        <w:t xml:space="preserve">Ghosh, P., Kale, J. R., &amp; Panchapagesan, V. Do Indian Business Group Owned Mutual Funds Maximize Value For Their Investors? http://ssrn.com/abstract=2443250</w:t>
      </w:r>
    </w:p>
    <w:p>
      <w:pPr>
        <w:spacing w:after="60" w:before="60" w:line="300"/>
        <w:ind w:left="480" w:hanging="480"/>
      </w:pPr>
      <w:r>
        <w:rPr>
          <w:rFonts w:ascii="Calibri" w:cs="Calibri" w:eastAsia="Calibri" w:hAnsi="Calibri"/>
          <w:color w:val="4A5568"/>
          <w:sz w:val="18"/>
          <w:szCs w:val="18"/>
        </w:rPr>
        <w:t xml:space="preserve">K Bhuva, K., &amp; R. Bantwa, A. (2012). Risk, return &amp; performance evaluation of selected mutual fund schemes — large &amp; mid cap funds. Journal of Management and Science, 1(4), 348–362.</w:t>
      </w:r>
    </w:p>
    <w:p>
      <w:pPr>
        <w:spacing w:after="60" w:before="60" w:line="300"/>
        <w:ind w:left="480" w:hanging="480"/>
      </w:pPr>
      <w:r>
        <w:rPr>
          <w:rFonts w:ascii="Calibri" w:cs="Calibri" w:eastAsia="Calibri" w:hAnsi="Calibri"/>
          <w:color w:val="4A5568"/>
          <w:sz w:val="18"/>
          <w:szCs w:val="18"/>
        </w:rPr>
        <w:t xml:space="preserve">Lim, D. T., Goh, K. W., Sim, Y. W., Mokhtar, K., &amp; Thinagar, S. (2023). Estimation of stock market index volatility using the GARCH model. Asian Economic and Financial Review, 13(3), 162–179.</w:t>
      </w:r>
    </w:p>
    <w:p>
      <w:pPr>
        <w:spacing w:after="60" w:before="60" w:line="300"/>
        <w:ind w:left="480" w:hanging="480"/>
      </w:pPr>
      <w:r>
        <w:rPr>
          <w:rFonts w:ascii="Calibri" w:cs="Calibri" w:eastAsia="Calibri" w:hAnsi="Calibri"/>
          <w:color w:val="4A5568"/>
          <w:sz w:val="18"/>
          <w:szCs w:val="18"/>
        </w:rPr>
        <w:t xml:space="preserve">Malmgren, E., &amp; Zhang, A. Risk Modeling of Sustainable Mutual Funds Using GARCH Time Series.</w:t>
      </w:r>
    </w:p>
    <w:p>
      <w:pPr>
        <w:spacing w:after="60" w:before="60" w:line="300"/>
        <w:ind w:left="480" w:hanging="480"/>
      </w:pPr>
      <w:r>
        <w:rPr>
          <w:rFonts w:ascii="Calibri" w:cs="Calibri" w:eastAsia="Calibri" w:hAnsi="Calibri"/>
          <w:color w:val="4A5568"/>
          <w:sz w:val="18"/>
          <w:szCs w:val="18"/>
        </w:rPr>
        <w:t xml:space="preserve">Mishra, A. (2018). Performance Analysis of Blue-Chip Stocks of India. RR Journals.</w:t>
      </w:r>
    </w:p>
    <w:p>
      <w:pPr>
        <w:spacing w:after="60" w:before="60" w:line="300"/>
        <w:ind w:left="480" w:hanging="480"/>
      </w:pPr>
      <w:r>
        <w:rPr>
          <w:rFonts w:ascii="Calibri" w:cs="Calibri" w:eastAsia="Calibri" w:hAnsi="Calibri"/>
          <w:color w:val="4A5568"/>
          <w:sz w:val="18"/>
          <w:szCs w:val="18"/>
        </w:rPr>
        <w:t xml:space="preserve">Pushpalatha, E. (2024). Risk-Return Trade-Off in Blue Chip Mutual Funds. Educational Administration: Theory and Practice, 429–438.</w:t>
      </w:r>
    </w:p>
    <w:p>
      <w:pPr>
        <w:spacing w:after="60" w:before="60" w:line="300"/>
        <w:ind w:left="480" w:hanging="480"/>
      </w:pPr>
      <w:r>
        <w:rPr>
          <w:rFonts w:ascii="Calibri" w:cs="Calibri" w:eastAsia="Calibri" w:hAnsi="Calibri"/>
          <w:color w:val="4A5568"/>
          <w:sz w:val="18"/>
          <w:szCs w:val="18"/>
        </w:rPr>
        <w:t xml:space="preserve">Sarker, M. R., &amp; Saha, D. Effects of Diversification in Risk Reduction: Evidence from Dhaka Stock Exchange. https://ssrn.com/abstract=4155619</w:t>
      </w:r>
    </w:p>
    <w:p>
      <w:pPr>
        <w:spacing w:after="60" w:before="60" w:line="300"/>
        <w:ind w:left="480" w:hanging="480"/>
      </w:pPr>
      <w:r>
        <w:rPr>
          <w:rFonts w:ascii="Calibri" w:cs="Calibri" w:eastAsia="Calibri" w:hAnsi="Calibri"/>
          <w:color w:val="4A5568"/>
          <w:sz w:val="18"/>
          <w:szCs w:val="18"/>
        </w:rPr>
        <w:t xml:space="preserve">Shen, W. (2008). The Empirical Study on the Market Volatility of Chinese Open-end Funds Based on GARCH Model. International Journal of Business and Management.</w:t>
      </w:r>
    </w:p>
    <w:p>
      <w:pPr>
        <w:spacing w:after="60" w:before="60" w:line="300"/>
        <w:ind w:left="480" w:hanging="480"/>
      </w:pPr>
      <w:r>
        <w:rPr>
          <w:rFonts w:ascii="Calibri" w:cs="Calibri" w:eastAsia="Calibri" w:hAnsi="Calibri"/>
          <w:color w:val="4A5568"/>
          <w:sz w:val="18"/>
          <w:szCs w:val="18"/>
        </w:rPr>
        <w:t xml:space="preserve">Srihari, G., Kusuma, T., Chetanraj, D. B., Kumar, S. J. P., &amp; Aluvala, R. (2024). Predictive modelling of return volatility in sustainable investments. Investment Management and Financial Innovations, 21(1), 213–228.</w:t>
      </w:r>
    </w:p>
    <w:p>
      <w:pPr>
        <w:spacing w:after="60" w:before="60" w:line="300"/>
        <w:ind w:left="480" w:hanging="480"/>
      </w:pPr>
      <w:r>
        <w:rPr>
          <w:rFonts w:ascii="Calibri" w:cs="Calibri" w:eastAsia="Calibri" w:hAnsi="Calibri"/>
          <w:color w:val="4A5568"/>
          <w:sz w:val="18"/>
          <w:szCs w:val="18"/>
        </w:rPr>
        <w:t xml:space="preserve">Yang, J., Tang, G., Yang, D., &amp; Zhang, J. (2020). Risk Measurement and Performance Evaluation of Equity Funds Based on ARMA-GARCH Family Model. Open Journal of Statistics, 10(02), 325–340.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6EF" w:sz="3" w:space="8"/>
      </w:pBdr>
    </w:pPr>
    <w:r>
      <w:rPr>
        <w:rFonts w:ascii="Calibri" w:cs="Calibri" w:eastAsia="Calibri" w:hAnsi="Calibri"/>
        <w:color w:val="4A5568"/>
        <w:sz w:val="16"/>
        <w:szCs w:val="16"/>
      </w:rPr>
      <w:t xml:space="preserve">Pathak &amp; Joshi  |  Major Research Project  |  Marwadi University  |  Page </w:t>
    </w:r>
    <w:r>
      <w:rPr>
        <w:rFonts w:ascii="Calibri" w:cs="Calibri" w:eastAsia="Calibri" w:hAnsi="Calibri"/>
        <w:b/>
        <w:bCs/>
        <w:color w:val="2E86D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F0A500" w:sz="3"/>
            <w:right w:val="none" w:color="FFFFFF" w:sz="0"/>
          </w:tcBorders>
          <w:tcMar>
            <w:top w:type="dxa" w:w="60"/>
            <w:left w:type="dxa" w:w="0"/>
            <w:bottom w:type="dxa" w:w="80"/>
            <w:right w:type="dxa" w:w="0"/>
          </w:tcMar>
        </w:tcPr>
        <w:p>
          <w:r>
            <w:rPr>
              <w:rFonts w:ascii="Calibri" w:cs="Calibri" w:eastAsia="Calibri" w:hAnsi="Calibri"/>
              <w:b/>
              <w:bCs/>
              <w:color w:val="0D2B55"/>
              <w:sz w:val="16"/>
              <w:szCs w:val="16"/>
            </w:rPr>
            <w:t xml:space="preserve">Analysing Volatility of Blue-Chip Funds using GARCH Model</w:t>
          </w:r>
        </w:p>
      </w:tc>
      <w:tc>
        <w:tcPr>
          <w:tcW w:type="dxa" w:w="5040"/>
          <w:tcBorders>
            <w:top w:val="none" w:color="FFFFFF" w:sz="0"/>
            <w:left w:val="none" w:color="FFFFFF" w:sz="0"/>
            <w:bottom w:val="single" w:color="F0A500" w:sz="3"/>
            <w:right w:val="none" w:color="FFFFFF" w:sz="0"/>
          </w:tcBorders>
          <w:tcMar>
            <w:top w:type="dxa" w:w="60"/>
            <w:left w:type="dxa" w:w="0"/>
            <w:bottom w:type="dxa" w:w="80"/>
            <w:right w:type="dxa" w:w="0"/>
          </w:tcMar>
        </w:tcPr>
        <w:p>
          <w:pPr>
            <w:jc w:val="right"/>
          </w:pPr>
          <w:r>
            <w:rPr>
              <w:rFonts w:ascii="Calibri" w:cs="Calibri" w:eastAsia="Calibri" w:hAnsi="Calibri"/>
              <w:i/>
              <w:iCs/>
              <w:color w:val="4A5568"/>
              <w:sz w:val="16"/>
              <w:szCs w:val="16"/>
            </w:rPr>
            <w:t xml:space="preserve">Marwadi University  |  BBA (Hons.)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Calibri" w:cs="Calibri" w:eastAsia="Calibri" w:hAnsi="Calibri"/>
        <w:b/>
        <w:bCs/>
        <w:color w:val="2E86DE"/>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D2B55"/>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2026-03-16T08:28:49.772Z</dcterms:created>
  <dcterms:modified xsi:type="dcterms:W3CDTF">2026-03-16T08:28:49.774Z</dcterms:modified>
</cp:coreProperties>
</file>

<file path=docProps/custom.xml><?xml version="1.0" encoding="utf-8"?>
<Properties xmlns="http://schemas.openxmlformats.org/officeDocument/2006/custom-properties" xmlns:vt="http://schemas.openxmlformats.org/officeDocument/2006/docPropsVTypes"/>
</file>