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INVESTMENT DILIGENCE DOCUMENT SUITE</w:t>
      </w:r>
    </w:p>
    <w:p>
      <w:pPr>
        <w:spacing w:after="60"/>
        <w:jc w:val="center"/>
      </w:pPr>
      <w:r>
        <w:rPr>
          <w:b/>
          <w:bCs/>
          <w:sz w:val="24"/>
          <w:szCs w:val="24"/>
        </w:rPr>
        <w:t xml:space="preserve">Executive Design Overview — Company Charter Architecture</w:t>
      </w:r>
    </w:p>
    <w:p>
      <w:pPr>
        <w:spacing w:after="400"/>
        <w:jc w:val="center"/>
      </w:pPr>
      <w:r>
        <w:rPr>
          <w:i/>
          <w:iCs/>
          <w:color w:val="606060"/>
          <w:sz w:val="20"/>
          <w:szCs w:val="20"/>
        </w:rPr>
        <w:t xml:space="preserve">Prepared for the Investment Team · July 2026</w:t>
      </w:r>
    </w:p>
    <w:p>
      <w:pPr>
        <w:pStyle w:val="Heading1"/>
        <w:spacing w:after="140" w:before="280"/>
      </w:pPr>
      <w:r>
        <w:t xml:space="preserve">Purpose</w:t>
      </w:r>
    </w:p>
    <w:p>
      <w:pPr>
        <w:spacing w:after="160"/>
      </w:pPr>
      <w:r>
        <w:t xml:space="preserve">This sets out the target design for how Integrow's diligence documents on a real estate project and its developer should be structured, so that risk is visible in the first minute of reading, and every subsequent page exists to support a decision the reader has already been oriented toward — not to bury it.</w:t>
      </w:r>
    </w:p>
    <w:p>
      <w:pPr>
        <w:pStyle w:val="Heading1"/>
        <w:spacing w:after="140" w:before="280"/>
      </w:pPr>
      <w:r>
        <w:t xml:space="preserve">1. The Document Suite</w:t>
      </w:r>
    </w:p>
    <w:p>
      <w:pPr>
        <w:spacing w:after="160"/>
      </w:pPr>
      <w:r>
        <w:t xml:space="preserve">The Company Charter, generated at the screening/research stage, working from a single underlying data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D9E2F3" w:val="clear"/>
            <w:tcMar>
              <w:top w:type="dxa" w:w="60"/>
              <w:left w:type="dxa" w:w="100"/>
              <w:bottom w:type="dxa" w:w="60"/>
              <w:right w:type="dxa" w:w="100"/>
            </w:tcMar>
            <w:vAlign w:val="center"/>
          </w:tcPr>
          <w:p>
            <w:pPr>
              <w:jc w:val="left"/>
            </w:pPr>
            <w:r>
              <w:rPr>
                <w:b/>
                <w:bCs/>
                <w:sz w:val="20"/>
                <w:szCs w:val="20"/>
              </w:rPr>
              <w:t xml:space="preserve">Output</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Generated at</w:t>
            </w:r>
          </w:p>
        </w:tc>
        <w:tc>
          <w:tcPr>
            <w:tcW w:type="dxa" w:w="4950"/>
            <w:shd w:fill="D9E2F3" w:val="clear"/>
            <w:tcMar>
              <w:top w:type="dxa" w:w="60"/>
              <w:left w:type="dxa" w:w="100"/>
              <w:bottom w:type="dxa" w:w="60"/>
              <w:right w:type="dxa" w:w="100"/>
            </w:tcMar>
            <w:vAlign w:val="center"/>
          </w:tcPr>
          <w:p>
            <w:pPr>
              <w:jc w:val="left"/>
            </w:pPr>
            <w:r>
              <w:rPr>
                <w:b/>
                <w:bCs/>
                <w:sz w:val="20"/>
                <w:szCs w:val="20"/>
              </w:rPr>
              <w:t xml:space="preserve">Answers</w:t>
            </w:r>
          </w:p>
        </w:tc>
      </w:tr>
      <w:tr>
        <w:tc>
          <w:tcPr>
            <w:tcW w:type="dxa" w:w="2200"/>
            <w:tcMar>
              <w:top w:type="dxa" w:w="60"/>
              <w:left w:type="dxa" w:w="100"/>
              <w:bottom w:type="dxa" w:w="60"/>
              <w:right w:type="dxa" w:w="100"/>
            </w:tcMar>
            <w:vAlign w:val="center"/>
          </w:tcPr>
          <w:p>
            <w:pPr>
              <w:jc w:val="left"/>
            </w:pPr>
            <w:r>
              <w:rPr>
                <w:b/>
                <w:bCs/>
                <w:sz w:val="20"/>
                <w:szCs w:val="20"/>
              </w:rPr>
              <w:t xml:space="preserve">Company Charter</w:t>
            </w:r>
          </w:p>
        </w:tc>
        <w:tc>
          <w:tcPr>
            <w:tcW w:type="dxa" w:w="2200"/>
            <w:tcMar>
              <w:top w:type="dxa" w:w="60"/>
              <w:left w:type="dxa" w:w="100"/>
              <w:bottom w:type="dxa" w:w="60"/>
              <w:right w:type="dxa" w:w="100"/>
            </w:tcMar>
            <w:vAlign w:val="center"/>
          </w:tcPr>
          <w:p>
            <w:pPr>
              <w:jc w:val="left"/>
            </w:pPr>
            <w:r>
              <w:rPr>
                <w:b w:val="false"/>
                <w:bCs w:val="false"/>
                <w:sz w:val="20"/>
                <w:szCs w:val="20"/>
              </w:rPr>
              <w:t xml:space="preserve">Screening / research stage</w:t>
            </w:r>
          </w:p>
        </w:tc>
        <w:tc>
          <w:tcPr>
            <w:tcW w:type="dxa" w:w="4950"/>
            <w:tcMar>
              <w:top w:type="dxa" w:w="60"/>
              <w:left w:type="dxa" w:w="100"/>
              <w:bottom w:type="dxa" w:w="60"/>
              <w:right w:type="dxa" w:w="100"/>
            </w:tcMar>
            <w:vAlign w:val="center"/>
          </w:tcPr>
          <w:p>
            <w:pPr>
              <w:jc w:val="left"/>
            </w:pPr>
            <w:r>
              <w:rPr>
                <w:b w:val="false"/>
                <w:bCs w:val="false"/>
                <w:sz w:val="20"/>
                <w:szCs w:val="20"/>
              </w:rPr>
              <w:t xml:space="preserve">Should we keep evaluating this deal?</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 Developer Score</w:t>
            </w:r>
          </w:p>
        </w:tc>
        <w:tc>
          <w:tcPr>
            <w:tcW w:type="dxa" w:w="2200"/>
            <w:tcMar>
              <w:top w:type="dxa" w:w="60"/>
              <w:left w:type="dxa" w:w="100"/>
              <w:bottom w:type="dxa" w:w="60"/>
              <w:right w:type="dxa" w:w="100"/>
            </w:tcMar>
            <w:vAlign w:val="center"/>
          </w:tcPr>
          <w:p>
            <w:pPr>
              <w:jc w:val="left"/>
            </w:pPr>
            <w:r>
              <w:rPr>
                <w:b w:val="false"/>
                <w:bCs w:val="false"/>
                <w:sz w:val="20"/>
                <w:szCs w:val="20"/>
              </w:rPr>
              <w:t xml:space="preserve">Inside the Company Charter</w:t>
            </w:r>
          </w:p>
        </w:tc>
        <w:tc>
          <w:tcPr>
            <w:tcW w:type="dxa" w:w="4950"/>
            <w:tcMar>
              <w:top w:type="dxa" w:w="60"/>
              <w:left w:type="dxa" w:w="100"/>
              <w:bottom w:type="dxa" w:w="60"/>
              <w:right w:type="dxa" w:w="100"/>
            </w:tcMar>
            <w:vAlign w:val="center"/>
          </w:tcPr>
          <w:p>
            <w:pPr>
              <w:jc w:val="left"/>
            </w:pPr>
            <w:r>
              <w:rPr>
                <w:b w:val="false"/>
                <w:bCs w:val="false"/>
                <w:sz w:val="20"/>
                <w:szCs w:val="20"/>
              </w:rPr>
              <w:t xml:space="preserve">How strong is this promoter, as a single grade?</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 Data Authenticity</w:t>
            </w:r>
          </w:p>
        </w:tc>
        <w:tc>
          <w:tcPr>
            <w:tcW w:type="dxa" w:w="2200"/>
            <w:tcMar>
              <w:top w:type="dxa" w:w="60"/>
              <w:left w:type="dxa" w:w="100"/>
              <w:bottom w:type="dxa" w:w="60"/>
              <w:right w:type="dxa" w:w="100"/>
            </w:tcMar>
            <w:vAlign w:val="center"/>
          </w:tcPr>
          <w:p>
            <w:pPr>
              <w:jc w:val="left"/>
            </w:pPr>
            <w:r>
              <w:rPr>
                <w:b w:val="false"/>
                <w:bCs w:val="false"/>
                <w:sz w:val="20"/>
                <w:szCs w:val="20"/>
              </w:rPr>
              <w:t xml:space="preserve">Inside the Company Charter</w:t>
            </w:r>
          </w:p>
        </w:tc>
        <w:tc>
          <w:tcPr>
            <w:tcW w:type="dxa" w:w="4950"/>
            <w:tcMar>
              <w:top w:type="dxa" w:w="60"/>
              <w:left w:type="dxa" w:w="100"/>
              <w:bottom w:type="dxa" w:w="60"/>
              <w:right w:type="dxa" w:w="100"/>
            </w:tcMar>
            <w:vAlign w:val="center"/>
          </w:tcPr>
          <w:p>
            <w:pPr>
              <w:jc w:val="left"/>
            </w:pPr>
            <w:r>
              <w:rPr>
                <w:b w:val="false"/>
                <w:bCs w:val="false"/>
                <w:sz w:val="20"/>
                <w:szCs w:val="20"/>
              </w:rPr>
              <w:t xml:space="preserve">How much should we trust this document's own claims?</w:t>
            </w:r>
          </w:p>
        </w:tc>
      </w:tr>
    </w:tbl>
    <w:p>
      <w:pPr>
        <w:spacing w:after="160"/>
      </w:pPr>
      <w:r>
        <w:rPr>
          <w:i/>
          <w:iCs/>
          <w:color w:val="606060"/>
          <w:sz w:val="18"/>
          <w:szCs w:val="18"/>
        </w:rPr>
        <w:t xml:space="preserve">A disbursement-stage companion document is a possible future addition — deliberately out of scope for this pass.</w:t>
      </w:r>
    </w:p>
    <w:p>
      <w:r>
        <w:br w:type="page"/>
      </w:r>
    </w:p>
    <w:p>
      <w:pPr>
        <w:pStyle w:val="Heading1"/>
        <w:spacing w:after="140" w:before="280"/>
      </w:pPr>
      <w:r>
        <w:t xml:space="preserve">2. Reading Flow</w:t>
      </w:r>
    </w:p>
    <w:p>
      <w:pPr>
        <w:spacing w:after="160"/>
      </w:pPr>
      <w:r>
        <w:t xml:space="preserve">The document is ordered the way an investment reviewer actually works a deal — in expanding circles of commitment, not in the order data happens to get computed:</w:t>
      </w:r>
    </w:p>
    <w:p>
      <w:pPr>
        <w:pStyle w:val="ListParagraph"/>
        <w:numPr>
          <w:ilvl w:val="0"/>
          <w:numId w:val="1"/>
        </w:numPr>
        <w:spacing w:after="80"/>
      </w:pPr>
      <w:r>
        <w:rPr>
          <w:b/>
          <w:bCs/>
        </w:rPr>
        <w:t xml:space="preserve">Overview &amp; Flags — can I say pass / hold / proceed in under a minute?</w:t>
      </w:r>
    </w:p>
    <w:p>
      <w:pPr>
        <w:pStyle w:val="ListParagraph"/>
        <w:numPr>
          <w:ilvl w:val="0"/>
          <w:numId w:val="1"/>
        </w:numPr>
        <w:spacing w:after="80"/>
      </w:pPr>
      <w:r>
        <w:rPr>
          <w:b/>
          <w:bCs/>
        </w:rPr>
        <w:t xml:space="preserve">Counterparty — who is the promoter, and how strong are they?</w:t>
      </w:r>
    </w:p>
    <w:p>
      <w:pPr>
        <w:pStyle w:val="ListParagraph"/>
        <w:numPr>
          <w:ilvl w:val="0"/>
          <w:numId w:val="1"/>
        </w:numPr>
        <w:spacing w:after="80"/>
      </w:pPr>
      <w:r>
        <w:rPr>
          <w:b/>
          <w:bCs/>
        </w:rPr>
        <w:t xml:space="preserve">Asset — what is the land, the location, the entitlement?</w:t>
      </w:r>
    </w:p>
    <w:p>
      <w:pPr>
        <w:pStyle w:val="ListParagraph"/>
        <w:numPr>
          <w:ilvl w:val="0"/>
          <w:numId w:val="1"/>
        </w:numPr>
        <w:spacing w:after="80"/>
      </w:pPr>
      <w:r>
        <w:rPr>
          <w:b/>
          <w:bCs/>
        </w:rPr>
        <w:t xml:space="preserve">Compliance — is it legally and regulatorily clean?</w:t>
      </w:r>
    </w:p>
    <w:p>
      <w:pPr>
        <w:pStyle w:val="ListParagraph"/>
        <w:numPr>
          <w:ilvl w:val="0"/>
          <w:numId w:val="1"/>
        </w:numPr>
        <w:spacing w:after="80"/>
      </w:pPr>
      <w:r>
        <w:rPr>
          <w:b/>
          <w:bCs/>
        </w:rPr>
        <w:t xml:space="preserve">Market — is it commercially sound?</w:t>
      </w:r>
    </w:p>
    <w:p>
      <w:pPr>
        <w:pStyle w:val="ListParagraph"/>
        <w:numPr>
          <w:ilvl w:val="0"/>
          <w:numId w:val="1"/>
        </w:numPr>
        <w:spacing w:after="80"/>
      </w:pPr>
      <w:r>
        <w:rPr>
          <w:b/>
          <w:bCs/>
        </w:rPr>
        <w:t xml:space="preserve">Evidence Appendix — the full backing detail, for anyone auditing a claim made earlier.</w:t>
      </w:r>
    </w:p>
    <w:p>
      <w:pPr>
        <w:spacing w:after="160"/>
      </w:pPr>
      <w:r>
        <w:t xml:space="preserve">Every section that exists today is preserved — this only changes the order they're read in, and pulls the checks currently bolted on at the very end (credit rating, insolvency status, group companies, appeal judgments) into the sections they actually belong to.</w:t>
      </w:r>
    </w:p>
    <w:p>
      <w:pPr>
        <w:pStyle w:val="Heading1"/>
        <w:spacing w:after="140" w:before="280"/>
      </w:pPr>
      <w:r>
        <w:t xml:space="preserve">3. Company Charter — Target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Contains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Deal snapshot, KPI cards, the flag matrix, a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w:t>
            </w:r>
          </w:p>
        </w:tc>
        <w:tc>
          <w:tcPr>
            <w:tcW w:type="dxa" w:w="5450"/>
            <w:tcMar>
              <w:top w:type="dxa" w:w="60"/>
              <w:left w:type="dxa" w:w="100"/>
              <w:bottom w:type="dxa" w:w="60"/>
              <w:right w:type="dxa" w:w="100"/>
            </w:tcMar>
            <w:vAlign w:val="center"/>
          </w:tcPr>
          <w:p>
            <w:pPr>
              <w:jc w:val="left"/>
            </w:pPr>
            <w:r>
              <w:rPr>
                <w:b w:val="false"/>
                <w:bCs w:val="false"/>
                <w:sz w:val="20"/>
                <w:szCs w:val="20"/>
              </w:rPr>
              <w:t xml:space="preserve">Corporate identity, credit rating, insolvency status, group entities, Developer Score.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w:t>
            </w:r>
          </w:p>
        </w:tc>
        <w:tc>
          <w:tcPr>
            <w:tcW w:type="dxa" w:w="5450"/>
            <w:tcMar>
              <w:top w:type="dxa" w:w="60"/>
              <w:left w:type="dxa" w:w="100"/>
              <w:bottom w:type="dxa" w:w="60"/>
              <w:right w:type="dxa" w:w="100"/>
            </w:tcMar>
            <w:vAlign w:val="center"/>
          </w:tcPr>
          <w:p>
            <w:pPr>
              <w:jc w:val="left"/>
            </w:pPr>
            <w:r>
              <w:rPr>
                <w:b w:val="false"/>
                <w:bCs w:val="false"/>
                <w:sz w:val="20"/>
                <w:szCs w:val="20"/>
              </w:rPr>
              <w:t xml:space="preserve">Land, location, connectivity, FSI.</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Statutory rules, RERA compliance, the full litigation/complaint/appeal record.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Comparables, pricing trend.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w:t>
            </w:r>
          </w:p>
        </w:tc>
        <w:tc>
          <w:tcPr>
            <w:tcW w:type="dxa" w:w="5450"/>
            <w:tcMar>
              <w:top w:type="dxa" w:w="60"/>
              <w:left w:type="dxa" w:w="100"/>
              <w:bottom w:type="dxa" w:w="60"/>
              <w:right w:type="dxa" w:w="100"/>
            </w:tcMar>
            <w:vAlign w:val="center"/>
          </w:tcPr>
          <w:p>
            <w:pPr>
              <w:jc w:val="left"/>
            </w:pPr>
            <w:r>
              <w:rPr>
                <w:b w:val="false"/>
                <w:bCs w:val="false"/>
                <w:sz w:val="20"/>
                <w:szCs w:val="20"/>
              </w:rPr>
              <w:t xml:space="preserve">Reference tables.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full check detail, Data Authenticity.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Every open item and every citation.</w:t>
            </w:r>
          </w:p>
        </w:tc>
      </w:tr>
    </w:tbl>
    <w:p>
      <w:r>
        <w:br w:type="page"/>
      </w:r>
    </w:p>
    <w:p>
      <w:pPr>
        <w:pStyle w:val="Heading1"/>
        <w:spacing w:after="140" w:before="280"/>
      </w:pPr>
      <w:r>
        <w:t xml:space="preserve">4. Overview Page — At a Glance</w:t>
      </w:r>
    </w:p>
    <w:p>
      <w:pPr>
        <w:spacing w:after="160"/>
      </w:pPr>
      <w:r>
        <w:t xml:space="preserve">One page, at the very front. Four KPI cards give the headline read before a single sentence of prose: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B</w:t>
            </w:r>
          </w:p>
          <w:p>
            <w:pPr>
              <w:spacing w:after="20"/>
              <w:jc w:val="center"/>
            </w:pPr>
            <w:r>
              <w:rPr>
                <w:color w:val="606060"/>
                <w:sz w:val="18"/>
                <w:szCs w:val="18"/>
              </w:rPr>
              <w:t xml:space="preserve">composite grade</w:t>
            </w:r>
          </w:p>
          <w:p>
            <w:pPr>
              <w:spacing w:after="120"/>
              <w:jc w:val="center"/>
            </w:pPr>
            <w:r>
              <w:rPr>
                <w:b/>
                <w:bCs/>
                <w:color w:val="606060"/>
                <w:sz w:val="18"/>
                <w:szCs w:val="18"/>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Moderate</w:t>
            </w:r>
          </w:p>
          <w:p>
            <w:pPr>
              <w:spacing w:after="20"/>
              <w:jc w:val="center"/>
            </w:pPr>
            <w:r>
              <w:rPr>
                <w:color w:val="606060"/>
                <w:sz w:val="18"/>
                <w:szCs w:val="18"/>
              </w:rPr>
              <w:t xml:space="preserve">document trust</w:t>
            </w:r>
          </w:p>
          <w:p>
            <w:pPr>
              <w:spacing w:after="120"/>
              <w:jc w:val="center"/>
            </w:pPr>
            <w:r>
              <w:rPr>
                <w:b/>
                <w:bCs/>
                <w:color w:val="606060"/>
                <w:sz w:val="18"/>
                <w:szCs w:val="18"/>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4"/>
                <w:szCs w:val="44"/>
              </w:rPr>
              <w:t xml:space="preserve">2 · 1 · 3</w:t>
            </w:r>
          </w:p>
          <w:p>
            <w:pPr>
              <w:spacing w:after="20"/>
              <w:jc w:val="center"/>
            </w:pPr>
            <w:r>
              <w:rPr>
                <w:color w:val="606060"/>
                <w:sz w:val="18"/>
                <w:szCs w:val="18"/>
              </w:rPr>
              <w:t xml:space="preserve">flags raised</w:t>
            </w:r>
          </w:p>
          <w:p>
            <w:pPr>
              <w:spacing w:after="120"/>
              <w:jc w:val="center"/>
            </w:pPr>
            <w:r>
              <w:rPr>
                <w:b/>
                <w:bCs/>
                <w:color w:val="606060"/>
                <w:sz w:val="18"/>
                <w:szCs w:val="18"/>
              </w:rPr>
              <w:t xml:space="preserve">RED · STRUCTURAL · MONITOR</w:t>
            </w:r>
          </w:p>
        </w:tc>
        <w:tc>
          <w:tcPr>
            <w:tcW w:type="dxa" w:w="2337"/>
            <w:shd w:fill="E4EFE0" w:val="clear"/>
            <w:tcMar>
              <w:top w:type="dxa" w:w="100"/>
              <w:left w:type="dxa" w:w="80"/>
              <w:bottom w:type="dxa" w:w="100"/>
              <w:right w:type="dxa" w:w="80"/>
            </w:tcMar>
            <w:vAlign w:val="center"/>
          </w:tcPr>
          <w:p>
            <w:pPr>
              <w:spacing w:after="20" w:before="120"/>
              <w:jc w:val="center"/>
            </w:pPr>
            <w:r>
              <w:rPr>
                <w:b/>
                <w:bCs/>
                <w:color w:val="2E7D32"/>
                <w:sz w:val="44"/>
                <w:szCs w:val="44"/>
              </w:rPr>
              <w:t xml:space="preserve">Registered</w:t>
            </w:r>
          </w:p>
          <w:p>
            <w:pPr>
              <w:spacing w:after="20"/>
              <w:jc w:val="center"/>
            </w:pPr>
            <w:r>
              <w:rPr>
                <w:color w:val="606060"/>
                <w:sz w:val="18"/>
                <w:szCs w:val="18"/>
              </w:rPr>
              <w:t xml:space="preserve">current standing</w:t>
            </w:r>
          </w:p>
          <w:p>
            <w:pPr>
              <w:spacing w:after="120"/>
              <w:jc w:val="center"/>
            </w:pPr>
            <w:r>
              <w:rPr>
                <w:b/>
                <w:bCs/>
                <w:color w:val="606060"/>
                <w:sz w:val="18"/>
                <w:szCs w:val="18"/>
              </w:rPr>
              <w:t xml:space="preserve">PROJECT STATUS</w:t>
            </w:r>
          </w:p>
        </w:tc>
      </w:tr>
    </w:tbl>
    <w:p>
      <w:pPr>
        <w:spacing w:after="160"/>
      </w:pPr>
      <w:r>
        <w:t xml:space="preserve">Illustrative figures — every card is computed directly from data the pipeline already produces, coloured by the same severity logic used throughout the rest of the Charter.</w:t>
      </w:r>
    </w:p>
    <w:p>
      <w:pPr>
        <w:spacing w:after="160"/>
      </w:pPr>
      <w:r>
        <w:rPr>
          <w:b/>
          <w:bCs/>
        </w:rPr>
        <w:t xml:space="preserve">The count on the Flags card is never left to stand alone — the same Overview page names every flag behind it, directly underneath the cards, so "2 · 1 · 3" is a summary of specific, sourced items, not a bare number: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BDCDC" w:val="clear"/>
            <w:tcMar>
              <w:top w:type="dxa" w:w="60"/>
              <w:left w:type="dxa" w:w="100"/>
              <w:bottom w:type="dxa" w:w="60"/>
              <w:right w:type="dxa" w:w="100"/>
            </w:tcMar>
            <w:vAlign w:val="center"/>
          </w:tcPr>
          <w:p>
            <w:pPr>
              <w:jc w:val="left"/>
            </w:pPr>
            <w:r>
              <w:rPr>
                <w:b/>
                <w:bCs/>
                <w:color w:val="C00000"/>
                <w:sz w:val="20"/>
                <w:szCs w:val="20"/>
              </w:rPr>
              <w:t xml:space="preserve">Imminent Red Flags (2)</w:t>
            </w:r>
          </w:p>
        </w:tc>
        <w:tc>
          <w:tcPr>
            <w:tcW w:type="dxa" w:w="6950"/>
            <w:tcMar>
              <w:top w:type="dxa" w:w="60"/>
              <w:left w:type="dxa" w:w="100"/>
              <w:bottom w:type="dxa" w:w="60"/>
              <w:right w:type="dxa" w:w="100"/>
            </w:tcMar>
            <w:vAlign w:val="center"/>
          </w:tcPr>
          <w:p>
            <w:pPr>
              <w:jc w:val="left"/>
            </w:pPr>
            <w:r>
              <w:rPr>
                <w:b w:val="false"/>
                <w:bCs w:val="false"/>
                <w:sz w:val="20"/>
                <w:szCs w:val="20"/>
              </w:rPr>
              <w:t xml:space="preserve">1. Open IBBI insolvency proceeding against the promoter entity.  2. This project's appeal count (18) exceeds the Red threshold.</w:t>
            </w:r>
          </w:p>
        </w:tc>
      </w:tr>
      <w:tr>
        <w:tc>
          <w:tcPr>
            <w:tcW w:type="dxa" w:w="2400"/>
            <w:shd w:fill="F2F2F2" w:val="clear"/>
            <w:tcMar>
              <w:top w:type="dxa" w:w="60"/>
              <w:left w:type="dxa" w:w="100"/>
              <w:bottom w:type="dxa" w:w="60"/>
              <w:right w:type="dxa" w:w="100"/>
            </w:tcMar>
            <w:vAlign w:val="center"/>
          </w:tcPr>
          <w:p>
            <w:pPr>
              <w:jc w:val="left"/>
            </w:pPr>
            <w:r>
              <w:rPr>
                <w:b/>
                <w:bCs/>
                <w:color w:val="1F3864"/>
                <w:sz w:val="20"/>
                <w:szCs w:val="20"/>
              </w:rPr>
              <w:t xml:space="preserve">Structural Flag (1)</w:t>
            </w:r>
          </w:p>
        </w:tc>
        <w:tc>
          <w:tcPr>
            <w:tcW w:type="dxa" w:w="6950"/>
            <w:tcMar>
              <w:top w:type="dxa" w:w="60"/>
              <w:left w:type="dxa" w:w="100"/>
              <w:bottom w:type="dxa" w:w="60"/>
              <w:right w:type="dxa" w:w="100"/>
            </w:tcMar>
            <w:vAlign w:val="center"/>
          </w:tcPr>
          <w:p>
            <w:pPr>
              <w:jc w:val="left"/>
            </w:pPr>
            <w:r>
              <w:rPr>
                <w:b w:val="false"/>
                <w:bCs w:val="false"/>
                <w:sz w:val="20"/>
                <w:szCs w:val="20"/>
              </w:rPr>
              <w:t xml:space="preserve">1. No credit rating found for this promoter on record with either agency checked.</w:t>
            </w:r>
          </w:p>
        </w:tc>
      </w:tr>
      <w:tr>
        <w:tc>
          <w:tcPr>
            <w:tcW w:type="dxa" w:w="2400"/>
            <w:shd w:fill="FCE9C6" w:val="clear"/>
            <w:tcMar>
              <w:top w:type="dxa" w:w="60"/>
              <w:left w:type="dxa" w:w="100"/>
              <w:bottom w:type="dxa" w:w="60"/>
              <w:right w:type="dxa" w:w="100"/>
            </w:tcMar>
            <w:vAlign w:val="center"/>
          </w:tcPr>
          <w:p>
            <w:pPr>
              <w:jc w:val="left"/>
            </w:pPr>
            <w:r>
              <w:rPr>
                <w:b/>
                <w:bCs/>
                <w:color w:val="B8860B"/>
                <w:sz w:val="20"/>
                <w:szCs w:val="20"/>
              </w:rPr>
              <w:t xml:space="preserve">Monitor Flags (3)</w:t>
            </w:r>
          </w:p>
        </w:tc>
        <w:tc>
          <w:tcPr>
            <w:tcW w:type="dxa" w:w="6950"/>
            <w:tcMar>
              <w:top w:type="dxa" w:w="60"/>
              <w:left w:type="dxa" w:w="100"/>
              <w:bottom w:type="dxa" w:w="60"/>
              <w:right w:type="dxa" w:w="100"/>
            </w:tcMar>
            <w:vAlign w:val="center"/>
          </w:tcPr>
          <w:p>
            <w:pPr>
              <w:jc w:val="left"/>
            </w:pPr>
            <w:r>
              <w:rPr>
                <w:b w:val="false"/>
                <w:bCs w:val="false"/>
                <w:sz w:val="20"/>
                <w:szCs w:val="20"/>
              </w:rPr>
              <w:t xml:space="preserve">1. This project's complaint count (28) sits in the Monitor range.  2. Mortgage lender changed since the last Charter run, not yet explained.  3. One pending appeal has a hearing date next quarter.</w:t>
            </w:r>
          </w:p>
        </w:tc>
      </w:tr>
    </w:tbl>
    <w:p>
      <w:pPr>
        <w:spacing w:after="160"/>
      </w:pPr>
      <w:r>
        <w:rPr>
          <w:i/>
          <w:iCs/>
          <w:color w:val="606060"/>
          <w:sz w:val="18"/>
          <w:szCs w:val="18"/>
        </w:rPr>
        <w:t xml:space="preserve">Illustrative example — in a real Charter these lines are full sentences citing the exact field and figure behind each flag (registration status, appeal/complaint counts, credit rating, mortgage lender history), not just a label.</w:t>
      </w:r>
    </w:p>
    <w:p>
      <w:pPr>
        <w:pStyle w:val="Heading1"/>
        <w:spacing w:after="140" w:before="280"/>
      </w:pPr>
      <w:r>
        <w:t xml:space="preserve">5. Flag Taxonomy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BDCDC" w:val="clear"/>
            <w:tcMar>
              <w:top w:type="dxa" w:w="60"/>
              <w:left w:type="dxa" w:w="100"/>
              <w:bottom w:type="dxa" w:w="60"/>
              <w:right w:type="dxa" w:w="100"/>
            </w:tcMar>
            <w:vAlign w:val="center"/>
          </w:tcPr>
          <w:p>
            <w:pPr>
              <w:jc w:val="left"/>
            </w:pPr>
            <w:r>
              <w:rPr>
                <w:b/>
                <w:bCs/>
                <w:color w:val="C00000"/>
                <w:sz w:val="20"/>
                <w:szCs w:val="20"/>
              </w:rPr>
              <w:t xml:space="preserve">Imminent Red Flag</w:t>
            </w:r>
          </w:p>
        </w:tc>
        <w:tc>
          <w:tcPr>
            <w:tcW w:type="dxa" w:w="6950"/>
            <w:tcMar>
              <w:top w:type="dxa" w:w="60"/>
              <w:left w:type="dxa" w:w="100"/>
              <w:bottom w:type="dxa" w:w="60"/>
              <w:right w:type="dxa" w:w="100"/>
            </w:tcMar>
            <w:vAlign w:val="center"/>
          </w:tcPr>
          <w:p>
            <w:pPr>
              <w:jc w:val="left"/>
            </w:pPr>
            <w:r>
              <w:rPr>
                <w:b w:val="false"/>
                <w:bCs w:val="false"/>
                <w:sz w:val="20"/>
                <w:szCs w:val="20"/>
              </w:rPr>
              <w:t xml:space="preserve">Deal-blocking, needs action now — insolvency, no verifiable RERA registration, unresolved title litigation, a live problem today.</w:t>
            </w:r>
          </w:p>
        </w:tc>
      </w:tr>
      <w:tr>
        <w:tc>
          <w:tcPr>
            <w:tcW w:type="dxa" w:w="2400"/>
            <w:shd w:fill="F2F2F2" w:val="clear"/>
            <w:tcMar>
              <w:top w:type="dxa" w:w="60"/>
              <w:left w:type="dxa" w:w="100"/>
              <w:bottom w:type="dxa" w:w="60"/>
              <w:right w:type="dxa" w:w="100"/>
            </w:tcMar>
            <w:vAlign w:val="center"/>
          </w:tcPr>
          <w:p>
            <w:pPr>
              <w:jc w:val="left"/>
            </w:pPr>
            <w:r>
              <w:rPr>
                <w:b/>
                <w:bCs/>
                <w:color w:val="1F3864"/>
                <w:sz w:val="20"/>
                <w:szCs w:val="20"/>
              </w:rPr>
              <w:t xml:space="preserve">Structural Flag</w:t>
            </w:r>
          </w:p>
        </w:tc>
        <w:tc>
          <w:tcPr>
            <w:tcW w:type="dxa" w:w="6950"/>
            <w:tcMar>
              <w:top w:type="dxa" w:w="60"/>
              <w:left w:type="dxa" w:w="100"/>
              <w:bottom w:type="dxa" w:w="60"/>
              <w:right w:type="dxa" w:w="100"/>
            </w:tcMar>
            <w:vAlign w:val="center"/>
          </w:tcPr>
          <w:p>
            <w:pPr>
              <w:jc w:val="left"/>
            </w:pPr>
            <w:r>
              <w:rPr>
                <w:b w:val="false"/>
                <w:bCs w:val="false"/>
                <w:sz w:val="20"/>
                <w:szCs w:val="20"/>
              </w:rPr>
              <w:t xml:space="preserve">A standing characteristic — no credit rating on record, a closed/settled legal matter — worth pricing or questioning, not blocking by itself.</w:t>
            </w:r>
          </w:p>
        </w:tc>
      </w:tr>
      <w:tr>
        <w:tc>
          <w:tcPr>
            <w:tcW w:type="dxa" w:w="2400"/>
            <w:shd w:fill="FCE9C6" w:val="clear"/>
            <w:tcMar>
              <w:top w:type="dxa" w:w="60"/>
              <w:left w:type="dxa" w:w="100"/>
              <w:bottom w:type="dxa" w:w="60"/>
              <w:right w:type="dxa" w:w="100"/>
            </w:tcMar>
            <w:vAlign w:val="center"/>
          </w:tcPr>
          <w:p>
            <w:pPr>
              <w:jc w:val="left"/>
            </w:pPr>
            <w:r>
              <w:rPr>
                <w:b/>
                <w:bCs/>
                <w:color w:val="B8860B"/>
                <w:sz w:val="20"/>
                <w:szCs w:val="20"/>
              </w:rPr>
              <w:t xml:space="preserve">Monitor Flag</w:t>
            </w:r>
          </w:p>
        </w:tc>
        <w:tc>
          <w:tcPr>
            <w:tcW w:type="dxa" w:w="6950"/>
            <w:tcMar>
              <w:top w:type="dxa" w:w="60"/>
              <w:left w:type="dxa" w:w="100"/>
              <w:bottom w:type="dxa" w:w="60"/>
              <w:right w:type="dxa" w:w="100"/>
            </w:tcMar>
            <w:vAlign w:val="center"/>
          </w:tcPr>
          <w:p>
            <w:pPr>
              <w:jc w:val="left"/>
            </w:pPr>
            <w:r>
              <w:rPr>
                <w:b w:val="false"/>
                <w:bCs w:val="false"/>
                <w:sz w:val="20"/>
                <w:szCs w:val="20"/>
              </w:rPr>
              <w:t xml:space="preserve">Tied to a date or a trend — a pending hearing, an approaching deadline — needs re-checking on a future pass.</w:t>
            </w:r>
          </w:p>
        </w:tc>
      </w:tr>
    </w:tbl>
    <w:p>
      <w:pPr>
        <w:spacing w:after="160"/>
      </w:pPr>
      <w:r>
        <w:rPr>
          <w:b/>
          <w:bCs/>
        </w:rPr>
        <w:t xml:space="preserve">Governing rule: tier decides urgency, never visibility. A closed or settled matter is always shown in full — it is precisely the kind of thing the investment team should raise with the developer directly, not a reason to omit it.</w:t>
      </w:r>
    </w:p>
    <w:p>
      <w:r>
        <w:br w:type="page"/>
      </w:r>
    </w:p>
    <w:p>
      <w:pPr>
        <w:pStyle w:val="Heading1"/>
        <w:spacing w:after="140" w:before="280"/>
      </w:pPr>
      <w:r>
        <w:t xml:space="preserve">6. Developer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50"/>
      </w:tblGrid>
      <w:tr>
        <w:tc>
          <w:tcPr>
            <w:tcW w:type="dxa" w:w="1400"/>
            <w:shd w:fill="D9E2F3" w:val="clear"/>
            <w:tcMar>
              <w:top w:type="dxa" w:w="60"/>
              <w:left w:type="dxa" w:w="100"/>
              <w:bottom w:type="dxa" w:w="60"/>
              <w:right w:type="dxa" w:w="100"/>
            </w:tcMar>
            <w:vAlign w:val="center"/>
          </w:tcPr>
          <w:p>
            <w:pPr>
              <w:jc w:val="left"/>
            </w:pPr>
            <w:r>
              <w:rPr>
                <w:b/>
                <w:bCs/>
                <w:sz w:val="20"/>
                <w:szCs w:val="20"/>
              </w:rPr>
              <w:t xml:space="preserve">Grade</w:t>
            </w:r>
          </w:p>
        </w:tc>
        <w:tc>
          <w:tcPr>
            <w:tcW w:type="dxa" w:w="2000"/>
            <w:shd w:fill="D9E2F3" w:val="clear"/>
            <w:tcMar>
              <w:top w:type="dxa" w:w="60"/>
              <w:left w:type="dxa" w:w="100"/>
              <w:bottom w:type="dxa" w:w="60"/>
              <w:right w:type="dxa" w:w="100"/>
            </w:tcMar>
            <w:vAlign w:val="center"/>
          </w:tcPr>
          <w:p>
            <w:pPr>
              <w:jc w:val="left"/>
            </w:pPr>
            <w:r>
              <w:rPr>
                <w:b/>
                <w:bCs/>
                <w:sz w:val="20"/>
                <w:szCs w:val="20"/>
              </w:rPr>
              <w:t xml:space="preserve">Label</w:t>
            </w:r>
          </w:p>
        </w:tc>
        <w:tc>
          <w:tcPr>
            <w:tcW w:type="dxa" w:w="2000"/>
            <w:shd w:fill="D9E2F3" w:val="clear"/>
            <w:tcMar>
              <w:top w:type="dxa" w:w="60"/>
              <w:left w:type="dxa" w:w="100"/>
              <w:bottom w:type="dxa" w:w="60"/>
              <w:right w:type="dxa" w:w="100"/>
            </w:tcMar>
            <w:vAlign w:val="center"/>
          </w:tcPr>
          <w:p>
            <w:pPr>
              <w:jc w:val="left"/>
            </w:pPr>
            <w:r>
              <w:rPr>
                <w:b/>
                <w:bCs/>
                <w:sz w:val="20"/>
                <w:szCs w:val="20"/>
              </w:rPr>
              <w:t xml:space="preserve">Range</w:t>
            </w:r>
          </w:p>
        </w:tc>
        <w:tc>
          <w:tcPr>
            <w:tcW w:type="dxa" w:w="3950"/>
            <w:shd w:fill="D9E2F3" w:val="clear"/>
            <w:tcMar>
              <w:top w:type="dxa" w:w="60"/>
              <w:left w:type="dxa" w:w="100"/>
              <w:bottom w:type="dxa" w:w="60"/>
              <w:right w:type="dxa" w:w="100"/>
            </w:tcMar>
            <w:vAlign w:val="center"/>
          </w:tcPr>
          <w:p>
            <w:pPr>
              <w:jc w:val="left"/>
            </w:pPr>
            <w:r>
              <w:rPr>
                <w:b/>
                <w:bCs/>
                <w:sz w:val="20"/>
                <w:szCs w:val="20"/>
              </w:rPr>
              <w:t xml:space="preserve">Meaning</w:t>
            </w:r>
          </w:p>
        </w:tc>
      </w:tr>
      <w:tr>
        <w:tc>
          <w:tcPr>
            <w:tcW w:type="dxa" w:w="1400"/>
            <w:tcMar>
              <w:top w:type="dxa" w:w="60"/>
              <w:left w:type="dxa" w:w="100"/>
              <w:bottom w:type="dxa" w:w="60"/>
              <w:right w:type="dxa" w:w="100"/>
            </w:tcMar>
            <w:vAlign w:val="center"/>
          </w:tcPr>
          <w:p>
            <w:pPr>
              <w:jc w:val="left"/>
            </w:pPr>
            <w:r>
              <w:rPr>
                <w:b/>
                <w:bCs/>
                <w:color w:val="2E7D32"/>
                <w:sz w:val="20"/>
                <w:szCs w:val="20"/>
              </w:rPr>
              <w:t xml:space="preserve">A</w:t>
            </w:r>
          </w:p>
        </w:tc>
        <w:tc>
          <w:tcPr>
            <w:tcW w:type="dxa" w:w="2000"/>
            <w:tcMar>
              <w:top w:type="dxa" w:w="60"/>
              <w:left w:type="dxa" w:w="100"/>
              <w:bottom w:type="dxa" w:w="60"/>
              <w:right w:type="dxa" w:w="100"/>
            </w:tcMar>
            <w:vAlign w:val="center"/>
          </w:tcPr>
          <w:p>
            <w:pPr>
              <w:jc w:val="left"/>
            </w:pPr>
            <w:r>
              <w:rPr>
                <w:b w:val="false"/>
                <w:bCs w:val="false"/>
                <w:sz w:val="20"/>
                <w:szCs w:val="20"/>
              </w:rPr>
              <w:t xml:space="preserve">Strong</w:t>
            </w:r>
          </w:p>
        </w:tc>
        <w:tc>
          <w:tcPr>
            <w:tcW w:type="dxa" w:w="2000"/>
            <w:tcMar>
              <w:top w:type="dxa" w:w="60"/>
              <w:left w:type="dxa" w:w="100"/>
              <w:bottom w:type="dxa" w:w="60"/>
              <w:right w:type="dxa" w:w="100"/>
            </w:tcMar>
            <w:vAlign w:val="center"/>
          </w:tcPr>
          <w:p>
            <w:pPr>
              <w:jc w:val="left"/>
            </w:pPr>
            <w:r>
              <w:rPr>
                <w:b w:val="false"/>
                <w:bCs w:val="false"/>
                <w:sz w:val="20"/>
                <w:szCs w:val="20"/>
              </w:rPr>
              <w:t xml:space="preserve">85–100</w:t>
            </w:r>
          </w:p>
        </w:tc>
        <w:tc>
          <w:tcPr>
            <w:tcW w:type="dxa" w:w="3950"/>
            <w:tcMar>
              <w:top w:type="dxa" w:w="60"/>
              <w:left w:type="dxa" w:w="100"/>
              <w:bottom w:type="dxa" w:w="60"/>
              <w:right w:type="dxa" w:w="100"/>
            </w:tcMar>
            <w:vAlign w:val="center"/>
          </w:tcPr>
          <w:p>
            <w:pPr>
              <w:jc w:val="left"/>
            </w:pPr>
            <w:r>
              <w:rPr>
                <w:b w:val="false"/>
                <w:bCs w:val="false"/>
                <w:sz w:val="20"/>
                <w:szCs w:val="20"/>
              </w:rPr>
              <w:t xml:space="preserve">Strong across financial strength, compliance, and delivery.</w:t>
            </w:r>
          </w:p>
        </w:tc>
      </w:tr>
      <w:tr>
        <w:tc>
          <w:tcPr>
            <w:tcW w:type="dxa" w:w="1400"/>
            <w:tcMar>
              <w:top w:type="dxa" w:w="60"/>
              <w:left w:type="dxa" w:w="100"/>
              <w:bottom w:type="dxa" w:w="60"/>
              <w:right w:type="dxa" w:w="100"/>
            </w:tcMar>
            <w:vAlign w:val="center"/>
          </w:tcPr>
          <w:p>
            <w:pPr>
              <w:jc w:val="left"/>
            </w:pPr>
            <w:r>
              <w:rPr>
                <w:b/>
                <w:bCs/>
                <w:color w:val="B8860B"/>
                <w:sz w:val="20"/>
                <w:szCs w:val="20"/>
              </w:rPr>
              <w:t xml:space="preserve">B</w:t>
            </w:r>
          </w:p>
        </w:tc>
        <w:tc>
          <w:tcPr>
            <w:tcW w:type="dxa" w:w="2000"/>
            <w:tcMar>
              <w:top w:type="dxa" w:w="60"/>
              <w:left w:type="dxa" w:w="100"/>
              <w:bottom w:type="dxa" w:w="60"/>
              <w:right w:type="dxa" w:w="100"/>
            </w:tcMar>
            <w:vAlign w:val="center"/>
          </w:tcPr>
          <w:p>
            <w:pPr>
              <w:jc w:val="left"/>
            </w:pPr>
            <w:r>
              <w:rPr>
                <w:b w:val="false"/>
                <w:bCs w:val="false"/>
                <w:sz w:val="20"/>
                <w:szCs w:val="20"/>
              </w:rPr>
              <w:t xml:space="preserve">Adequate</w:t>
            </w:r>
          </w:p>
        </w:tc>
        <w:tc>
          <w:tcPr>
            <w:tcW w:type="dxa" w:w="2000"/>
            <w:tcMar>
              <w:top w:type="dxa" w:w="60"/>
              <w:left w:type="dxa" w:w="100"/>
              <w:bottom w:type="dxa" w:w="60"/>
              <w:right w:type="dxa" w:w="100"/>
            </w:tcMar>
            <w:vAlign w:val="center"/>
          </w:tcPr>
          <w:p>
            <w:pPr>
              <w:jc w:val="left"/>
            </w:pPr>
            <w:r>
              <w:rPr>
                <w:b w:val="false"/>
                <w:bCs w:val="false"/>
                <w:sz w:val="20"/>
                <w:szCs w:val="20"/>
              </w:rPr>
              <w:t xml:space="preserve">70–84</w:t>
            </w:r>
          </w:p>
        </w:tc>
        <w:tc>
          <w:tcPr>
            <w:tcW w:type="dxa" w:w="3950"/>
            <w:tcMar>
              <w:top w:type="dxa" w:w="60"/>
              <w:left w:type="dxa" w:w="100"/>
              <w:bottom w:type="dxa" w:w="60"/>
              <w:right w:type="dxa" w:w="100"/>
            </w:tcMar>
            <w:vAlign w:val="center"/>
          </w:tcPr>
          <w:p>
            <w:pPr>
              <w:jc w:val="left"/>
            </w:pPr>
            <w:r>
              <w:rPr>
                <w:b w:val="false"/>
                <w:bCs w:val="false"/>
                <w:sz w:val="20"/>
                <w:szCs w:val="20"/>
              </w:rPr>
              <w:t xml:space="preserve">Acceptable overall — check the pillar breakdown.</w:t>
            </w:r>
          </w:p>
        </w:tc>
      </w:tr>
      <w:tr>
        <w:tc>
          <w:tcPr>
            <w:tcW w:type="dxa" w:w="1400"/>
            <w:tcMar>
              <w:top w:type="dxa" w:w="60"/>
              <w:left w:type="dxa" w:w="100"/>
              <w:bottom w:type="dxa" w:w="60"/>
              <w:right w:type="dxa" w:w="100"/>
            </w:tcMar>
            <w:vAlign w:val="center"/>
          </w:tcPr>
          <w:p>
            <w:pPr>
              <w:jc w:val="left"/>
            </w:pPr>
            <w:r>
              <w:rPr>
                <w:b/>
                <w:bCs/>
                <w:color w:val="B8860B"/>
                <w:sz w:val="20"/>
                <w:szCs w:val="20"/>
              </w:rPr>
              <w:t xml:space="preserve">C</w:t>
            </w:r>
          </w:p>
        </w:tc>
        <w:tc>
          <w:tcPr>
            <w:tcW w:type="dxa" w:w="2000"/>
            <w:tcMar>
              <w:top w:type="dxa" w:w="60"/>
              <w:left w:type="dxa" w:w="100"/>
              <w:bottom w:type="dxa" w:w="60"/>
              <w:right w:type="dxa" w:w="100"/>
            </w:tcMar>
            <w:vAlign w:val="center"/>
          </w:tcPr>
          <w:p>
            <w:pPr>
              <w:jc w:val="left"/>
            </w:pPr>
            <w:r>
              <w:rPr>
                <w:b w:val="false"/>
                <w:bCs w:val="false"/>
                <w:sz w:val="20"/>
                <w:szCs w:val="20"/>
              </w:rPr>
              <w:t xml:space="preserve">Weak</w:t>
            </w:r>
          </w:p>
        </w:tc>
        <w:tc>
          <w:tcPr>
            <w:tcW w:type="dxa" w:w="2000"/>
            <w:tcMar>
              <w:top w:type="dxa" w:w="60"/>
              <w:left w:type="dxa" w:w="100"/>
              <w:bottom w:type="dxa" w:w="60"/>
              <w:right w:type="dxa" w:w="100"/>
            </w:tcMar>
            <w:vAlign w:val="center"/>
          </w:tcPr>
          <w:p>
            <w:pPr>
              <w:jc w:val="left"/>
            </w:pPr>
            <w:r>
              <w:rPr>
                <w:b w:val="false"/>
                <w:bCs w:val="false"/>
                <w:sz w:val="20"/>
                <w:szCs w:val="20"/>
              </w:rPr>
              <w:t xml:space="preserve">50–69</w:t>
            </w:r>
          </w:p>
        </w:tc>
        <w:tc>
          <w:tcPr>
            <w:tcW w:type="dxa" w:w="3950"/>
            <w:tcMar>
              <w:top w:type="dxa" w:w="60"/>
              <w:left w:type="dxa" w:w="100"/>
              <w:bottom w:type="dxa" w:w="60"/>
              <w:right w:type="dxa" w:w="100"/>
            </w:tcMar>
            <w:vAlign w:val="center"/>
          </w:tcPr>
          <w:p>
            <w:pPr>
              <w:jc w:val="left"/>
            </w:pPr>
            <w:r>
              <w:rPr>
                <w:b w:val="false"/>
                <w:bCs w:val="false"/>
                <w:sz w:val="20"/>
                <w:szCs w:val="20"/>
              </w:rPr>
              <w:t xml:space="preserve">Weak on a major pillar, or capped there by an Imminent Red Flag.</w:t>
            </w:r>
          </w:p>
        </w:tc>
      </w:tr>
      <w:tr>
        <w:tc>
          <w:tcPr>
            <w:tcW w:type="dxa" w:w="1400"/>
            <w:tcMar>
              <w:top w:type="dxa" w:w="60"/>
              <w:left w:type="dxa" w:w="100"/>
              <w:bottom w:type="dxa" w:w="60"/>
              <w:right w:type="dxa" w:w="100"/>
            </w:tcMar>
            <w:vAlign w:val="center"/>
          </w:tcPr>
          <w:p>
            <w:pPr>
              <w:jc w:val="left"/>
            </w:pPr>
            <w:r>
              <w:rPr>
                <w:b/>
                <w:bCs/>
                <w:color w:val="C00000"/>
                <w:sz w:val="20"/>
                <w:szCs w:val="20"/>
              </w:rPr>
              <w:t xml:space="preserve">D</w:t>
            </w:r>
          </w:p>
        </w:tc>
        <w:tc>
          <w:tcPr>
            <w:tcW w:type="dxa" w:w="2000"/>
            <w:tcMar>
              <w:top w:type="dxa" w:w="60"/>
              <w:left w:type="dxa" w:w="100"/>
              <w:bottom w:type="dxa" w:w="60"/>
              <w:right w:type="dxa" w:w="100"/>
            </w:tcMar>
            <w:vAlign w:val="center"/>
          </w:tcPr>
          <w:p>
            <w:pPr>
              <w:jc w:val="left"/>
            </w:pPr>
            <w:r>
              <w:rPr>
                <w:b w:val="false"/>
                <w:bCs w:val="false"/>
                <w:sz w:val="20"/>
                <w:szCs w:val="20"/>
              </w:rPr>
              <w:t xml:space="preserve">High Risk</w:t>
            </w:r>
          </w:p>
        </w:tc>
        <w:tc>
          <w:tcPr>
            <w:tcW w:type="dxa" w:w="2000"/>
            <w:tcMar>
              <w:top w:type="dxa" w:w="60"/>
              <w:left w:type="dxa" w:w="100"/>
              <w:bottom w:type="dxa" w:w="60"/>
              <w:right w:type="dxa" w:w="100"/>
            </w:tcMar>
            <w:vAlign w:val="center"/>
          </w:tcPr>
          <w:p>
            <w:pPr>
              <w:jc w:val="left"/>
            </w:pPr>
            <w:r>
              <w:rPr>
                <w:b w:val="false"/>
                <w:bCs w:val="false"/>
                <w:sz w:val="20"/>
                <w:szCs w:val="20"/>
              </w:rPr>
              <w:t xml:space="preserve">&lt; 50</w:t>
            </w:r>
          </w:p>
        </w:tc>
        <w:tc>
          <w:tcPr>
            <w:tcW w:type="dxa" w:w="3950"/>
            <w:tcMar>
              <w:top w:type="dxa" w:w="60"/>
              <w:left w:type="dxa" w:w="100"/>
              <w:bottom w:type="dxa" w:w="60"/>
              <w:right w:type="dxa" w:w="100"/>
            </w:tcMar>
            <w:vAlign w:val="center"/>
          </w:tcPr>
          <w:p>
            <w:pPr>
              <w:jc w:val="left"/>
            </w:pPr>
            <w:r>
              <w:rPr>
                <w:b w:val="false"/>
                <w:bCs w:val="false"/>
                <w:sz w:val="20"/>
                <w:szCs w:val="20"/>
              </w:rPr>
              <w:t xml:space="preserve">Weak across multiple pillars.</w:t>
            </w:r>
          </w:p>
        </w:tc>
      </w:tr>
    </w:tbl>
    <w:p>
      <w:pPr>
        <w:spacing w:after="160"/>
      </w:pPr>
      <w:r>
        <w:rPr>
          <w:i/>
          <w:iCs/>
        </w:rPr>
        <w:t xml:space="preserve">Composite of four pillars, always shown alongside the grade: Financial Strength (40%), Legal &amp; Compliance Record (30%), Delivery Track Record (20%), Data Confidence (10%). Any Imminent Red Flag anywhere in the Charter caps the grade at C, regardless of the math.</w:t>
      </w:r>
    </w:p>
    <w:p>
      <w:pPr>
        <w:pStyle w:val="Heading1"/>
        <w:spacing w:after="140" w:before="280"/>
      </w:pPr>
      <w:r>
        <w:t xml:space="preserve">7. Data Authenticity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D9E2F3" w:val="clear"/>
            <w:tcMar>
              <w:top w:type="dxa" w:w="60"/>
              <w:left w:type="dxa" w:w="100"/>
              <w:bottom w:type="dxa" w:w="60"/>
              <w:right w:type="dxa" w:w="100"/>
            </w:tcMar>
            <w:vAlign w:val="center"/>
          </w:tcPr>
          <w:p>
            <w:pPr>
              <w:jc w:val="left"/>
            </w:pPr>
            <w:r>
              <w:rPr>
                <w:b/>
                <w:bCs/>
                <w:sz w:val="20"/>
                <w:szCs w:val="20"/>
              </w:rPr>
              <w:t xml:space="preserve">Band</w:t>
            </w:r>
          </w:p>
        </w:tc>
        <w:tc>
          <w:tcPr>
            <w:tcW w:type="dxa" w:w="2000"/>
            <w:shd w:fill="D9E2F3" w:val="clear"/>
            <w:tcMar>
              <w:top w:type="dxa" w:w="60"/>
              <w:left w:type="dxa" w:w="100"/>
              <w:bottom w:type="dxa" w:w="60"/>
              <w:right w:type="dxa" w:w="100"/>
            </w:tcMar>
            <w:vAlign w:val="center"/>
          </w:tcPr>
          <w:p>
            <w:pPr>
              <w:jc w:val="left"/>
            </w:pPr>
            <w:r>
              <w:rPr>
                <w:b/>
                <w:bCs/>
                <w:sz w:val="20"/>
                <w:szCs w:val="20"/>
              </w:rPr>
              <w:t xml:space="preserve">Range</w:t>
            </w:r>
          </w:p>
        </w:tc>
        <w:tc>
          <w:tcPr>
            <w:tcW w:type="dxa" w:w="5350"/>
            <w:shd w:fill="D9E2F3" w:val="clear"/>
            <w:tcMar>
              <w:top w:type="dxa" w:w="60"/>
              <w:left w:type="dxa" w:w="100"/>
              <w:bottom w:type="dxa" w:w="60"/>
              <w:right w:type="dxa" w:w="100"/>
            </w:tcMar>
            <w:vAlign w:val="center"/>
          </w:tcPr>
          <w:p>
            <w:pPr>
              <w:jc w:val="left"/>
            </w:pPr>
            <w:r>
              <w:rPr>
                <w:b/>
                <w:bCs/>
                <w:sz w:val="20"/>
                <w:szCs w:val="20"/>
              </w:rPr>
              <w:t xml:space="preserve">Meaning</w:t>
            </w:r>
          </w:p>
        </w:tc>
      </w:tr>
      <w:tr>
        <w:tc>
          <w:tcPr>
            <w:tcW w:type="dxa" w:w="2000"/>
            <w:tcMar>
              <w:top w:type="dxa" w:w="60"/>
              <w:left w:type="dxa" w:w="100"/>
              <w:bottom w:type="dxa" w:w="60"/>
              <w:right w:type="dxa" w:w="100"/>
            </w:tcMar>
            <w:vAlign w:val="center"/>
          </w:tcPr>
          <w:p>
            <w:pPr>
              <w:jc w:val="left"/>
            </w:pPr>
            <w:r>
              <w:rPr>
                <w:b/>
                <w:bCs/>
                <w:color w:val="2E7D32"/>
                <w:sz w:val="20"/>
                <w:szCs w:val="20"/>
              </w:rPr>
              <w:t xml:space="preserve">High</w:t>
            </w:r>
          </w:p>
        </w:tc>
        <w:tc>
          <w:tcPr>
            <w:tcW w:type="dxa" w:w="2000"/>
            <w:tcMar>
              <w:top w:type="dxa" w:w="60"/>
              <w:left w:type="dxa" w:w="100"/>
              <w:bottom w:type="dxa" w:w="60"/>
              <w:right w:type="dxa" w:w="100"/>
            </w:tcMar>
            <w:vAlign w:val="center"/>
          </w:tcPr>
          <w:p>
            <w:pPr>
              <w:jc w:val="left"/>
            </w:pPr>
            <w:r>
              <w:rPr>
                <w:b w:val="false"/>
                <w:bCs w:val="false"/>
                <w:sz w:val="20"/>
                <w:szCs w:val="20"/>
              </w:rPr>
              <w:t xml:space="preserve">≥ 70</w:t>
            </w:r>
          </w:p>
        </w:tc>
        <w:tc>
          <w:tcPr>
            <w:tcW w:type="dxa" w:w="5350"/>
            <w:tcMar>
              <w:top w:type="dxa" w:w="60"/>
              <w:left w:type="dxa" w:w="100"/>
              <w:bottom w:type="dxa" w:w="60"/>
              <w:right w:type="dxa" w:w="100"/>
            </w:tcMar>
            <w:vAlign w:val="center"/>
          </w:tcPr>
          <w:p>
            <w:pPr>
              <w:jc w:val="left"/>
            </w:pPr>
            <w:r>
              <w:rPr>
                <w:b w:val="false"/>
                <w:bCs w:val="false"/>
                <w:sz w:val="20"/>
                <w:szCs w:val="20"/>
              </w:rPr>
              <w:t xml:space="preserve">Well-sourced, cross-corroborated, mostly re-verified.</w:t>
            </w:r>
          </w:p>
        </w:tc>
      </w:tr>
      <w:tr>
        <w:tc>
          <w:tcPr>
            <w:tcW w:type="dxa" w:w="2000"/>
            <w:tcMar>
              <w:top w:type="dxa" w:w="60"/>
              <w:left w:type="dxa" w:w="100"/>
              <w:bottom w:type="dxa" w:w="60"/>
              <w:right w:type="dxa" w:w="100"/>
            </w:tcMar>
            <w:vAlign w:val="center"/>
          </w:tcPr>
          <w:p>
            <w:pPr>
              <w:jc w:val="left"/>
            </w:pPr>
            <w:r>
              <w:rPr>
                <w:b/>
                <w:bCs/>
                <w:color w:val="B8860B"/>
                <w:sz w:val="20"/>
                <w:szCs w:val="20"/>
              </w:rPr>
              <w:t xml:space="preserve">Moderate</w:t>
            </w:r>
          </w:p>
        </w:tc>
        <w:tc>
          <w:tcPr>
            <w:tcW w:type="dxa" w:w="2000"/>
            <w:tcMar>
              <w:top w:type="dxa" w:w="60"/>
              <w:left w:type="dxa" w:w="100"/>
              <w:bottom w:type="dxa" w:w="60"/>
              <w:right w:type="dxa" w:w="100"/>
            </w:tcMar>
            <w:vAlign w:val="center"/>
          </w:tcPr>
          <w:p>
            <w:pPr>
              <w:jc w:val="left"/>
            </w:pPr>
            <w:r>
              <w:rPr>
                <w:b w:val="false"/>
                <w:bCs w:val="false"/>
                <w:sz w:val="20"/>
                <w:szCs w:val="20"/>
              </w:rPr>
              <w:t xml:space="preserve">≥ 45</w:t>
            </w:r>
          </w:p>
        </w:tc>
        <w:tc>
          <w:tcPr>
            <w:tcW w:type="dxa" w:w="5350"/>
            <w:tcMar>
              <w:top w:type="dxa" w:w="60"/>
              <w:left w:type="dxa" w:w="100"/>
              <w:bottom w:type="dxa" w:w="60"/>
              <w:right w:type="dxa" w:w="100"/>
            </w:tcMar>
            <w:vAlign w:val="center"/>
          </w:tcPr>
          <w:p>
            <w:pPr>
              <w:jc w:val="left"/>
            </w:pPr>
            <w:r>
              <w:rPr>
                <w:b w:val="false"/>
                <w:bCs w:val="false"/>
                <w:sz w:val="20"/>
                <w:szCs w:val="20"/>
              </w:rPr>
              <w:t xml:space="preserve">Reasonably sourced, with real gaps.</w:t>
            </w:r>
          </w:p>
        </w:tc>
      </w:tr>
      <w:tr>
        <w:tc>
          <w:tcPr>
            <w:tcW w:type="dxa" w:w="2000"/>
            <w:tcMar>
              <w:top w:type="dxa" w:w="60"/>
              <w:left w:type="dxa" w:w="100"/>
              <w:bottom w:type="dxa" w:w="60"/>
              <w:right w:type="dxa" w:w="100"/>
            </w:tcMar>
            <w:vAlign w:val="center"/>
          </w:tcPr>
          <w:p>
            <w:pPr>
              <w:jc w:val="left"/>
            </w:pPr>
            <w:r>
              <w:rPr>
                <w:b/>
                <w:bCs/>
                <w:color w:val="C00000"/>
                <w:sz w:val="20"/>
                <w:szCs w:val="20"/>
              </w:rPr>
              <w:t xml:space="preserve">Limited</w:t>
            </w:r>
          </w:p>
        </w:tc>
        <w:tc>
          <w:tcPr>
            <w:tcW w:type="dxa" w:w="2000"/>
            <w:tcMar>
              <w:top w:type="dxa" w:w="60"/>
              <w:left w:type="dxa" w:w="100"/>
              <w:bottom w:type="dxa" w:w="60"/>
              <w:right w:type="dxa" w:w="100"/>
            </w:tcMar>
            <w:vAlign w:val="center"/>
          </w:tcPr>
          <w:p>
            <w:pPr>
              <w:jc w:val="left"/>
            </w:pPr>
            <w:r>
              <w:rPr>
                <w:b w:val="false"/>
                <w:bCs w:val="false"/>
                <w:sz w:val="20"/>
                <w:szCs w:val="20"/>
              </w:rPr>
              <w:t xml:space="preserve">&lt; 45</w:t>
            </w:r>
          </w:p>
        </w:tc>
        <w:tc>
          <w:tcPr>
            <w:tcW w:type="dxa" w:w="5350"/>
            <w:tcMar>
              <w:top w:type="dxa" w:w="60"/>
              <w:left w:type="dxa" w:w="100"/>
              <w:bottom w:type="dxa" w:w="60"/>
              <w:right w:type="dxa" w:w="100"/>
            </w:tcMar>
            <w:vAlign w:val="center"/>
          </w:tcPr>
          <w:p>
            <w:pPr>
              <w:jc w:val="left"/>
            </w:pPr>
            <w:r>
              <w:rPr>
                <w:b w:val="false"/>
                <w:bCs w:val="false"/>
                <w:sz w:val="20"/>
                <w:szCs w:val="20"/>
              </w:rPr>
              <w:t xml:space="preserve">Thin sourcing — read the Gaps section before relying on specifics.</w:t>
            </w:r>
          </w:p>
        </w:tc>
      </w:tr>
    </w:tbl>
    <w:p>
      <w:pPr>
        <w:spacing w:after="160"/>
      </w:pPr>
      <w:r>
        <w:rPr>
          <w:i/>
          <w:iCs/>
        </w:rPr>
        <w:t xml:space="preserve">This scores how well-sourced the Charter's own claims are — not how safe the underlying project is. Project and promoter risk are read from the Overview and Developer Score, not from this page.</w:t>
      </w:r>
    </w:p>
    <w:p>
      <w:r>
        <w:br w:type="page"/>
      </w:r>
    </w:p>
    <w:p>
      <w:pPr>
        <w:pStyle w:val="Heading1"/>
        <w:spacing w:after="140" w:before="280"/>
      </w:pPr>
      <w:r>
        <w:t xml:space="preserve">8. Summary</w:t>
      </w:r>
    </w:p>
    <w:p>
      <w:pPr>
        <w:spacing w:after="160"/>
      </w:pPr>
      <w:r>
        <w:t xml:space="preserve">One document, one consistent rule: surface risk first, explain it next, and never let tier decide what the investment team is allowed to see.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2026-07-27T07:50:52.014Z</dcterms:created>
  <dcterms:modified xsi:type="dcterms:W3CDTF">2026-07-27T07:50:52.014Z</dcterms:modified>
</cp:coreProperties>
</file>

<file path=docProps/custom.xml><?xml version="1.0" encoding="utf-8"?>
<Properties xmlns="http://schemas.openxmlformats.org/officeDocument/2006/custom-properties" xmlns:vt="http://schemas.openxmlformats.org/officeDocument/2006/docPropsVTypes"/>
</file>