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i/>
          <w:iCs/>
          <w:color w:val="606060"/>
          <w:sz w:val="16"/>
          <w:szCs w:val="16"/>
        </w:rPr>
        <w:t xml:space="preserve">Branding note: Integrow logo asset (assets/integrow-logo.png) was not available in this working session — the header currently shows the text wordmark only. Swap in the real logo, top-right, before external circulation.</w:t>
      </w:r>
    </w:p>
    <w:p>
      <w:pPr>
        <w:spacing w:after="60"/>
        <w:jc w:val="center"/>
      </w:pPr>
      <w:r>
        <w:rPr>
          <w:b/>
          <w:bCs/>
          <w:color w:val="1F3864"/>
          <w:sz w:val="40"/>
          <w:szCs w:val="40"/>
        </w:rPr>
        <w:t xml:space="preserve">COMPANY CHARTER</w:t>
      </w:r>
    </w:p>
    <w:p>
      <w:pPr>
        <w:spacing w:after="40"/>
        <w:jc w:val="center"/>
      </w:pPr>
      <w:r>
        <w:rPr>
          <w:b/>
          <w:bCs/>
          <w:sz w:val="24"/>
          <w:szCs w:val="24"/>
        </w:rPr>
        <w:t xml:space="preserve">Project: Godrej Park Greens  |  Promoter: Godrej Skyline Developers Limited</w:t>
      </w:r>
    </w:p>
    <w:p>
      <w:pPr>
        <w:spacing w:after="40"/>
        <w:jc w:val="center"/>
      </w:pPr>
      <w:r>
        <w:rPr>
          <w:b/>
          <w:bCs/>
          <w:color w:val="C00000"/>
          <w:sz w:val="20"/>
          <w:szCs w:val="20"/>
        </w:rPr>
        <w:t xml:space="preserve">MahaRERA Registration P52100019639</w:t>
      </w:r>
    </w:p>
    <w:p>
      <w:pPr>
        <w:spacing w:after="400"/>
        <w:jc w:val="center"/>
      </w:pPr>
      <w:r>
        <w:rPr>
          <w:i/>
          <w:iCs/>
          <w:color w:val="606060"/>
          <w:sz w:val="18"/>
          <w:szCs w:val="18"/>
        </w:rPr>
        <w:t xml:space="preserve">Redesigned edition — Overview-first flow, per the Investment Team design (July 2026)</w:t>
      </w:r>
    </w:p>
    <w:p>
      <w:pPr>
        <w:pStyle w:val="Heading1"/>
        <w:spacing w:after="140" w:before="280"/>
      </w:pPr>
      <w:r>
        <w:t xml:space="preserve">1. Overview &amp; Flags</w:t>
      </w:r>
    </w:p>
    <w:p>
      <w:pPr>
        <w:spacing w:after="160"/>
      </w:pPr>
      <w:r>
        <w:t xml:space="preserve">Deal snapshot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c>
          <w:tcPr>
            <w:tcW w:type="dxa" w:w="2500"/>
            <w:shd w:fill="D9E2F3" w:val="clear"/>
            <w:tcMar>
              <w:top w:type="dxa" w:w="60"/>
              <w:left w:type="dxa" w:w="100"/>
              <w:bottom w:type="dxa" w:w="60"/>
              <w:right w:type="dxa" w:w="100"/>
            </w:tcMar>
            <w:vAlign w:val="center"/>
          </w:tcPr>
          <w:p>
            <w:pPr>
              <w:jc w:val="left"/>
            </w:pPr>
            <w:r>
              <w:rPr>
                <w:b/>
                <w:bCs/>
                <w:sz w:val="20"/>
                <w:szCs w:val="20"/>
              </w:rPr>
              <w:t xml:space="preserve">Project</w:t>
            </w:r>
          </w:p>
        </w:tc>
        <w:tc>
          <w:tcPr>
            <w:tcW w:type="dxa" w:w="6850"/>
            <w:tcMar>
              <w:top w:type="dxa" w:w="60"/>
              <w:left w:type="dxa" w:w="100"/>
              <w:bottom w:type="dxa" w:w="60"/>
              <w:right w:type="dxa" w:w="100"/>
            </w:tcMar>
            <w:vAlign w:val="center"/>
          </w:tcPr>
          <w:p>
            <w:pPr>
              <w:jc w:val="left"/>
            </w:pPr>
            <w:r>
              <w:rPr>
                <w:b w:val="false"/>
                <w:bCs w:val="false"/>
                <w:sz w:val="20"/>
                <w:szCs w:val="20"/>
              </w:rPr>
              <w:t xml:space="preserve">Godrej Park Greens — 7 buildings (B1–B7) plus an EWS component, Mamurdi, Taluka Haveli, District Pune (PCMC limits), pincode 412101</w:t>
            </w:r>
          </w:p>
        </w:tc>
      </w:tr>
      <w:tr>
        <w:tc>
          <w:tcPr>
            <w:tcW w:type="dxa" w:w="2500"/>
            <w:shd w:fill="D9E2F3" w:val="clear"/>
            <w:tcMar>
              <w:top w:type="dxa" w:w="60"/>
              <w:left w:type="dxa" w:w="100"/>
              <w:bottom w:type="dxa" w:w="60"/>
              <w:right w:type="dxa" w:w="100"/>
            </w:tcMar>
            <w:vAlign w:val="center"/>
          </w:tcPr>
          <w:p>
            <w:pPr>
              <w:jc w:val="left"/>
            </w:pPr>
            <w:r>
              <w:rPr>
                <w:b/>
                <w:bCs/>
                <w:sz w:val="20"/>
                <w:szCs w:val="20"/>
              </w:rPr>
              <w:t xml:space="preserve">Promoter</w:t>
            </w:r>
          </w:p>
        </w:tc>
        <w:tc>
          <w:tcPr>
            <w:tcW w:type="dxa" w:w="6850"/>
            <w:tcMar>
              <w:top w:type="dxa" w:w="60"/>
              <w:left w:type="dxa" w:w="100"/>
              <w:bottom w:type="dxa" w:w="60"/>
              <w:right w:type="dxa" w:w="100"/>
            </w:tcMar>
            <w:vAlign w:val="center"/>
          </w:tcPr>
          <w:p>
            <w:pPr>
              <w:jc w:val="left"/>
            </w:pPr>
            <w:r>
              <w:rPr>
                <w:b w:val="false"/>
                <w:bCs w:val="false"/>
                <w:sz w:val="20"/>
                <w:szCs w:val="20"/>
              </w:rPr>
              <w:t xml:space="preserve">Godrej Skyline Developers Limited (Godrej Properties group) — CIN U45309MH2016PLC287858</w:t>
            </w:r>
          </w:p>
        </w:tc>
      </w:tr>
      <w:tr>
        <w:tc>
          <w:tcPr>
            <w:tcW w:type="dxa" w:w="2500"/>
            <w:shd w:fill="D9E2F3" w:val="clear"/>
            <w:tcMar>
              <w:top w:type="dxa" w:w="60"/>
              <w:left w:type="dxa" w:w="100"/>
              <w:bottom w:type="dxa" w:w="60"/>
              <w:right w:type="dxa" w:w="100"/>
            </w:tcMar>
            <w:vAlign w:val="center"/>
          </w:tcPr>
          <w:p>
            <w:pPr>
              <w:jc w:val="left"/>
            </w:pPr>
            <w:r>
              <w:rPr>
                <w:b/>
                <w:bCs/>
                <w:sz w:val="20"/>
                <w:szCs w:val="20"/>
              </w:rPr>
              <w:t xml:space="preserve">RERA registration</w:t>
            </w:r>
          </w:p>
        </w:tc>
        <w:tc>
          <w:tcPr>
            <w:tcW w:type="dxa" w:w="6850"/>
            <w:tcMar>
              <w:top w:type="dxa" w:w="60"/>
              <w:left w:type="dxa" w:w="100"/>
              <w:bottom w:type="dxa" w:w="60"/>
              <w:right w:type="dxa" w:w="100"/>
            </w:tcMar>
            <w:vAlign w:val="center"/>
          </w:tcPr>
          <w:p>
            <w:pPr>
              <w:jc w:val="left"/>
            </w:pPr>
            <w:r>
              <w:rPr>
                <w:b w:val="false"/>
                <w:bCs w:val="false"/>
                <w:sz w:val="20"/>
                <w:szCs w:val="20"/>
              </w:rPr>
              <w:t xml:space="preserve">P52100019639 — approved 2019-02-20, status "Certificate Signed / New"</w:t>
            </w:r>
          </w:p>
        </w:tc>
      </w:tr>
      <w:tr>
        <w:tc>
          <w:tcPr>
            <w:tcW w:type="dxa" w:w="2500"/>
            <w:shd w:fill="D9E2F3" w:val="clear"/>
            <w:tcMar>
              <w:top w:type="dxa" w:w="60"/>
              <w:left w:type="dxa" w:w="100"/>
              <w:bottom w:type="dxa" w:w="60"/>
              <w:right w:type="dxa" w:w="100"/>
            </w:tcMar>
            <w:vAlign w:val="center"/>
          </w:tcPr>
          <w:p>
            <w:pPr>
              <w:jc w:val="left"/>
            </w:pPr>
            <w:r>
              <w:rPr>
                <w:b/>
                <w:bCs/>
                <w:sz w:val="20"/>
                <w:szCs w:val="20"/>
              </w:rPr>
              <w:t xml:space="preserve">Units</w:t>
            </w:r>
          </w:p>
        </w:tc>
        <w:tc>
          <w:tcPr>
            <w:tcW w:type="dxa" w:w="6850"/>
            <w:tcMar>
              <w:top w:type="dxa" w:w="60"/>
              <w:left w:type="dxa" w:w="100"/>
              <w:bottom w:type="dxa" w:w="60"/>
              <w:right w:type="dxa" w:w="100"/>
            </w:tcMar>
            <w:vAlign w:val="center"/>
          </w:tcPr>
          <w:p>
            <w:pPr>
              <w:jc w:val="left"/>
            </w:pPr>
            <w:r>
              <w:rPr>
                <w:b w:val="false"/>
                <w:bCs w:val="false"/>
                <w:sz w:val="20"/>
                <w:szCs w:val="20"/>
              </w:rPr>
              <w:t xml:space="preserve">1,210 total units; 1,194 sold (~98.7%)</w:t>
            </w:r>
          </w:p>
        </w:tc>
      </w:tr>
    </w:tbl>
    <w:p>
      <w:pPr>
        <w:spacing w:before="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8"/>
        <w:gridCol w:w="2338"/>
      </w:tblGrid>
      <w:tr>
        <w:tc>
          <w:tcPr>
            <w:tcW w:type="dxa" w:w="2337"/>
            <w:shd w:fill="FBDCDC" w:val="clear"/>
            <w:tcMar>
              <w:top w:type="dxa" w:w="100"/>
              <w:left w:type="dxa" w:w="80"/>
              <w:bottom w:type="dxa" w:w="100"/>
              <w:right w:type="dxa" w:w="80"/>
            </w:tcMar>
            <w:vAlign w:val="center"/>
          </w:tcPr>
          <w:p>
            <w:pPr>
              <w:spacing w:after="20" w:before="120"/>
              <w:jc w:val="center"/>
            </w:pPr>
            <w:r>
              <w:rPr>
                <w:b/>
                <w:bCs/>
                <w:color w:val="C00000"/>
                <w:sz w:val="40"/>
                <w:szCs w:val="40"/>
              </w:rPr>
              <w:t xml:space="preserve">D</w:t>
            </w:r>
          </w:p>
          <w:p>
            <w:pPr>
              <w:spacing w:after="20"/>
              <w:jc w:val="center"/>
            </w:pPr>
            <w:r>
              <w:rPr>
                <w:color w:val="606060"/>
                <w:sz w:val="16"/>
                <w:szCs w:val="16"/>
              </w:rPr>
              <w:t xml:space="preserve">High Risk · see Section 3</w:t>
            </w:r>
          </w:p>
          <w:p>
            <w:pPr>
              <w:spacing w:after="120"/>
              <w:jc w:val="center"/>
            </w:pPr>
            <w:r>
              <w:rPr>
                <w:b/>
                <w:bCs/>
                <w:color w:val="606060"/>
                <w:sz w:val="16"/>
                <w:szCs w:val="16"/>
              </w:rPr>
              <w:t xml:space="preserve">DEVELOPER SCORE</w:t>
            </w:r>
          </w:p>
        </w:tc>
        <w:tc>
          <w:tcPr>
            <w:tcW w:type="dxa" w:w="2337"/>
            <w:shd w:fill="FCE9C6" w:val="clear"/>
            <w:tcMar>
              <w:top w:type="dxa" w:w="100"/>
              <w:left w:type="dxa" w:w="80"/>
              <w:bottom w:type="dxa" w:w="100"/>
              <w:right w:type="dxa" w:w="80"/>
            </w:tcMar>
            <w:vAlign w:val="center"/>
          </w:tcPr>
          <w:p>
            <w:pPr>
              <w:spacing w:after="20" w:before="120"/>
              <w:jc w:val="center"/>
            </w:pPr>
            <w:r>
              <w:rPr>
                <w:b/>
                <w:bCs/>
                <w:color w:val="B8860B"/>
                <w:sz w:val="40"/>
                <w:szCs w:val="40"/>
              </w:rPr>
              <w:t xml:space="preserve">Moderate</w:t>
            </w:r>
          </w:p>
          <w:p>
            <w:pPr>
              <w:spacing w:after="20"/>
              <w:jc w:val="center"/>
            </w:pPr>
            <w:r>
              <w:rPr>
                <w:color w:val="606060"/>
                <w:sz w:val="16"/>
                <w:szCs w:val="16"/>
              </w:rPr>
              <w:t xml:space="preserve">52.9 / 100</w:t>
            </w:r>
          </w:p>
          <w:p>
            <w:pPr>
              <w:spacing w:after="120"/>
              <w:jc w:val="center"/>
            </w:pPr>
            <w:r>
              <w:rPr>
                <w:b/>
                <w:bCs/>
                <w:color w:val="606060"/>
                <w:sz w:val="16"/>
                <w:szCs w:val="16"/>
              </w:rPr>
              <w:t xml:space="preserve">DATA AUTHENTICITY</w:t>
            </w:r>
          </w:p>
        </w:tc>
        <w:tc>
          <w:tcPr>
            <w:tcW w:type="dxa" w:w="2337"/>
            <w:shd w:fill="FBDCDC" w:val="clear"/>
            <w:tcMar>
              <w:top w:type="dxa" w:w="100"/>
              <w:left w:type="dxa" w:w="80"/>
              <w:bottom w:type="dxa" w:w="100"/>
              <w:right w:type="dxa" w:w="80"/>
            </w:tcMar>
            <w:vAlign w:val="center"/>
          </w:tcPr>
          <w:p>
            <w:pPr>
              <w:spacing w:after="20" w:before="120"/>
              <w:jc w:val="center"/>
            </w:pPr>
            <w:r>
              <w:rPr>
                <w:b/>
                <w:bCs/>
                <w:color w:val="C00000"/>
                <w:sz w:val="40"/>
                <w:szCs w:val="40"/>
              </w:rPr>
              <w:t xml:space="preserve">4 · 4 · 4</w:t>
            </w:r>
          </w:p>
          <w:p>
            <w:pPr>
              <w:spacing w:after="20"/>
              <w:jc w:val="center"/>
            </w:pPr>
            <w:r>
              <w:rPr>
                <w:color w:val="606060"/>
                <w:sz w:val="16"/>
                <w:szCs w:val="16"/>
              </w:rPr>
              <w:t xml:space="preserve">flags raised</w:t>
            </w:r>
          </w:p>
          <w:p>
            <w:pPr>
              <w:spacing w:after="120"/>
              <w:jc w:val="center"/>
            </w:pPr>
            <w:r>
              <w:rPr>
                <w:b/>
                <w:bCs/>
                <w:color w:val="606060"/>
                <w:sz w:val="16"/>
                <w:szCs w:val="16"/>
              </w:rPr>
              <w:t xml:space="preserve">RED · STRUCTURAL · MONITOR</w:t>
            </w:r>
          </w:p>
        </w:tc>
        <w:tc>
          <w:tcPr>
            <w:tcW w:type="dxa" w:w="2337"/>
            <w:shd w:fill="FBDCDC" w:val="clear"/>
            <w:tcMar>
              <w:top w:type="dxa" w:w="100"/>
              <w:left w:type="dxa" w:w="80"/>
              <w:bottom w:type="dxa" w:w="100"/>
              <w:right w:type="dxa" w:w="80"/>
            </w:tcMar>
            <w:vAlign w:val="center"/>
          </w:tcPr>
          <w:p>
            <w:pPr>
              <w:spacing w:after="20" w:before="120"/>
              <w:jc w:val="center"/>
            </w:pPr>
            <w:r>
              <w:rPr>
                <w:b/>
                <w:bCs/>
                <w:color w:val="C00000"/>
                <w:sz w:val="40"/>
                <w:szCs w:val="40"/>
              </w:rPr>
              <w:t xml:space="preserve">Extended</w:t>
            </w:r>
          </w:p>
          <w:p>
            <w:pPr>
              <w:spacing w:after="20"/>
              <w:jc w:val="center"/>
            </w:pPr>
            <w:r>
              <w:rPr>
                <w:color w:val="606060"/>
                <w:sz w:val="16"/>
                <w:szCs w:val="16"/>
              </w:rPr>
              <w:t xml:space="preserve">2024 → 2027 → 2028</w:t>
            </w:r>
          </w:p>
          <w:p>
            <w:pPr>
              <w:spacing w:after="120"/>
              <w:jc w:val="center"/>
            </w:pPr>
            <w:r>
              <w:rPr>
                <w:b/>
                <w:bCs/>
                <w:color w:val="606060"/>
                <w:sz w:val="16"/>
                <w:szCs w:val="16"/>
              </w:rPr>
              <w:t xml:space="preserve">COMPLETION TIMELINE</w:t>
            </w:r>
          </w:p>
        </w:tc>
      </w:tr>
    </w:tbl>
    <w:p>
      <w:pPr>
        <w:spacing w:after="160"/>
      </w:pPr>
      <w:r>
        <w:rPr>
          <w:i/>
          <w:iCs/>
          <w:color w:val="606060"/>
          <w:sz w:val="18"/>
          <w:szCs w:val="18"/>
        </w:rPr>
        <w:t xml:space="preserve">Every figure above is drawn directly from the underlying facts already researched for this project (see Sections 3–9) — nothing here is a new data point, only a new arrangement of what this Charter already established.</w:t>
      </w:r>
    </w:p>
    <w:p>
      <w:pPr>
        <w:pStyle w:val="Heading2"/>
        <w:spacing w:after="140" w:before="280"/>
      </w:pPr>
      <w:r>
        <w:t xml:space="preserve">1.1 Imminent Red Flags (4) — act on these before proceeding</w:t>
      </w:r>
    </w:p>
    <w:p>
      <w:pPr>
        <w:pStyle w:val="ListParagraph"/>
        <w:numPr>
          <w:ilvl w:val="0"/>
          <w:numId w:val="1"/>
        </w:numPr>
        <w:spacing w:after="80"/>
      </w:pPr>
      <w:r>
        <w:t xml:space="preserve">Complaint volume: 67 total filings against this project (59 complaintDetails + 8 miscComplaintDetails) — above the Red threshold. Context that must be read alongside this: of the 35 complaints with a matched, downloaded order, 18 were dismissed and 4 were settled by conciliation — a majority of the adjudicated subset did not go against the promoter. Both facts belong together, not the count alone.</w:t>
      </w:r>
    </w:p>
    <w:p>
      <w:pPr>
        <w:pStyle w:val="ListParagraph"/>
        <w:numPr>
          <w:ilvl w:val="0"/>
          <w:numId w:val="1"/>
        </w:numPr>
        <w:spacing w:after="80"/>
      </w:pPr>
      <w:r>
        <w:t xml:space="preserve">Appeal volume: 18 appeals on record — above the Red threshold. Context that must be read alongside this: roughly 13 of these 18 were filed by the promoter itself against individual complainants (per the Executive Summary), not against the promoter — a materially different signal than 18 external challenges.</w:t>
      </w:r>
    </w:p>
    <w:p>
      <w:pPr>
        <w:pStyle w:val="ListParagraph"/>
        <w:numPr>
          <w:ilvl w:val="0"/>
          <w:numId w:val="1"/>
        </w:numPr>
        <w:spacing w:after="80"/>
      </w:pPr>
      <w:r>
        <w:t xml:space="preserve">Completion timeline: the original proposed completion date (2024-03-30) has been extended twice — to 2027-06-30 per the promoter's own August 2024 Form B, and further to 2028-03-30 per the live RERA record — against a project that is 98.7% sold. Nearly the entire buyer base is exposed to this delay.</w:t>
      </w:r>
    </w:p>
    <w:p>
      <w:pPr>
        <w:pStyle w:val="ListParagraph"/>
        <w:numPr>
          <w:ilvl w:val="0"/>
          <w:numId w:val="1"/>
        </w:numPr>
        <w:spacing w:after="80"/>
      </w:pPr>
      <w:r>
        <w:t xml:space="preserve">Approved/sanctioned built-up area — and therefore the implied FSI — could not be confirmed from any document opened this pass. This is one of the core figures an investment case is built on.</w:t>
      </w:r>
    </w:p>
    <w:p>
      <w:pPr>
        <w:pStyle w:val="Heading2"/>
        <w:spacing w:after="140" w:before="280"/>
      </w:pPr>
      <w:r>
        <w:t xml:space="preserve">1.2 Structural Flags (4) — standing characteristics, raise directly with the developer</w:t>
      </w:r>
    </w:p>
    <w:p>
      <w:pPr>
        <w:pStyle w:val="ListParagraph"/>
        <w:numPr>
          <w:ilvl w:val="0"/>
          <w:numId w:val="1"/>
        </w:numPr>
        <w:spacing w:after="80"/>
      </w:pPr>
      <w:r>
        <w:t xml:space="preserve">Credit rating and IBBI insolvency status were not checked in this Charter pass — a process gap, not a finding. Worth re-running given the promoter sits within the listed Godrej Properties group, where a public rating likely exists.</w:t>
      </w:r>
    </w:p>
    <w:p>
      <w:pPr>
        <w:pStyle w:val="ListParagraph"/>
        <w:numPr>
          <w:ilvl w:val="0"/>
          <w:numId w:val="1"/>
        </w:numPr>
        <w:spacing w:after="80"/>
      </w:pPr>
      <w:r>
        <w:t xml:space="preserve">Escrow sub-account (70%/30%) and Collection Account bank/branch details are not disclosed in any document reviewed — consistent with every Charter generated to date in this pipeline; effectively never public.</w:t>
      </w:r>
    </w:p>
    <w:p>
      <w:pPr>
        <w:pStyle w:val="ListParagraph"/>
        <w:numPr>
          <w:ilvl w:val="0"/>
          <w:numId w:val="1"/>
        </w:numPr>
        <w:spacing w:after="80"/>
      </w:pPr>
      <w:r>
        <w:t xml:space="preserve">The specific grounds homebuyers cite across the 67 complaint filings are not confirmed beyond one externally corroborated possession-delay complaint — a standing limitation of MahaRERA's public data (filing metadata only), not something a later pass is likely to close.</w:t>
      </w:r>
    </w:p>
    <w:p>
      <w:pPr>
        <w:pStyle w:val="ListParagraph"/>
        <w:numPr>
          <w:ilvl w:val="0"/>
          <w:numId w:val="1"/>
        </w:numPr>
        <w:spacing w:after="80"/>
      </w:pPr>
      <w:r>
        <w:t xml:space="preserve">No genuinely independent comparable project was confirmed within the intended 3–5 km radius — the closest, Yashada Dreamsong, sits 0.35 km away, well inside that band.</w:t>
      </w:r>
    </w:p>
    <w:p>
      <w:pPr>
        <w:pStyle w:val="Heading2"/>
        <w:spacing w:after="140" w:before="280"/>
      </w:pPr>
      <w:r>
        <w:t xml:space="preserve">1.3 Monitor Flags (4) — re-check on a future pass</w:t>
      </w:r>
    </w:p>
    <w:p>
      <w:pPr>
        <w:pStyle w:val="ListParagraph"/>
        <w:numPr>
          <w:ilvl w:val="0"/>
          <w:numId w:val="1"/>
        </w:numPr>
        <w:spacing w:after="80"/>
      </w:pPr>
      <w:r>
        <w:t xml:space="preserve">Whether the 18 appeals have reached final decisions or remain pending is unconfirmed.</w:t>
      </w:r>
    </w:p>
    <w:p>
      <w:pPr>
        <w:pStyle w:val="ListParagraph"/>
        <w:numPr>
          <w:ilvl w:val="0"/>
          <w:numId w:val="1"/>
        </w:numPr>
        <w:spacing w:after="80"/>
      </w:pPr>
      <w:r>
        <w:t xml:space="preserve">Per-building/wing floor and unit breakdowns are unconfirmed — worth a follow-up documents pass.</w:t>
      </w:r>
    </w:p>
    <w:p>
      <w:pPr>
        <w:pStyle w:val="ListParagraph"/>
        <w:numPr>
          <w:ilvl w:val="0"/>
          <w:numId w:val="1"/>
        </w:numPr>
        <w:spacing w:after="80"/>
      </w:pPr>
      <w:r>
        <w:t xml:space="preserve">Chikhali locality pricing conflicts by roughly 2x between two aggregators and is unreconciled.</w:t>
      </w:r>
    </w:p>
    <w:p>
      <w:pPr>
        <w:pStyle w:val="ListParagraph"/>
        <w:numPr>
          <w:ilvl w:val="0"/>
          <w:numId w:val="1"/>
        </w:numPr>
        <w:spacing w:after="80"/>
      </w:pPr>
      <w:r>
        <w:t xml:space="preserve">The land net_area figure's second-opinion verification could not run this pass (a tool authentication issue, not a content problem) — re-attempt once resolved.</w:t>
      </w:r>
    </w:p>
    <w:p>
      <w:pPr>
        <w:spacing w:after="160"/>
      </w:pPr>
      <w:r>
        <w:rPr>
          <w:b/>
          <w:bCs/>
        </w:rPr>
        <w:t xml:space="preserve">What to read next: 4 Imminent Red Flags, 4 Structural Flags, 4 Monitor Flags. See Section 4 (Compliance &amp; Legal Detail) and Section 3 (Counterparty) before proceeding.</w:t>
      </w:r>
    </w:p>
    <w:p>
      <w:r>
        <w:br w:type="page"/>
      </w:r>
    </w:p>
    <w:p>
      <w:pPr>
        <w:pStyle w:val="Heading1"/>
        <w:spacing w:after="140" w:before="280"/>
      </w:pPr>
      <w:r>
        <w:t xml:space="preserve">2. Executive Summary</w:t>
      </w:r>
    </w:p>
    <w:p>
      <w:pPr>
        <w:spacing w:after="160"/>
      </w:pPr>
      <w:r>
        <w:t xml:space="preserve">Godrej Park Greens is a residential project (7 buildings, B1-B7, plus an EWS component) on a 32,917 sqm phase plot at village Mamurdi, Taluka Haveli, District Pune, within Pimpri-Chinchwad Municipal Corporation limits, pincode 412101. MahaRERA registration P52100019639 was granted 2019-02-20; current status is "Certificate Signed" / "New", with 1,210 total units (1,194 already sold). Promoter: Godrej Skyline Developers Limited (Godrej Properties group), CIN U45309MH2016PLC287858.</w:t>
      </w:r>
    </w:p>
    <w:p>
      <w:pPr>
        <w:spacing w:after="160"/>
      </w:pPr>
      <w:r>
        <w:rPr>
          <w:b/>
          <w:bCs/>
        </w:rPr>
        <w:t xml:space="preserve">MATERIAL FINDING, stated up front: the project's original proposed completion date (2024-03-30) has been extended more than once — to 30 June 2027 per the Promoter's own Form B declaration (executed August 2024), and further to 30 March 2028 per the live RERA record consulted for this research — and the project carries an unusually high volume of homebuyer complaints (67 total complaint-category filings) and appeals (18) on record, heavily concentrated in 2025-2026, with the Promoter itself having filed roughly 13 of those appeals against individual complainants in late April 2026. This pattern is externally corroborated by a public complaint describing possession "delayed to 2028 from 2023." Land title is separately confirmed clear via a 2018 legal due diligence report, subject to two disclosed historical caveats on an unrelated sub-parcel.</w:t>
      </w:r>
    </w:p>
    <w:p>
      <w:pPr>
        <w:pStyle w:val="Heading1"/>
        <w:spacing w:after="140" w:before="280"/>
      </w:pPr>
      <w:r>
        <w:t xml:space="preserve">3. Counterparty — Corporate Identity, Standing &amp; Developer Score</w:t>
      </w:r>
    </w:p>
    <w:p>
      <w:pPr>
        <w:pStyle w:val="Heading2"/>
        <w:spacing w:after="140" w:before="280"/>
      </w:pPr>
      <w:r>
        <w:t xml:space="preserve">3.1 Corporate identity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c>
          <w:tcPr>
            <w:tcW w:type="dxa" w:w="2500"/>
            <w:shd w:fill="D9E2F3" w:val="clear"/>
            <w:tcMar>
              <w:top w:type="dxa" w:w="60"/>
              <w:left w:type="dxa" w:w="100"/>
              <w:bottom w:type="dxa" w:w="60"/>
              <w:right w:type="dxa" w:w="100"/>
            </w:tcMar>
            <w:vAlign w:val="center"/>
          </w:tcPr>
          <w:p>
            <w:pPr>
              <w:jc w:val="left"/>
            </w:pPr>
            <w:r>
              <w:rPr>
                <w:b/>
                <w:bCs/>
                <w:sz w:val="20"/>
                <w:szCs w:val="20"/>
              </w:rPr>
              <w:t xml:space="preserve">Promoter</w:t>
            </w:r>
          </w:p>
        </w:tc>
        <w:tc>
          <w:tcPr>
            <w:tcW w:type="dxa" w:w="6850"/>
            <w:tcMar>
              <w:top w:type="dxa" w:w="60"/>
              <w:left w:type="dxa" w:w="100"/>
              <w:bottom w:type="dxa" w:w="60"/>
              <w:right w:type="dxa" w:w="100"/>
            </w:tcMar>
            <w:vAlign w:val="center"/>
          </w:tcPr>
          <w:p>
            <w:pPr>
              <w:jc w:val="left"/>
            </w:pPr>
            <w:r>
              <w:rPr>
                <w:b w:val="false"/>
                <w:bCs w:val="false"/>
                <w:sz w:val="20"/>
                <w:szCs w:val="20"/>
              </w:rPr>
              <w:t xml:space="preserve">Godrej Skyline Developers Limited</w:t>
            </w:r>
          </w:p>
        </w:tc>
      </w:tr>
      <w:tr>
        <w:tc>
          <w:tcPr>
            <w:tcW w:type="dxa" w:w="2500"/>
            <w:shd w:fill="D9E2F3" w:val="clear"/>
            <w:tcMar>
              <w:top w:type="dxa" w:w="60"/>
              <w:left w:type="dxa" w:w="100"/>
              <w:bottom w:type="dxa" w:w="60"/>
              <w:right w:type="dxa" w:w="100"/>
            </w:tcMar>
            <w:vAlign w:val="center"/>
          </w:tcPr>
          <w:p>
            <w:pPr>
              <w:jc w:val="left"/>
            </w:pPr>
            <w:r>
              <w:rPr>
                <w:b/>
                <w:bCs/>
                <w:sz w:val="20"/>
                <w:szCs w:val="20"/>
              </w:rPr>
              <w:t xml:space="preserve">Entity type</w:t>
            </w:r>
          </w:p>
        </w:tc>
        <w:tc>
          <w:tcPr>
            <w:tcW w:type="dxa" w:w="6850"/>
            <w:tcMar>
              <w:top w:type="dxa" w:w="60"/>
              <w:left w:type="dxa" w:w="100"/>
              <w:bottom w:type="dxa" w:w="60"/>
              <w:right w:type="dxa" w:w="100"/>
            </w:tcMar>
            <w:vAlign w:val="center"/>
          </w:tcPr>
          <w:p>
            <w:pPr>
              <w:jc w:val="left"/>
            </w:pPr>
            <w:r>
              <w:rPr>
                <w:b w:val="false"/>
                <w:bCs w:val="false"/>
                <w:sz w:val="20"/>
                <w:szCs w:val="20"/>
              </w:rPr>
              <w:t xml:space="preserve">Public Limited Company (converted from Private Limited; MCA CIN suffix changed from ...PTC287858 to ...PLC287858 under the same registration number) — independently re-confirmed live via ZaubaCorp on 2026-07-20</w:t>
            </w:r>
          </w:p>
        </w:tc>
      </w:tr>
      <w:tr>
        <w:tc>
          <w:tcPr>
            <w:tcW w:type="dxa" w:w="2500"/>
            <w:shd w:fill="D9E2F3" w:val="clear"/>
            <w:tcMar>
              <w:top w:type="dxa" w:w="60"/>
              <w:left w:type="dxa" w:w="100"/>
              <w:bottom w:type="dxa" w:w="60"/>
              <w:right w:type="dxa" w:w="100"/>
            </w:tcMar>
            <w:vAlign w:val="center"/>
          </w:tcPr>
          <w:p>
            <w:pPr>
              <w:jc w:val="left"/>
            </w:pPr>
            <w:r>
              <w:rPr>
                <w:b/>
                <w:bCs/>
                <w:sz w:val="20"/>
                <w:szCs w:val="20"/>
              </w:rPr>
              <w:t xml:space="preserve">CIN</w:t>
            </w:r>
          </w:p>
        </w:tc>
        <w:tc>
          <w:tcPr>
            <w:tcW w:type="dxa" w:w="6850"/>
            <w:tcMar>
              <w:top w:type="dxa" w:w="60"/>
              <w:left w:type="dxa" w:w="100"/>
              <w:bottom w:type="dxa" w:w="60"/>
              <w:right w:type="dxa" w:w="100"/>
            </w:tcMar>
            <w:vAlign w:val="center"/>
          </w:tcPr>
          <w:p>
            <w:pPr>
              <w:jc w:val="left"/>
            </w:pPr>
            <w:r>
              <w:rPr>
                <w:b w:val="false"/>
                <w:bCs w:val="false"/>
                <w:sz w:val="20"/>
                <w:szCs w:val="20"/>
              </w:rPr>
              <w:t xml:space="preserve">U45309MH2016PLC287858 (incorporated 22 November 2016; ROC Mumbai)</w:t>
            </w:r>
          </w:p>
        </w:tc>
      </w:tr>
      <w:tr>
        <w:tc>
          <w:tcPr>
            <w:tcW w:type="dxa" w:w="2500"/>
            <w:shd w:fill="D9E2F3" w:val="clear"/>
            <w:tcMar>
              <w:top w:type="dxa" w:w="60"/>
              <w:left w:type="dxa" w:w="100"/>
              <w:bottom w:type="dxa" w:w="60"/>
              <w:right w:type="dxa" w:w="100"/>
            </w:tcMar>
            <w:vAlign w:val="center"/>
          </w:tcPr>
          <w:p>
            <w:pPr>
              <w:jc w:val="left"/>
            </w:pPr>
            <w:r>
              <w:rPr>
                <w:b/>
                <w:bCs/>
                <w:sz w:val="20"/>
                <w:szCs w:val="20"/>
              </w:rPr>
              <w:t xml:space="preserve">Registered office</w:t>
            </w:r>
          </w:p>
        </w:tc>
        <w:tc>
          <w:tcPr>
            <w:tcW w:type="dxa" w:w="6850"/>
            <w:tcMar>
              <w:top w:type="dxa" w:w="60"/>
              <w:left w:type="dxa" w:w="100"/>
              <w:bottom w:type="dxa" w:w="60"/>
              <w:right w:type="dxa" w:w="100"/>
            </w:tcMar>
            <w:vAlign w:val="center"/>
          </w:tcPr>
          <w:p>
            <w:pPr>
              <w:jc w:val="left"/>
            </w:pPr>
            <w:r>
              <w:rPr>
                <w:b w:val="false"/>
                <w:bCs w:val="false"/>
                <w:sz w:val="20"/>
                <w:szCs w:val="20"/>
              </w:rPr>
              <w:t xml:space="preserve">Godrej One, 5th Floor, Pirojshanagar, Eastern Express Highway, Vikhroli (East), Mumbai 400079 — identical across the RERA filing, MCA record, and the 2018 title report</w:t>
            </w:r>
          </w:p>
        </w:tc>
      </w:tr>
      <w:tr>
        <w:tc>
          <w:tcPr>
            <w:tcW w:type="dxa" w:w="2500"/>
            <w:shd w:fill="D9E2F3" w:val="clear"/>
            <w:tcMar>
              <w:top w:type="dxa" w:w="60"/>
              <w:left w:type="dxa" w:w="100"/>
              <w:bottom w:type="dxa" w:w="60"/>
              <w:right w:type="dxa" w:w="100"/>
            </w:tcMar>
            <w:vAlign w:val="center"/>
          </w:tcPr>
          <w:p>
            <w:pPr>
              <w:jc w:val="left"/>
            </w:pPr>
            <w:r>
              <w:rPr>
                <w:b/>
                <w:bCs/>
                <w:sz w:val="20"/>
                <w:szCs w:val="20"/>
              </w:rPr>
              <w:t xml:space="preserve">Directors</w:t>
            </w:r>
          </w:p>
        </w:tc>
        <w:tc>
          <w:tcPr>
            <w:tcW w:type="dxa" w:w="6850"/>
            <w:tcMar>
              <w:top w:type="dxa" w:w="60"/>
              <w:left w:type="dxa" w:w="100"/>
              <w:bottom w:type="dxa" w:w="60"/>
              <w:right w:type="dxa" w:w="100"/>
            </w:tcMar>
            <w:vAlign w:val="center"/>
          </w:tcPr>
          <w:p>
            <w:pPr>
              <w:jc w:val="left"/>
            </w:pPr>
            <w:r>
              <w:rPr>
                <w:b w:val="false"/>
                <w:bCs w:val="false"/>
                <w:sz w:val="20"/>
                <w:szCs w:val="20"/>
              </w:rPr>
              <w:t xml:space="preserve">Aspy Dady Cooper, Subhasish Pattanaik, Ranjan Kumar Sengupta — independently re-verified via ZaubaCorp on 2026-07-20</w:t>
            </w:r>
          </w:p>
        </w:tc>
      </w:tr>
      <w:tr>
        <w:tc>
          <w:tcPr>
            <w:tcW w:type="dxa" w:w="2500"/>
            <w:shd w:fill="D9E2F3" w:val="clear"/>
            <w:tcMar>
              <w:top w:type="dxa" w:w="60"/>
              <w:left w:type="dxa" w:w="100"/>
              <w:bottom w:type="dxa" w:w="60"/>
              <w:right w:type="dxa" w:w="100"/>
            </w:tcMar>
            <w:vAlign w:val="center"/>
          </w:tcPr>
          <w:p>
            <w:pPr>
              <w:jc w:val="left"/>
            </w:pPr>
            <w:r>
              <w:rPr>
                <w:b/>
                <w:bCs/>
                <w:sz w:val="20"/>
                <w:szCs w:val="20"/>
              </w:rPr>
              <w:t xml:space="preserve">Landowner</w:t>
            </w:r>
          </w:p>
        </w:tc>
        <w:tc>
          <w:tcPr>
            <w:tcW w:type="dxa" w:w="6850"/>
            <w:tcMar>
              <w:top w:type="dxa" w:w="60"/>
              <w:left w:type="dxa" w:w="100"/>
              <w:bottom w:type="dxa" w:w="60"/>
              <w:right w:type="dxa" w:w="100"/>
            </w:tcMar>
            <w:vAlign w:val="center"/>
          </w:tcPr>
          <w:p>
            <w:pPr>
              <w:jc w:val="left"/>
            </w:pPr>
            <w:r>
              <w:rPr>
                <w:b w:val="false"/>
                <w:bCs w:val="false"/>
                <w:sz w:val="20"/>
                <w:szCs w:val="20"/>
              </w:rPr>
              <w:t xml:space="preserve">Godrej Skyline Developers Limited (acquired freehold title from Peninsula Land Limited via a 2017-2018 Agreement to Sell / Deed of Conveyance chain; Godrej is in possession)</w:t>
            </w:r>
          </w:p>
        </w:tc>
      </w:tr>
    </w:tbl>
    <w:p>
      <w:pPr>
        <w:spacing w:after="160"/>
      </w:pPr>
      <w:r>
        <w:t xml:space="preserve">Corporate registry cross-check: ZaubaCorp (MCA data mirror) confirms Godrej Skyline Developers Limited, CIN U45309MH2016PLC287858, incorporated 22 November 2016, status Active, registered office matching the RERA filing exactly — a confirmed, sourced link, not an assumption.</w:t>
      </w:r>
    </w:p>
    <w:p>
      <w:pPr>
        <w:pStyle w:val="Heading2"/>
        <w:spacing w:after="140" w:before="280"/>
      </w:pPr>
      <w:r>
        <w:t xml:space="preserve">3.2 Credit rating &amp; insolvency status</w:t>
      </w:r>
    </w:p>
    <w:p>
      <w:pPr>
        <w:spacing w:after="160"/>
      </w:pPr>
      <w:r>
        <w:rPr>
          <w:b/>
          <w:bCs/>
          <w:color w:val="C00000"/>
        </w:rPr>
        <w:t xml:space="preserve">NOT CHECKED THIS PASS — a process gap. Neither an ICRA/Infomerics credit-rating lookup nor an IBBI insolvency check was run for this Charter. Given the promoter sits within the listed Godrej Properties group, a public credit rating for the parent or an affiliated financing entity likely exists — re-running this check is a recommended follow-up before this Charter is relied on for a Financial Strength view.</w:t>
      </w:r>
    </w:p>
    <w:p>
      <w:pPr>
        <w:pStyle w:val="Heading2"/>
        <w:spacing w:after="140" w:before="280"/>
      </w:pPr>
      <w:r>
        <w:t xml:space="preserve">3.3 Developer Score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1550"/>
        <w:gridCol w:w="4950"/>
      </w:tblGrid>
      <w:tr>
        <w:tc>
          <w:tcPr>
            <w:tcW w:type="dxa" w:w="2800"/>
            <w:shd w:fill="D9E2F3" w:val="clear"/>
            <w:tcMar>
              <w:top w:type="dxa" w:w="60"/>
              <w:left w:type="dxa" w:w="100"/>
              <w:bottom w:type="dxa" w:w="60"/>
              <w:right w:type="dxa" w:w="100"/>
            </w:tcMar>
            <w:vAlign w:val="center"/>
          </w:tcPr>
          <w:p>
            <w:pPr>
              <w:jc w:val="left"/>
            </w:pPr>
            <w:r>
              <w:rPr>
                <w:b/>
                <w:bCs/>
                <w:sz w:val="20"/>
                <w:szCs w:val="20"/>
              </w:rPr>
              <w:t xml:space="preserve">Pillar</w:t>
            </w:r>
          </w:p>
        </w:tc>
        <w:tc>
          <w:tcPr>
            <w:tcW w:type="dxa" w:w="1550"/>
            <w:shd w:fill="D9E2F3" w:val="clear"/>
            <w:tcMar>
              <w:top w:type="dxa" w:w="60"/>
              <w:left w:type="dxa" w:w="100"/>
              <w:bottom w:type="dxa" w:w="60"/>
              <w:right w:type="dxa" w:w="100"/>
            </w:tcMar>
            <w:vAlign w:val="center"/>
          </w:tcPr>
          <w:p>
            <w:pPr>
              <w:jc w:val="left"/>
            </w:pPr>
            <w:r>
              <w:rPr>
                <w:b/>
                <w:bCs/>
                <w:sz w:val="20"/>
                <w:szCs w:val="20"/>
              </w:rPr>
              <w:t xml:space="preserve">Score</w:t>
            </w:r>
          </w:p>
        </w:tc>
        <w:tc>
          <w:tcPr>
            <w:tcW w:type="dxa" w:w="4950"/>
            <w:shd w:fill="D9E2F3" w:val="clear"/>
            <w:tcMar>
              <w:top w:type="dxa" w:w="60"/>
              <w:left w:type="dxa" w:w="100"/>
              <w:bottom w:type="dxa" w:w="60"/>
              <w:right w:type="dxa" w:w="100"/>
            </w:tcMar>
            <w:vAlign w:val="center"/>
          </w:tcPr>
          <w:p>
            <w:pPr>
              <w:jc w:val="left"/>
            </w:pPr>
            <w:r>
              <w:rPr>
                <w:b/>
                <w:bCs/>
                <w:sz w:val="20"/>
                <w:szCs w:val="20"/>
              </w:rPr>
              <w:t xml:space="preserve">Basis</w:t>
            </w:r>
          </w:p>
        </w:tc>
      </w:tr>
      <w:tr>
        <w:tc>
          <w:tcPr>
            <w:tcW w:type="dxa" w:w="2800"/>
            <w:tcMar>
              <w:top w:type="dxa" w:w="60"/>
              <w:left w:type="dxa" w:w="100"/>
              <w:bottom w:type="dxa" w:w="60"/>
              <w:right w:type="dxa" w:w="100"/>
            </w:tcMar>
            <w:vAlign w:val="center"/>
          </w:tcPr>
          <w:p>
            <w:pPr>
              <w:jc w:val="left"/>
            </w:pPr>
            <w:r>
              <w:rPr>
                <w:b w:val="false"/>
                <w:bCs w:val="false"/>
                <w:sz w:val="20"/>
                <w:szCs w:val="20"/>
              </w:rPr>
              <w:t xml:space="preserve">Financial Strength (40%)</w:t>
            </w:r>
          </w:p>
        </w:tc>
        <w:tc>
          <w:tcPr>
            <w:tcW w:type="dxa" w:w="1550"/>
            <w:tcMar>
              <w:top w:type="dxa" w:w="60"/>
              <w:left w:type="dxa" w:w="100"/>
              <w:bottom w:type="dxa" w:w="60"/>
              <w:right w:type="dxa" w:w="100"/>
            </w:tcMar>
            <w:vAlign w:val="center"/>
          </w:tcPr>
          <w:p>
            <w:pPr>
              <w:jc w:val="left"/>
            </w:pPr>
            <w:r>
              <w:rPr>
                <w:b w:val="false"/>
                <w:bCs w:val="false"/>
                <w:color w:val="606060"/>
                <w:sz w:val="20"/>
                <w:szCs w:val="20"/>
              </w:rPr>
              <w:t xml:space="preserve">Not scored</w:t>
            </w:r>
          </w:p>
        </w:tc>
        <w:tc>
          <w:tcPr>
            <w:tcW w:type="dxa" w:w="4950"/>
            <w:tcMar>
              <w:top w:type="dxa" w:w="60"/>
              <w:left w:type="dxa" w:w="100"/>
              <w:bottom w:type="dxa" w:w="60"/>
              <w:right w:type="dxa" w:w="100"/>
            </w:tcMar>
            <w:vAlign w:val="center"/>
          </w:tcPr>
          <w:p>
            <w:pPr>
              <w:jc w:val="left"/>
            </w:pPr>
            <w:r>
              <w:rPr>
                <w:b w:val="false"/>
                <w:bCs w:val="false"/>
                <w:sz w:val="20"/>
                <w:szCs w:val="20"/>
              </w:rPr>
              <w:t xml:space="preserve">Credit rating and IBBI checks did not run this pass — excluded rather than guessed, weight renormalized across the remaining pillars.</w:t>
            </w:r>
          </w:p>
        </w:tc>
      </w:tr>
      <w:tr>
        <w:tc>
          <w:tcPr>
            <w:tcW w:type="dxa" w:w="2800"/>
            <w:tcMar>
              <w:top w:type="dxa" w:w="60"/>
              <w:left w:type="dxa" w:w="100"/>
              <w:bottom w:type="dxa" w:w="60"/>
              <w:right w:type="dxa" w:w="100"/>
            </w:tcMar>
            <w:vAlign w:val="center"/>
          </w:tcPr>
          <w:p>
            <w:pPr>
              <w:jc w:val="left"/>
            </w:pPr>
            <w:r>
              <w:rPr>
                <w:b w:val="false"/>
                <w:bCs w:val="false"/>
                <w:sz w:val="20"/>
                <w:szCs w:val="20"/>
              </w:rPr>
              <w:t xml:space="preserve">Legal &amp; Compliance Record (30%)</w:t>
            </w:r>
          </w:p>
        </w:tc>
        <w:tc>
          <w:tcPr>
            <w:tcW w:type="dxa" w:w="1550"/>
            <w:tcMar>
              <w:top w:type="dxa" w:w="60"/>
              <w:left w:type="dxa" w:w="100"/>
              <w:bottom w:type="dxa" w:w="60"/>
              <w:right w:type="dxa" w:w="100"/>
            </w:tcMar>
            <w:vAlign w:val="center"/>
          </w:tcPr>
          <w:p>
            <w:pPr>
              <w:jc w:val="left"/>
            </w:pPr>
            <w:r>
              <w:rPr>
                <w:b w:val="false"/>
                <w:bCs w:val="false"/>
                <w:color w:val="C00000"/>
                <w:sz w:val="20"/>
                <w:szCs w:val="20"/>
              </w:rPr>
              <w:t xml:space="preserve">~38 / 100</w:t>
            </w:r>
          </w:p>
        </w:tc>
        <w:tc>
          <w:tcPr>
            <w:tcW w:type="dxa" w:w="4950"/>
            <w:tcMar>
              <w:top w:type="dxa" w:w="60"/>
              <w:left w:type="dxa" w:w="100"/>
              <w:bottom w:type="dxa" w:w="60"/>
              <w:right w:type="dxa" w:w="100"/>
            </w:tcMar>
            <w:vAlign w:val="center"/>
          </w:tcPr>
          <w:p>
            <w:pPr>
              <w:jc w:val="left"/>
            </w:pPr>
            <w:r>
              <w:rPr>
                <w:b w:val="false"/>
                <w:bCs w:val="false"/>
                <w:sz w:val="20"/>
                <w:szCs w:val="20"/>
              </w:rPr>
              <w:t xml:space="preserve">Driven down by the complaint/appeal volumes and the twice-extended completion date (Section 1.1), moderated slightly by the dismissed-complaint context.</w:t>
            </w:r>
          </w:p>
        </w:tc>
      </w:tr>
      <w:tr>
        <w:tc>
          <w:tcPr>
            <w:tcW w:type="dxa" w:w="2800"/>
            <w:tcMar>
              <w:top w:type="dxa" w:w="60"/>
              <w:left w:type="dxa" w:w="100"/>
              <w:bottom w:type="dxa" w:w="60"/>
              <w:right w:type="dxa" w:w="100"/>
            </w:tcMar>
            <w:vAlign w:val="center"/>
          </w:tcPr>
          <w:p>
            <w:pPr>
              <w:jc w:val="left"/>
            </w:pPr>
            <w:r>
              <w:rPr>
                <w:b w:val="false"/>
                <w:bCs w:val="false"/>
                <w:sz w:val="20"/>
                <w:szCs w:val="20"/>
              </w:rPr>
              <w:t xml:space="preserve">Delivery Track Record (20%)</w:t>
            </w:r>
          </w:p>
        </w:tc>
        <w:tc>
          <w:tcPr>
            <w:tcW w:type="dxa" w:w="1550"/>
            <w:tcMar>
              <w:top w:type="dxa" w:w="60"/>
              <w:left w:type="dxa" w:w="100"/>
              <w:bottom w:type="dxa" w:w="60"/>
              <w:right w:type="dxa" w:w="100"/>
            </w:tcMar>
            <w:vAlign w:val="center"/>
          </w:tcPr>
          <w:p>
            <w:pPr>
              <w:jc w:val="left"/>
            </w:pPr>
            <w:r>
              <w:rPr>
                <w:b w:val="false"/>
                <w:bCs w:val="false"/>
                <w:color w:val="606060"/>
                <w:sz w:val="20"/>
                <w:szCs w:val="20"/>
              </w:rPr>
              <w:t xml:space="preserve">Not scored</w:t>
            </w:r>
          </w:p>
        </w:tc>
        <w:tc>
          <w:tcPr>
            <w:tcW w:type="dxa" w:w="4950"/>
            <w:tcMar>
              <w:top w:type="dxa" w:w="60"/>
              <w:left w:type="dxa" w:w="100"/>
              <w:bottom w:type="dxa" w:w="60"/>
              <w:right w:type="dxa" w:w="100"/>
            </w:tcMar>
            <w:vAlign w:val="center"/>
          </w:tcPr>
          <w:p>
            <w:pPr>
              <w:jc w:val="left"/>
            </w:pPr>
            <w:r>
              <w:rPr>
                <w:b w:val="false"/>
                <w:bCs w:val="false"/>
                <w:sz w:val="20"/>
                <w:szCs w:val="20"/>
              </w:rPr>
              <w:t xml:space="preserve">Only one self-reported past-experience entry exists for this registration, showing on-time completion of an unspecified component (2023-03-31 proposed = actual) — difficult to reconcile with this same registration's own twice-extended completion date. Presented as-is, not scored, given the contradiction and n=1 sample.</w:t>
            </w:r>
          </w:p>
        </w:tc>
      </w:tr>
      <w:tr>
        <w:tc>
          <w:tcPr>
            <w:tcW w:type="dxa" w:w="2800"/>
            <w:tcMar>
              <w:top w:type="dxa" w:w="60"/>
              <w:left w:type="dxa" w:w="100"/>
              <w:bottom w:type="dxa" w:w="60"/>
              <w:right w:type="dxa" w:w="100"/>
            </w:tcMar>
            <w:vAlign w:val="center"/>
          </w:tcPr>
          <w:p>
            <w:pPr>
              <w:jc w:val="left"/>
            </w:pPr>
            <w:r>
              <w:rPr>
                <w:b w:val="false"/>
                <w:bCs w:val="false"/>
                <w:sz w:val="20"/>
                <w:szCs w:val="20"/>
              </w:rPr>
              <w:t xml:space="preserve">Data Confidence (10%)</w:t>
            </w:r>
          </w:p>
        </w:tc>
        <w:tc>
          <w:tcPr>
            <w:tcW w:type="dxa" w:w="1550"/>
            <w:tcMar>
              <w:top w:type="dxa" w:w="60"/>
              <w:left w:type="dxa" w:w="100"/>
              <w:bottom w:type="dxa" w:w="60"/>
              <w:right w:type="dxa" w:w="100"/>
            </w:tcMar>
            <w:vAlign w:val="center"/>
          </w:tcPr>
          <w:p>
            <w:pPr>
              <w:jc w:val="left"/>
            </w:pPr>
            <w:r>
              <w:rPr>
                <w:b w:val="false"/>
                <w:bCs w:val="false"/>
                <w:color w:val="B8860B"/>
                <w:sz w:val="20"/>
                <w:szCs w:val="20"/>
              </w:rPr>
              <w:t xml:space="preserve">52.9 / 100</w:t>
            </w:r>
          </w:p>
        </w:tc>
        <w:tc>
          <w:tcPr>
            <w:tcW w:type="dxa" w:w="4950"/>
            <w:tcMar>
              <w:top w:type="dxa" w:w="60"/>
              <w:left w:type="dxa" w:w="100"/>
              <w:bottom w:type="dxa" w:w="60"/>
              <w:right w:type="dxa" w:w="100"/>
            </w:tcMar>
            <w:vAlign w:val="center"/>
          </w:tcPr>
          <w:p>
            <w:pPr>
              <w:jc w:val="left"/>
            </w:pPr>
            <w:r>
              <w:rPr>
                <w:b w:val="false"/>
                <w:bCs w:val="false"/>
                <w:sz w:val="20"/>
                <w:szCs w:val="20"/>
              </w:rPr>
              <w:t xml:space="preserve">This Charter's own Data Authenticity score (Section 8) — Moderate band.</w:t>
            </w:r>
          </w:p>
        </w:tc>
      </w:tr>
    </w:tbl>
    <w:p>
      <w:pPr>
        <w:spacing w:after="160"/>
      </w:pPr>
      <w:r>
        <w:rPr>
          <w:b/>
          <w:bCs/>
        </w:rPr>
        <w:t xml:space="preserve">Composite (renormalized across Legal &amp; Compliance and Data Confidence only, the two scored pillars): approximately 41 / 100 — Grade D (High Risk). This sits below the Imminent-Red-Flag override's C cap already, so the override does not soften it: two pillars carry a genuine, unresolved risk signal, and two carry insufficient reliable data rather than a favourable score.</w:t>
      </w:r>
    </w:p>
    <w:p>
      <w:r>
        <w:br w:type="page"/>
      </w:r>
    </w:p>
    <w:p>
      <w:pPr>
        <w:pStyle w:val="Heading1"/>
        <w:spacing w:after="140" w:before="280"/>
      </w:pPr>
      <w:r>
        <w:t xml:space="preserve">4. The Asset — Land, Location &amp; FSI</w:t>
      </w:r>
    </w:p>
    <w:p>
      <w:pPr>
        <w:pStyle w:val="Heading2"/>
        <w:spacing w:after="140" w:before="280"/>
      </w:pPr>
      <w:r>
        <w:t xml:space="preserve">4.1 Land identification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c>
          <w:tcPr>
            <w:tcW w:type="dxa" w:w="2500"/>
            <w:shd w:fill="D9E2F3" w:val="clear"/>
            <w:tcMar>
              <w:top w:type="dxa" w:w="60"/>
              <w:left w:type="dxa" w:w="100"/>
              <w:bottom w:type="dxa" w:w="60"/>
              <w:right w:type="dxa" w:w="100"/>
            </w:tcMar>
            <w:vAlign w:val="center"/>
          </w:tcPr>
          <w:p>
            <w:pPr>
              <w:jc w:val="left"/>
            </w:pPr>
            <w:r>
              <w:rPr>
                <w:b/>
                <w:bCs/>
                <w:sz w:val="20"/>
                <w:szCs w:val="20"/>
              </w:rPr>
              <w:t xml:space="preserve">Survey/CTS/plot</w:t>
            </w:r>
          </w:p>
        </w:tc>
        <w:tc>
          <w:tcPr>
            <w:tcW w:type="dxa" w:w="6850"/>
            <w:tcMar>
              <w:top w:type="dxa" w:w="60"/>
              <w:left w:type="dxa" w:w="100"/>
              <w:bottom w:type="dxa" w:w="60"/>
              <w:right w:type="dxa" w:w="100"/>
            </w:tcMar>
            <w:vAlign w:val="center"/>
          </w:tcPr>
          <w:p>
            <w:pPr>
              <w:jc w:val="left"/>
            </w:pPr>
            <w:r>
              <w:rPr>
                <w:b w:val="false"/>
                <w:bCs w:val="false"/>
                <w:sz w:val="20"/>
                <w:szCs w:val="20"/>
              </w:rPr>
              <w:t xml:space="preserve">Phase plot within Survey Nos. 11/1A, 12/1, 12/2/1, 12/2/2, 12/2/3, 13/1B (part), 13/2 — within a wider ~24-hectare landholding spanning 14 survey numbers acquired from Peninsula Land Limited</w:t>
            </w:r>
          </w:p>
        </w:tc>
      </w:tr>
      <w:tr>
        <w:tc>
          <w:tcPr>
            <w:tcW w:type="dxa" w:w="2500"/>
            <w:shd w:fill="D9E2F3" w:val="clear"/>
            <w:tcMar>
              <w:top w:type="dxa" w:w="60"/>
              <w:left w:type="dxa" w:w="100"/>
              <w:bottom w:type="dxa" w:w="60"/>
              <w:right w:type="dxa" w:w="100"/>
            </w:tcMar>
            <w:vAlign w:val="center"/>
          </w:tcPr>
          <w:p>
            <w:pPr>
              <w:jc w:val="left"/>
            </w:pPr>
            <w:r>
              <w:rPr>
                <w:b/>
                <w:bCs/>
                <w:sz w:val="20"/>
                <w:szCs w:val="20"/>
              </w:rPr>
              <w:t xml:space="preserve">Village/locality</w:t>
            </w:r>
          </w:p>
        </w:tc>
        <w:tc>
          <w:tcPr>
            <w:tcW w:type="dxa" w:w="6850"/>
            <w:tcMar>
              <w:top w:type="dxa" w:w="60"/>
              <w:left w:type="dxa" w:w="100"/>
              <w:bottom w:type="dxa" w:w="60"/>
              <w:right w:type="dxa" w:w="100"/>
            </w:tcMar>
            <w:vAlign w:val="center"/>
          </w:tcPr>
          <w:p>
            <w:pPr>
              <w:jc w:val="left"/>
            </w:pPr>
            <w:r>
              <w:rPr>
                <w:b w:val="false"/>
                <w:bCs w:val="false"/>
                <w:sz w:val="20"/>
                <w:szCs w:val="20"/>
              </w:rPr>
              <w:t xml:space="preserve">Mamurdi</w:t>
            </w:r>
          </w:p>
        </w:tc>
      </w:tr>
      <w:tr>
        <w:tc>
          <w:tcPr>
            <w:tcW w:type="dxa" w:w="2500"/>
            <w:shd w:fill="D9E2F3" w:val="clear"/>
            <w:tcMar>
              <w:top w:type="dxa" w:w="60"/>
              <w:left w:type="dxa" w:w="100"/>
              <w:bottom w:type="dxa" w:w="60"/>
              <w:right w:type="dxa" w:w="100"/>
            </w:tcMar>
            <w:vAlign w:val="center"/>
          </w:tcPr>
          <w:p>
            <w:pPr>
              <w:jc w:val="left"/>
            </w:pPr>
            <w:r>
              <w:rPr>
                <w:b/>
                <w:bCs/>
                <w:sz w:val="20"/>
                <w:szCs w:val="20"/>
              </w:rPr>
              <w:t xml:space="preserve">Taluka/District</w:t>
            </w:r>
          </w:p>
        </w:tc>
        <w:tc>
          <w:tcPr>
            <w:tcW w:type="dxa" w:w="6850"/>
            <w:tcMar>
              <w:top w:type="dxa" w:w="60"/>
              <w:left w:type="dxa" w:w="100"/>
              <w:bottom w:type="dxa" w:w="60"/>
              <w:right w:type="dxa" w:w="100"/>
            </w:tcMar>
            <w:vAlign w:val="center"/>
          </w:tcPr>
          <w:p>
            <w:pPr>
              <w:jc w:val="left"/>
            </w:pPr>
            <w:r>
              <w:rPr>
                <w:b w:val="false"/>
                <w:bCs w:val="false"/>
                <w:sz w:val="20"/>
                <w:szCs w:val="20"/>
              </w:rPr>
              <w:t xml:space="preserve">Taluka Haveli, District Pune, within PCMC limits</w:t>
            </w:r>
          </w:p>
        </w:tc>
      </w:tr>
      <w:tr>
        <w:tc>
          <w:tcPr>
            <w:tcW w:type="dxa" w:w="2500"/>
            <w:shd w:fill="D9E2F3" w:val="clear"/>
            <w:tcMar>
              <w:top w:type="dxa" w:w="60"/>
              <w:left w:type="dxa" w:w="100"/>
              <w:bottom w:type="dxa" w:w="60"/>
              <w:right w:type="dxa" w:w="100"/>
            </w:tcMar>
            <w:vAlign w:val="center"/>
          </w:tcPr>
          <w:p>
            <w:pPr>
              <w:jc w:val="left"/>
            </w:pPr>
            <w:r>
              <w:rPr>
                <w:b/>
                <w:bCs/>
                <w:sz w:val="20"/>
                <w:szCs w:val="20"/>
              </w:rPr>
              <w:t xml:space="preserve">Pincode</w:t>
            </w:r>
          </w:p>
        </w:tc>
        <w:tc>
          <w:tcPr>
            <w:tcW w:type="dxa" w:w="6850"/>
            <w:tcMar>
              <w:top w:type="dxa" w:w="60"/>
              <w:left w:type="dxa" w:w="100"/>
              <w:bottom w:type="dxa" w:w="60"/>
              <w:right w:type="dxa" w:w="100"/>
            </w:tcMar>
            <w:vAlign w:val="center"/>
          </w:tcPr>
          <w:p>
            <w:pPr>
              <w:jc w:val="left"/>
            </w:pPr>
            <w:r>
              <w:rPr>
                <w:b w:val="false"/>
                <w:bCs w:val="false"/>
                <w:sz w:val="20"/>
                <w:szCs w:val="20"/>
              </w:rPr>
              <w:t xml:space="preserve">412101</w:t>
            </w:r>
          </w:p>
        </w:tc>
      </w:tr>
      <w:tr>
        <w:tc>
          <w:tcPr>
            <w:tcW w:type="dxa" w:w="2500"/>
            <w:shd w:fill="D9E2F3" w:val="clear"/>
            <w:tcMar>
              <w:top w:type="dxa" w:w="60"/>
              <w:left w:type="dxa" w:w="100"/>
              <w:bottom w:type="dxa" w:w="60"/>
              <w:right w:type="dxa" w:w="100"/>
            </w:tcMar>
            <w:vAlign w:val="center"/>
          </w:tcPr>
          <w:p>
            <w:pPr>
              <w:jc w:val="left"/>
            </w:pPr>
            <w:r>
              <w:rPr>
                <w:b/>
                <w:bCs/>
                <w:sz w:val="20"/>
                <w:szCs w:val="20"/>
              </w:rPr>
              <w:t xml:space="preserve">Net area (this phase)</w:t>
            </w:r>
          </w:p>
        </w:tc>
        <w:tc>
          <w:tcPr>
            <w:tcW w:type="dxa" w:w="6850"/>
            <w:tcMar>
              <w:top w:type="dxa" w:w="60"/>
              <w:left w:type="dxa" w:w="100"/>
              <w:bottom w:type="dxa" w:w="60"/>
              <w:right w:type="dxa" w:w="100"/>
            </w:tcMar>
            <w:vAlign w:val="center"/>
          </w:tcPr>
          <w:p>
            <w:pPr>
              <w:jc w:val="left"/>
            </w:pPr>
            <w:r>
              <w:rPr>
                <w:b w:val="false"/>
                <w:bCs w:val="false"/>
                <w:sz w:val="20"/>
                <w:szCs w:val="20"/>
              </w:rPr>
              <w:t xml:space="preserve">32,917 sqm</w:t>
            </w:r>
          </w:p>
        </w:tc>
      </w:tr>
    </w:tbl>
    <w:p>
      <w:pPr>
        <w:pStyle w:val="Heading2"/>
        <w:spacing w:after="140" w:before="280"/>
      </w:pPr>
      <w:r>
        <w:t xml:space="preserve">4.2 Location &amp; connectivity</w:t>
      </w:r>
    </w:p>
    <w:p>
      <w:pPr>
        <w:spacing w:after="160"/>
      </w:pPr>
      <w:r>
        <w:t xml:space="preserve">Neighbourhood: East and West — 18 m wide DP roads. North — Phase 2 (an adjoining later phase of the same development). South — 12 m wide DP road.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c>
          <w:tcPr>
            <w:tcW w:type="dxa" w:w="3800"/>
            <w:shd w:fill="D9E2F3" w:val="clear"/>
            <w:tcMar>
              <w:top w:type="dxa" w:w="60"/>
              <w:left w:type="dxa" w:w="100"/>
              <w:bottom w:type="dxa" w:w="60"/>
              <w:right w:type="dxa" w:w="100"/>
            </w:tcMar>
            <w:vAlign w:val="center"/>
          </w:tcPr>
          <w:p>
            <w:pPr>
              <w:jc w:val="left"/>
            </w:pPr>
            <w:r>
              <w:rPr>
                <w:b/>
                <w:bCs/>
                <w:sz w:val="20"/>
                <w:szCs w:val="20"/>
              </w:rPr>
              <w:t xml:space="preserve">Landmark</w:t>
            </w:r>
          </w:p>
        </w:tc>
        <w:tc>
          <w:tcPr>
            <w:tcW w:type="dxa" w:w="5550"/>
            <w:shd w:fill="D9E2F3" w:val="clear"/>
            <w:tcMar>
              <w:top w:type="dxa" w:w="60"/>
              <w:left w:type="dxa" w:w="100"/>
              <w:bottom w:type="dxa" w:w="60"/>
              <w:right w:type="dxa" w:w="100"/>
            </w:tcMar>
            <w:vAlign w:val="center"/>
          </w:tcPr>
          <w:p>
            <w:pPr>
              <w:jc w:val="left"/>
            </w:pPr>
            <w:r>
              <w:rPr>
                <w:b/>
                <w:bCs/>
                <w:sz w:val="20"/>
                <w:szCs w:val="20"/>
              </w:rPr>
              <w:t xml:space="preserve">Live driving distance/time</w:t>
            </w:r>
          </w:p>
        </w:tc>
      </w:tr>
      <w:tr>
        <w:tc>
          <w:tcPr>
            <w:tcW w:type="dxa" w:w="3800"/>
            <w:tcMar>
              <w:top w:type="dxa" w:w="60"/>
              <w:left w:type="dxa" w:w="100"/>
              <w:bottom w:type="dxa" w:w="60"/>
              <w:right w:type="dxa" w:w="100"/>
            </w:tcMar>
            <w:vAlign w:val="center"/>
          </w:tcPr>
          <w:p>
            <w:pPr>
              <w:jc w:val="left"/>
            </w:pPr>
            <w:r>
              <w:rPr>
                <w:b w:val="false"/>
                <w:bCs w:val="false"/>
                <w:sz w:val="20"/>
                <w:szCs w:val="20"/>
              </w:rPr>
              <w:t xml:space="preserve">Pune Railway Station</w:t>
            </w:r>
          </w:p>
        </w:tc>
        <w:tc>
          <w:tcPr>
            <w:tcW w:type="dxa" w:w="5550"/>
            <w:tcMar>
              <w:top w:type="dxa" w:w="60"/>
              <w:left w:type="dxa" w:w="100"/>
              <w:bottom w:type="dxa" w:w="60"/>
              <w:right w:type="dxa" w:w="100"/>
            </w:tcMar>
            <w:vAlign w:val="center"/>
          </w:tcPr>
          <w:p>
            <w:pPr>
              <w:jc w:val="left"/>
            </w:pPr>
            <w:r>
              <w:rPr>
                <w:b w:val="false"/>
                <w:bCs w:val="false"/>
                <w:sz w:val="20"/>
                <w:szCs w:val="20"/>
              </w:rPr>
              <w:t xml:space="preserve">50 min / 26.4 km via NH 65</w:t>
            </w:r>
          </w:p>
        </w:tc>
      </w:tr>
      <w:tr>
        <w:tc>
          <w:tcPr>
            <w:tcW w:type="dxa" w:w="3800"/>
            <w:tcMar>
              <w:top w:type="dxa" w:w="60"/>
              <w:left w:type="dxa" w:w="100"/>
              <w:bottom w:type="dxa" w:w="60"/>
              <w:right w:type="dxa" w:w="100"/>
            </w:tcMar>
            <w:vAlign w:val="center"/>
          </w:tcPr>
          <w:p>
            <w:pPr>
              <w:jc w:val="left"/>
            </w:pPr>
            <w:r>
              <w:rPr>
                <w:b w:val="false"/>
                <w:bCs w:val="false"/>
                <w:sz w:val="20"/>
                <w:szCs w:val="20"/>
              </w:rPr>
              <w:t xml:space="preserve">MIDC Technology Park, Talawade</w:t>
            </w:r>
          </w:p>
        </w:tc>
        <w:tc>
          <w:tcPr>
            <w:tcW w:type="dxa" w:w="5550"/>
            <w:tcMar>
              <w:top w:type="dxa" w:w="60"/>
              <w:left w:type="dxa" w:w="100"/>
              <w:bottom w:type="dxa" w:w="60"/>
              <w:right w:type="dxa" w:w="100"/>
            </w:tcMar>
            <w:vAlign w:val="center"/>
          </w:tcPr>
          <w:p>
            <w:pPr>
              <w:jc w:val="left"/>
            </w:pPr>
            <w:r>
              <w:rPr>
                <w:b w:val="false"/>
                <w:bCs w:val="false"/>
                <w:sz w:val="20"/>
                <w:szCs w:val="20"/>
              </w:rPr>
              <w:t xml:space="preserve">30 min / 11.9 km via Dehu-Chincholi Rd</w:t>
            </w:r>
          </w:p>
        </w:tc>
      </w:tr>
      <w:tr>
        <w:tc>
          <w:tcPr>
            <w:tcW w:type="dxa" w:w="3800"/>
            <w:tcMar>
              <w:top w:type="dxa" w:w="60"/>
              <w:left w:type="dxa" w:w="100"/>
              <w:bottom w:type="dxa" w:w="60"/>
              <w:right w:type="dxa" w:w="100"/>
            </w:tcMar>
            <w:vAlign w:val="center"/>
          </w:tcPr>
          <w:p>
            <w:pPr>
              <w:jc w:val="left"/>
            </w:pPr>
            <w:r>
              <w:rPr>
                <w:b w:val="false"/>
                <w:bCs w:val="false"/>
                <w:sz w:val="20"/>
                <w:szCs w:val="20"/>
              </w:rPr>
              <w:t xml:space="preserve">Pune International Airport (Lohegaon)</w:t>
            </w:r>
          </w:p>
        </w:tc>
        <w:tc>
          <w:tcPr>
            <w:tcW w:type="dxa" w:w="5550"/>
            <w:tcMar>
              <w:top w:type="dxa" w:w="60"/>
              <w:left w:type="dxa" w:w="100"/>
              <w:bottom w:type="dxa" w:w="60"/>
              <w:right w:type="dxa" w:w="100"/>
            </w:tcMar>
            <w:vAlign w:val="center"/>
          </w:tcPr>
          <w:p>
            <w:pPr>
              <w:jc w:val="left"/>
            </w:pPr>
            <w:r>
              <w:rPr>
                <w:b w:val="false"/>
                <w:bCs w:val="false"/>
                <w:sz w:val="20"/>
                <w:szCs w:val="20"/>
              </w:rPr>
              <w:t xml:space="preserve">55 min / 30.4 km via NH 548DD/NH 65</w:t>
            </w:r>
          </w:p>
        </w:tc>
      </w:tr>
      <w:tr>
        <w:tc>
          <w:tcPr>
            <w:tcW w:type="dxa" w:w="3800"/>
            <w:tcMar>
              <w:top w:type="dxa" w:w="60"/>
              <w:left w:type="dxa" w:w="100"/>
              <w:bottom w:type="dxa" w:w="60"/>
              <w:right w:type="dxa" w:w="100"/>
            </w:tcMar>
            <w:vAlign w:val="center"/>
          </w:tcPr>
          <w:p>
            <w:pPr>
              <w:jc w:val="left"/>
            </w:pPr>
            <w:r>
              <w:rPr>
                <w:b w:val="false"/>
                <w:bCs w:val="false"/>
                <w:sz w:val="20"/>
                <w:szCs w:val="20"/>
              </w:rPr>
              <w:t xml:space="preserve">Dehu Road Railway Station (nearest)</w:t>
            </w:r>
          </w:p>
        </w:tc>
        <w:tc>
          <w:tcPr>
            <w:tcW w:type="dxa" w:w="5550"/>
            <w:tcMar>
              <w:top w:type="dxa" w:w="60"/>
              <w:left w:type="dxa" w:w="100"/>
              <w:bottom w:type="dxa" w:w="60"/>
              <w:right w:type="dxa" w:w="100"/>
            </w:tcMar>
            <w:vAlign w:val="center"/>
          </w:tcPr>
          <w:p>
            <w:pPr>
              <w:jc w:val="left"/>
            </w:pPr>
            <w:r>
              <w:rPr>
                <w:b w:val="false"/>
                <w:bCs w:val="false"/>
                <w:sz w:val="20"/>
                <w:szCs w:val="20"/>
              </w:rPr>
              <w:t xml:space="preserve">9 min / 3.5 km via Dr Ambedkar Rd</w:t>
            </w:r>
          </w:p>
        </w:tc>
      </w:tr>
      <w:tr>
        <w:tc>
          <w:tcPr>
            <w:tcW w:type="dxa" w:w="3800"/>
            <w:tcMar>
              <w:top w:type="dxa" w:w="60"/>
              <w:left w:type="dxa" w:w="100"/>
              <w:bottom w:type="dxa" w:w="60"/>
              <w:right w:type="dxa" w:w="100"/>
            </w:tcMar>
            <w:vAlign w:val="center"/>
          </w:tcPr>
          <w:p>
            <w:pPr>
              <w:jc w:val="left"/>
            </w:pPr>
            <w:r>
              <w:rPr>
                <w:b w:val="false"/>
                <w:bCs w:val="false"/>
                <w:sz w:val="20"/>
                <w:szCs w:val="20"/>
              </w:rPr>
              <w:t xml:space="preserve">Nearest metro (Bhujbal Chowk, Wakad)</w:t>
            </w:r>
          </w:p>
        </w:tc>
        <w:tc>
          <w:tcPr>
            <w:tcW w:type="dxa" w:w="5550"/>
            <w:tcMar>
              <w:top w:type="dxa" w:w="60"/>
              <w:left w:type="dxa" w:w="100"/>
              <w:bottom w:type="dxa" w:w="60"/>
              <w:right w:type="dxa" w:w="100"/>
            </w:tcMar>
            <w:vAlign w:val="center"/>
          </w:tcPr>
          <w:p>
            <w:pPr>
              <w:jc w:val="left"/>
            </w:pPr>
            <w:r>
              <w:rPr>
                <w:b w:val="false"/>
                <w:bCs w:val="false"/>
                <w:sz w:val="20"/>
                <w:szCs w:val="20"/>
              </w:rPr>
              <w:t xml:space="preserve">~11 km — no operational line reaches Mamurdi yet; a Purple Line extension is planned, not confirmed operational</w:t>
            </w:r>
          </w:p>
        </w:tc>
      </w:tr>
      <w:tr>
        <w:tc>
          <w:tcPr>
            <w:tcW w:type="dxa" w:w="3800"/>
            <w:tcMar>
              <w:top w:type="dxa" w:w="60"/>
              <w:left w:type="dxa" w:w="100"/>
              <w:bottom w:type="dxa" w:w="60"/>
              <w:right w:type="dxa" w:w="100"/>
            </w:tcMar>
            <w:vAlign w:val="center"/>
          </w:tcPr>
          <w:p>
            <w:pPr>
              <w:jc w:val="left"/>
            </w:pPr>
            <w:r>
              <w:rPr>
                <w:b w:val="false"/>
                <w:bCs w:val="false"/>
                <w:sz w:val="20"/>
                <w:szCs w:val="20"/>
              </w:rPr>
              <w:t xml:space="preserve">Xion Mall (Hinjawadi)</w:t>
            </w:r>
          </w:p>
        </w:tc>
        <w:tc>
          <w:tcPr>
            <w:tcW w:type="dxa" w:w="5550"/>
            <w:tcMar>
              <w:top w:type="dxa" w:w="60"/>
              <w:left w:type="dxa" w:w="100"/>
              <w:bottom w:type="dxa" w:w="60"/>
              <w:right w:type="dxa" w:w="100"/>
            </w:tcMar>
            <w:vAlign w:val="center"/>
          </w:tcPr>
          <w:p>
            <w:pPr>
              <w:jc w:val="left"/>
            </w:pPr>
            <w:r>
              <w:rPr>
                <w:b w:val="false"/>
                <w:bCs w:val="false"/>
                <w:sz w:val="20"/>
                <w:szCs w:val="20"/>
              </w:rPr>
              <w:t xml:space="preserve">23 min / 12.7 km via NH 48</w:t>
            </w:r>
          </w:p>
        </w:tc>
      </w:tr>
      <w:tr>
        <w:tc>
          <w:tcPr>
            <w:tcW w:type="dxa" w:w="3800"/>
            <w:tcMar>
              <w:top w:type="dxa" w:w="60"/>
              <w:left w:type="dxa" w:w="100"/>
              <w:bottom w:type="dxa" w:w="60"/>
              <w:right w:type="dxa" w:w="100"/>
            </w:tcMar>
            <w:vAlign w:val="center"/>
          </w:tcPr>
          <w:p>
            <w:pPr>
              <w:jc w:val="left"/>
            </w:pPr>
            <w:r>
              <w:rPr>
                <w:b w:val="false"/>
                <w:bCs w:val="false"/>
                <w:sz w:val="20"/>
                <w:szCs w:val="20"/>
              </w:rPr>
              <w:t xml:space="preserve">Sparsh Multispeciality Hospital</w:t>
            </w:r>
          </w:p>
        </w:tc>
        <w:tc>
          <w:tcPr>
            <w:tcW w:type="dxa" w:w="5550"/>
            <w:tcMar>
              <w:top w:type="dxa" w:w="60"/>
              <w:left w:type="dxa" w:w="100"/>
              <w:bottom w:type="dxa" w:w="60"/>
              <w:right w:type="dxa" w:w="100"/>
            </w:tcMar>
            <w:vAlign w:val="center"/>
          </w:tcPr>
          <w:p>
            <w:pPr>
              <w:jc w:val="left"/>
            </w:pPr>
            <w:r>
              <w:rPr>
                <w:b w:val="false"/>
                <w:bCs w:val="false"/>
                <w:sz w:val="20"/>
                <w:szCs w:val="20"/>
              </w:rPr>
              <w:t xml:space="preserve">18 min / 8.0 km via NH 48 and Parandwadi Rd</w:t>
            </w:r>
          </w:p>
        </w:tc>
      </w:tr>
    </w:tbl>
    <w:p>
      <w:pPr>
        <w:spacing w:after="160"/>
      </w:pPr>
      <w:r>
        <w:rPr>
          <w:i/>
          <w:iCs/>
          <w:color w:val="606060"/>
          <w:sz w:val="18"/>
          <w:szCs w:val="18"/>
        </w:rPr>
        <w:t xml:space="preserve">All distances are live Google Maps driving routes checked 2026-07-17 from the resolved locality origin, Driving mode explicitly selected — not secondary aggregator estimates.</w:t>
      </w:r>
    </w:p>
    <w:p>
      <w:pPr>
        <w:pStyle w:val="Heading2"/>
        <w:spacing w:after="140" w:before="280"/>
      </w:pPr>
      <w:r>
        <w:t xml:space="preserve">4.3 FSI</w:t>
      </w:r>
    </w:p>
    <w:p>
      <w:pPr>
        <w:spacing w:after="160"/>
      </w:pPr>
      <w:r>
        <w:t xml:space="preserve">Governed by Pimpri-Chinchwad Municipal Corporation's (PCMC) own sanctioned Development Plan / UDCPR, not Mumbai's DCPR 2034. Net land area is confirmed at 32,917 sqm, but no approved or sanctioned built-up area figure was found in the documents opened this pass — the implied FSI could not be computed and is recorded as an Imminent Red Flag in Section 1, not estimated.</w:t>
      </w:r>
    </w:p>
    <w:p>
      <w:pPr>
        <w:spacing w:after="160"/>
      </w:pPr>
      <w:r>
        <w:t xml:space="preserve">Mortgage: Bajaj Housing Finance Limited, disclosed in the 2024 Form B declaration, without a stated area/quantum.</w:t>
      </w:r>
    </w:p>
    <w:p>
      <w:r>
        <w:br w:type="page"/>
      </w:r>
    </w:p>
    <w:p>
      <w:pPr>
        <w:pStyle w:val="Heading1"/>
        <w:spacing w:after="140" w:before="280"/>
      </w:pPr>
      <w:r>
        <w:t xml:space="preserve">5. Compliance &amp; Legal Detail</w:t>
      </w:r>
    </w:p>
    <w:p>
      <w:pPr>
        <w:pStyle w:val="Heading2"/>
        <w:spacing w:after="140" w:before="280"/>
      </w:pPr>
      <w:r>
        <w:t xml:space="preserve">5.1 Statutory framework</w:t>
      </w:r>
    </w:p>
    <w:p>
      <w:pPr>
        <w:pStyle w:val="ListParagraph"/>
        <w:numPr>
          <w:ilvl w:val="0"/>
          <w:numId w:val="1"/>
        </w:numPr>
        <w:spacing w:after="80"/>
      </w:pPr>
      <w:r>
        <w:t xml:space="preserve">Governing act: Real Estate (Regulation and Development) Act, 2016, administered by MahaRERA.</w:t>
      </w:r>
    </w:p>
    <w:p>
      <w:pPr>
        <w:pStyle w:val="ListParagraph"/>
        <w:numPr>
          <w:ilvl w:val="0"/>
          <w:numId w:val="1"/>
        </w:numPr>
        <w:spacing w:after="80"/>
      </w:pPr>
      <w:r>
        <w:t xml:space="preserve">Planning approval sequence: PCMC building approvals; RERA registration (2019-02-20) followed the underlying NA order (7 November 2017) and title-transfer chain (conveyance completed 2 May 2018).</w:t>
      </w:r>
    </w:p>
    <w:p>
      <w:pPr>
        <w:pStyle w:val="Heading2"/>
        <w:spacing w:after="140" w:before="280"/>
      </w:pPr>
      <w:r>
        <w:t xml:space="preserve">5.2 RERA compliance</w:t>
      </w:r>
    </w:p>
    <w:p>
      <w:pPr>
        <w:spacing w:after="160"/>
      </w:pPr>
      <w:r>
        <w:t xml:space="preserve">Registration P52100019639, approved 2019-02-20, current status Certificate Signed / New, proposed completion now 2028-03-30 (originally 2024-03-30; extended more than once — see Section 1.1). Collection Account and escrow sub-account details are not disclosed in the documents opened this pass. Form B / Rule 3(4) Affidavit cum Declaration executed 9 August 2024, notarized 11 June 2025, states land free from encumbrance save for the disclosed Bajaj Housing Finance Limited mortgage and the litigations/observations on the MahaRERA portal.</w:t>
      </w:r>
    </w:p>
    <w:p>
      <w:pPr>
        <w:pStyle w:val="Heading2"/>
        <w:spacing w:after="140" w:before="280"/>
      </w:pPr>
      <w:r>
        <w:t xml:space="preserve">5.3 Litigation status — full detail</w:t>
      </w:r>
    </w:p>
    <w:p>
      <w:pPr>
        <w:spacing w:after="160"/>
      </w:pPr>
      <w:r>
        <w:t xml:space="preserve">Two distinct matters, kept separate rather than blended into one verdict: (1) LAND TITLE litigation — the 2018 Supplemental Legal Due Diligence Report states no litigation affecting the property was found, having conducted online searches on the High Court of Bombay and District Courts of Pune for 2016-18, and this research found no later land-title litigation. (2) RERA CONSUMER COMPLAINTS/APPEALS — MahaRERA's own live record shows 67 total complaint-category filings (59 complaintDetails + 8 miscComplaintDetails) and 18 appeals, concentrated 2025-2026, further corroborated externally by a public complaint citing possession delayed to 2028 from 2023. These two matters should not be conflated: the land itself is not shown to be under title dispute; the promoter's delivery/compliance record to homebuyers is where the material risk lies.</w:t>
      </w:r>
    </w:p>
    <w:p>
      <w:pPr>
        <w:pStyle w:val="Heading2"/>
        <w:spacing w:after="140" w:before="280"/>
      </w:pPr>
      <w:r>
        <w:t xml:space="preserve">5.4 Complaint outcomes — of the complaints with a matched, downloaded order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D9E2F3" w:val="clear"/>
            <w:tcMar>
              <w:top w:type="dxa" w:w="60"/>
              <w:left w:type="dxa" w:w="100"/>
              <w:bottom w:type="dxa" w:w="60"/>
              <w:right w:type="dxa" w:w="100"/>
            </w:tcMar>
            <w:vAlign w:val="center"/>
          </w:tcPr>
          <w:p>
            <w:pPr>
              <w:jc w:val="left"/>
            </w:pPr>
            <w:r>
              <w:rPr>
                <w:b/>
                <w:bCs/>
                <w:sz w:val="20"/>
                <w:szCs w:val="20"/>
              </w:rPr>
              <w:t xml:space="preserve">Outcome</w:t>
            </w:r>
          </w:p>
        </w:tc>
        <w:tc>
          <w:tcPr>
            <w:tcW w:type="dxa" w:w="4675"/>
            <w:shd w:fill="D9E2F3" w:val="clear"/>
            <w:tcMar>
              <w:top w:type="dxa" w:w="60"/>
              <w:left w:type="dxa" w:w="100"/>
              <w:bottom w:type="dxa" w:w="60"/>
              <w:right w:type="dxa" w:w="100"/>
            </w:tcMar>
            <w:vAlign w:val="center"/>
          </w:tcPr>
          <w:p>
            <w:pPr>
              <w:jc w:val="left"/>
            </w:pPr>
            <w:r>
              <w:rPr>
                <w:b/>
                <w:bCs/>
                <w:sz w:val="20"/>
                <w:szCs w:val="20"/>
              </w:rPr>
              <w:t xml:space="preserve">Count</w:t>
            </w:r>
          </w:p>
        </w:tc>
      </w:tr>
      <w:tr>
        <w:tc>
          <w:tcPr>
            <w:tcW w:type="dxa" w:w="4675"/>
            <w:tcMar>
              <w:top w:type="dxa" w:w="60"/>
              <w:left w:type="dxa" w:w="100"/>
              <w:bottom w:type="dxa" w:w="60"/>
              <w:right w:type="dxa" w:w="100"/>
            </w:tcMar>
            <w:vAlign w:val="center"/>
          </w:tcPr>
          <w:p>
            <w:pPr>
              <w:jc w:val="left"/>
            </w:pPr>
            <w:r>
              <w:rPr>
                <w:b w:val="false"/>
                <w:bCs w:val="false"/>
                <w:sz w:val="20"/>
                <w:szCs w:val="20"/>
              </w:rPr>
              <w:t xml:space="preserve">Dismissed</w:t>
            </w:r>
          </w:p>
        </w:tc>
        <w:tc>
          <w:tcPr>
            <w:tcW w:type="dxa" w:w="4675"/>
            <w:tcMar>
              <w:top w:type="dxa" w:w="60"/>
              <w:left w:type="dxa" w:w="100"/>
              <w:bottom w:type="dxa" w:w="60"/>
              <w:right w:type="dxa" w:w="100"/>
            </w:tcMar>
            <w:vAlign w:val="center"/>
          </w:tcPr>
          <w:p>
            <w:pPr>
              <w:jc w:val="left"/>
            </w:pPr>
            <w:r>
              <w:rPr>
                <w:b w:val="false"/>
                <w:bCs w:val="false"/>
                <w:sz w:val="20"/>
                <w:szCs w:val="20"/>
              </w:rPr>
              <w:t xml:space="preserve">18</w:t>
            </w:r>
          </w:p>
        </w:tc>
      </w:tr>
      <w:tr>
        <w:tc>
          <w:tcPr>
            <w:tcW w:type="dxa" w:w="4675"/>
            <w:tcMar>
              <w:top w:type="dxa" w:w="60"/>
              <w:left w:type="dxa" w:w="100"/>
              <w:bottom w:type="dxa" w:w="60"/>
              <w:right w:type="dxa" w:w="100"/>
            </w:tcMar>
            <w:vAlign w:val="center"/>
          </w:tcPr>
          <w:p>
            <w:pPr>
              <w:jc w:val="left"/>
            </w:pPr>
            <w:r>
              <w:rPr>
                <w:b w:val="false"/>
                <w:bCs w:val="false"/>
                <w:sz w:val="20"/>
                <w:szCs w:val="20"/>
              </w:rPr>
              <w:t xml:space="preserve">Settled by conciliation</w:t>
            </w:r>
          </w:p>
        </w:tc>
        <w:tc>
          <w:tcPr>
            <w:tcW w:type="dxa" w:w="4675"/>
            <w:tcMar>
              <w:top w:type="dxa" w:w="60"/>
              <w:left w:type="dxa" w:w="100"/>
              <w:bottom w:type="dxa" w:w="60"/>
              <w:right w:type="dxa" w:w="100"/>
            </w:tcMar>
            <w:vAlign w:val="center"/>
          </w:tcPr>
          <w:p>
            <w:pPr>
              <w:jc w:val="left"/>
            </w:pPr>
            <w:r>
              <w:rPr>
                <w:b w:val="false"/>
                <w:bCs w:val="false"/>
                <w:sz w:val="20"/>
                <w:szCs w:val="20"/>
              </w:rPr>
              <w:t xml:space="preserve">4</w:t>
            </w:r>
          </w:p>
        </w:tc>
      </w:tr>
      <w:tr>
        <w:tc>
          <w:tcPr>
            <w:tcW w:type="dxa" w:w="4675"/>
            <w:tcMar>
              <w:top w:type="dxa" w:w="60"/>
              <w:left w:type="dxa" w:w="100"/>
              <w:bottom w:type="dxa" w:w="60"/>
              <w:right w:type="dxa" w:w="100"/>
            </w:tcMar>
            <w:vAlign w:val="center"/>
          </w:tcPr>
          <w:p>
            <w:pPr>
              <w:jc w:val="left"/>
            </w:pPr>
            <w:r>
              <w:rPr>
                <w:b w:val="false"/>
                <w:bCs w:val="false"/>
                <w:sz w:val="20"/>
                <w:szCs w:val="20"/>
              </w:rPr>
              <w:t xml:space="preserve">Disposed (other)</w:t>
            </w:r>
          </w:p>
        </w:tc>
        <w:tc>
          <w:tcPr>
            <w:tcW w:type="dxa" w:w="4675"/>
            <w:tcMar>
              <w:top w:type="dxa" w:w="60"/>
              <w:left w:type="dxa" w:w="100"/>
              <w:bottom w:type="dxa" w:w="60"/>
              <w:right w:type="dxa" w:w="100"/>
            </w:tcMar>
            <w:vAlign w:val="center"/>
          </w:tcPr>
          <w:p>
            <w:pPr>
              <w:jc w:val="left"/>
            </w:pPr>
            <w:r>
              <w:rPr>
                <w:b w:val="false"/>
                <w:bCs w:val="false"/>
                <w:sz w:val="20"/>
                <w:szCs w:val="20"/>
              </w:rPr>
              <w:t xml:space="preserve">5</w:t>
            </w:r>
          </w:p>
        </w:tc>
      </w:tr>
      <w:tr>
        <w:tc>
          <w:tcPr>
            <w:tcW w:type="dxa" w:w="4675"/>
            <w:tcMar>
              <w:top w:type="dxa" w:w="60"/>
              <w:left w:type="dxa" w:w="100"/>
              <w:bottom w:type="dxa" w:w="60"/>
              <w:right w:type="dxa" w:w="100"/>
            </w:tcMar>
            <w:vAlign w:val="center"/>
          </w:tcPr>
          <w:p>
            <w:pPr>
              <w:jc w:val="left"/>
            </w:pPr>
            <w:r>
              <w:rPr>
                <w:b w:val="false"/>
                <w:bCs w:val="false"/>
                <w:sz w:val="20"/>
                <w:szCs w:val="20"/>
              </w:rPr>
              <w:t xml:space="preserve">Withdrawn</w:t>
            </w:r>
          </w:p>
        </w:tc>
        <w:tc>
          <w:tcPr>
            <w:tcW w:type="dxa" w:w="4675"/>
            <w:tcMar>
              <w:top w:type="dxa" w:w="60"/>
              <w:left w:type="dxa" w:w="100"/>
              <w:bottom w:type="dxa" w:w="60"/>
              <w:right w:type="dxa" w:w="100"/>
            </w:tcMar>
            <w:vAlign w:val="center"/>
          </w:tcPr>
          <w:p>
            <w:pPr>
              <w:jc w:val="left"/>
            </w:pPr>
            <w:r>
              <w:rPr>
                <w:b w:val="false"/>
                <w:bCs w:val="false"/>
                <w:sz w:val="20"/>
                <w:szCs w:val="20"/>
              </w:rPr>
              <w:t xml:space="preserve">2</w:t>
            </w:r>
          </w:p>
        </w:tc>
      </w:tr>
      <w:tr>
        <w:tc>
          <w:tcPr>
            <w:tcW w:type="dxa" w:w="4675"/>
            <w:tcMar>
              <w:top w:type="dxa" w:w="60"/>
              <w:left w:type="dxa" w:w="100"/>
              <w:bottom w:type="dxa" w:w="60"/>
              <w:right w:type="dxa" w:w="100"/>
            </w:tcMar>
            <w:vAlign w:val="center"/>
          </w:tcPr>
          <w:p>
            <w:pPr>
              <w:jc w:val="left"/>
            </w:pPr>
            <w:r>
              <w:rPr>
                <w:b w:val="false"/>
                <w:bCs w:val="false"/>
                <w:sz w:val="20"/>
                <w:szCs w:val="20"/>
              </w:rPr>
              <w:t xml:space="preserve">Not determinable from extracted text</w:t>
            </w:r>
          </w:p>
        </w:tc>
        <w:tc>
          <w:tcPr>
            <w:tcW w:type="dxa" w:w="4675"/>
            <w:tcMar>
              <w:top w:type="dxa" w:w="60"/>
              <w:left w:type="dxa" w:w="100"/>
              <w:bottom w:type="dxa" w:w="60"/>
              <w:right w:type="dxa" w:w="100"/>
            </w:tcMar>
            <w:vAlign w:val="center"/>
          </w:tcPr>
          <w:p>
            <w:pPr>
              <w:jc w:val="left"/>
            </w:pPr>
            <w:r>
              <w:rPr>
                <w:b w:val="false"/>
                <w:bCs w:val="false"/>
                <w:sz w:val="20"/>
                <w:szCs w:val="20"/>
              </w:rPr>
              <w:t xml:space="preserve">6</w:t>
            </w:r>
          </w:p>
        </w:tc>
      </w:tr>
    </w:tbl>
    <w:p>
      <w:pPr>
        <w:spacing w:after="160"/>
      </w:pPr>
      <w:r>
        <w:rPr>
          <w:i/>
          <w:iCs/>
        </w:rPr>
        <w:t xml:space="preserve">35 complaints have a matched, downloaded order out of 67 total filings. This is exactly why the raw "67 complaints" headline in Section 1 is shown together with this outcome breakdown, not on its own — 18 of the 35 adjudicated cases were dismissed.</w:t>
      </w:r>
    </w:p>
    <w:p>
      <w:r>
        <w:br w:type="page"/>
      </w:r>
    </w:p>
    <w:p>
      <w:pPr>
        <w:pStyle w:val="Heading1"/>
        <w:spacing w:after="140" w:before="280"/>
      </w:pPr>
      <w:r>
        <w:t xml:space="preserve">6. Market &amp; Area Intelligence</w:t>
      </w:r>
    </w:p>
    <w:p>
      <w:pPr>
        <w:spacing w:after="160"/>
      </w:pPr>
      <w:r>
        <w:t xml:space="preserve">Mamurdi's average transacted flat rate is approximately Rs 9,100/sq.ft (range Rs 6,250–11,500/sq.ft), with Godrej Park Greens itself listed around Rs 13,900/sq.ft — a clear premium reflecting its branded (Godrej) positioning. Appreciation has been strong but uneven: +29.5% over the last 1 year and +35.8% over 5 years, but only +3.7% over 3 years.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1750"/>
      </w:tblGrid>
      <w:tr>
        <w:tc>
          <w:tcPr>
            <w:tcW w:type="dxa" w:w="3200"/>
            <w:shd w:fill="D9E2F3" w:val="clear"/>
            <w:tcMar>
              <w:top w:type="dxa" w:w="60"/>
              <w:left w:type="dxa" w:w="100"/>
              <w:bottom w:type="dxa" w:w="60"/>
              <w:right w:type="dxa" w:w="100"/>
            </w:tcMar>
            <w:vAlign w:val="center"/>
          </w:tcPr>
          <w:p>
            <w:pPr>
              <w:jc w:val="left"/>
            </w:pPr>
            <w:r>
              <w:rPr>
                <w:b/>
                <w:bCs/>
                <w:sz w:val="20"/>
                <w:szCs w:val="20"/>
              </w:rPr>
              <w:t xml:space="preserve">Project</w:t>
            </w:r>
          </w:p>
        </w:tc>
        <w:tc>
          <w:tcPr>
            <w:tcW w:type="dxa" w:w="2200"/>
            <w:shd w:fill="D9E2F3" w:val="clear"/>
            <w:tcMar>
              <w:top w:type="dxa" w:w="60"/>
              <w:left w:type="dxa" w:w="100"/>
              <w:bottom w:type="dxa" w:w="60"/>
              <w:right w:type="dxa" w:w="100"/>
            </w:tcMar>
            <w:vAlign w:val="center"/>
          </w:tcPr>
          <w:p>
            <w:pPr>
              <w:jc w:val="left"/>
            </w:pPr>
            <w:r>
              <w:rPr>
                <w:b/>
                <w:bCs/>
                <w:sz w:val="20"/>
                <w:szCs w:val="20"/>
              </w:rPr>
              <w:t xml:space="preserve">Configuration</w:t>
            </w:r>
          </w:p>
        </w:tc>
        <w:tc>
          <w:tcPr>
            <w:tcW w:type="dxa" w:w="2200"/>
            <w:shd w:fill="D9E2F3" w:val="clear"/>
            <w:tcMar>
              <w:top w:type="dxa" w:w="60"/>
              <w:left w:type="dxa" w:w="100"/>
              <w:bottom w:type="dxa" w:w="60"/>
              <w:right w:type="dxa" w:w="100"/>
            </w:tcMar>
            <w:vAlign w:val="center"/>
          </w:tcPr>
          <w:p>
            <w:pPr>
              <w:jc w:val="left"/>
            </w:pPr>
            <w:r>
              <w:rPr>
                <w:b/>
                <w:bCs/>
                <w:sz w:val="20"/>
                <w:szCs w:val="20"/>
              </w:rPr>
              <w:t xml:space="preserve">Pricing</w:t>
            </w:r>
          </w:p>
        </w:tc>
        <w:tc>
          <w:tcPr>
            <w:tcW w:type="dxa" w:w="1750"/>
            <w:shd w:fill="D9E2F3" w:val="clear"/>
            <w:tcMar>
              <w:top w:type="dxa" w:w="60"/>
              <w:left w:type="dxa" w:w="100"/>
              <w:bottom w:type="dxa" w:w="60"/>
              <w:right w:type="dxa" w:w="100"/>
            </w:tcMar>
            <w:vAlign w:val="center"/>
          </w:tcPr>
          <w:p>
            <w:pPr>
              <w:jc w:val="left"/>
            </w:pPr>
            <w:r>
              <w:rPr>
                <w:b/>
                <w:bCs/>
                <w:sz w:val="20"/>
                <w:szCs w:val="20"/>
              </w:rPr>
              <w:t xml:space="preserve">Distance</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Godrej Park Greens (subject)</w:t>
            </w:r>
          </w:p>
        </w:tc>
        <w:tc>
          <w:tcPr>
            <w:tcW w:type="dxa" w:w="2200"/>
            <w:tcMar>
              <w:top w:type="dxa" w:w="60"/>
              <w:left w:type="dxa" w:w="100"/>
              <w:bottom w:type="dxa" w:w="60"/>
              <w:right w:type="dxa" w:w="100"/>
            </w:tcMar>
            <w:vAlign w:val="center"/>
          </w:tcPr>
          <w:p>
            <w:pPr>
              <w:jc w:val="left"/>
            </w:pPr>
            <w:r>
              <w:rPr>
                <w:b w:val="false"/>
                <w:bCs w:val="false"/>
                <w:sz w:val="20"/>
                <w:szCs w:val="20"/>
              </w:rPr>
              <w:t xml:space="preserve">2BHK/3BHK</w:t>
            </w:r>
          </w:p>
        </w:tc>
        <w:tc>
          <w:tcPr>
            <w:tcW w:type="dxa" w:w="2200"/>
            <w:tcMar>
              <w:top w:type="dxa" w:w="60"/>
              <w:left w:type="dxa" w:w="100"/>
              <w:bottom w:type="dxa" w:w="60"/>
              <w:right w:type="dxa" w:w="100"/>
            </w:tcMar>
            <w:vAlign w:val="center"/>
          </w:tcPr>
          <w:p>
            <w:pPr>
              <w:jc w:val="left"/>
            </w:pPr>
            <w:r>
              <w:rPr>
                <w:b w:val="false"/>
                <w:bCs w:val="false"/>
                <w:sz w:val="20"/>
                <w:szCs w:val="20"/>
              </w:rPr>
              <w:t xml:space="preserve">~Rs 13,900/sq.ft</w:t>
            </w:r>
          </w:p>
        </w:tc>
        <w:tc>
          <w:tcPr>
            <w:tcW w:type="dxa" w:w="1750"/>
            <w:tcMar>
              <w:top w:type="dxa" w:w="60"/>
              <w:left w:type="dxa" w:w="100"/>
              <w:bottom w:type="dxa" w:w="60"/>
              <w:right w:type="dxa" w:w="100"/>
            </w:tcMar>
            <w:vAlign w:val="center"/>
          </w:tcPr>
          <w:p>
            <w:pPr>
              <w:jc w:val="left"/>
            </w:pPr>
            <w:r>
              <w:rPr>
                <w:b w:val="false"/>
                <w:bCs w:val="false"/>
                <w:sz w:val="20"/>
                <w:szCs w:val="20"/>
              </w:rPr>
              <w:t xml:space="preserve">0 km</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Yashada Dreamsong (independent developer)</w:t>
            </w:r>
          </w:p>
        </w:tc>
        <w:tc>
          <w:tcPr>
            <w:tcW w:type="dxa" w:w="2200"/>
            <w:tcMar>
              <w:top w:type="dxa" w:w="60"/>
              <w:left w:type="dxa" w:w="100"/>
              <w:bottom w:type="dxa" w:w="60"/>
              <w:right w:type="dxa" w:w="100"/>
            </w:tcMar>
            <w:vAlign w:val="center"/>
          </w:tcPr>
          <w:p>
            <w:pPr>
              <w:jc w:val="left"/>
            </w:pPr>
            <w:r>
              <w:rPr>
                <w:b w:val="false"/>
                <w:bCs w:val="false"/>
                <w:sz w:val="20"/>
                <w:szCs w:val="20"/>
              </w:rPr>
              <w:t xml:space="preserve">2BHK/3BHK</w:t>
            </w:r>
          </w:p>
        </w:tc>
        <w:tc>
          <w:tcPr>
            <w:tcW w:type="dxa" w:w="2200"/>
            <w:tcMar>
              <w:top w:type="dxa" w:w="60"/>
              <w:left w:type="dxa" w:w="100"/>
              <w:bottom w:type="dxa" w:w="60"/>
              <w:right w:type="dxa" w:w="100"/>
            </w:tcMar>
            <w:vAlign w:val="center"/>
          </w:tcPr>
          <w:p>
            <w:pPr>
              <w:jc w:val="left"/>
            </w:pPr>
            <w:r>
              <w:rPr>
                <w:b w:val="false"/>
                <w:bCs w:val="false"/>
                <w:sz w:val="20"/>
                <w:szCs w:val="20"/>
              </w:rPr>
              <w:t xml:space="preserve">~Rs 8,100–9,260/sq.ft</w:t>
            </w:r>
          </w:p>
        </w:tc>
        <w:tc>
          <w:tcPr>
            <w:tcW w:type="dxa" w:w="1750"/>
            <w:tcMar>
              <w:top w:type="dxa" w:w="60"/>
              <w:left w:type="dxa" w:w="100"/>
              <w:bottom w:type="dxa" w:w="60"/>
              <w:right w:type="dxa" w:w="100"/>
            </w:tcMar>
            <w:vAlign w:val="center"/>
          </w:tcPr>
          <w:p>
            <w:pPr>
              <w:jc w:val="left"/>
            </w:pPr>
            <w:r>
              <w:rPr>
                <w:b w:val="false"/>
                <w:bCs w:val="false"/>
                <w:sz w:val="20"/>
                <w:szCs w:val="20"/>
              </w:rPr>
              <w:t xml:space="preserve">0.35 km</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Mamurdi locality average</w:t>
            </w:r>
          </w:p>
        </w:tc>
        <w:tc>
          <w:tcPr>
            <w:tcW w:type="dxa" w:w="2200"/>
            <w:tcMar>
              <w:top w:type="dxa" w:w="60"/>
              <w:left w:type="dxa" w:w="100"/>
              <w:bottom w:type="dxa" w:w="60"/>
              <w:right w:type="dxa" w:w="100"/>
            </w:tcMar>
            <w:vAlign w:val="center"/>
          </w:tcPr>
          <w:p>
            <w:pPr>
              <w:jc w:val="left"/>
            </w:pPr>
            <w:r>
              <w:rPr>
                <w:b w:val="false"/>
                <w:bCs w:val="false"/>
                <w:sz w:val="20"/>
                <w:szCs w:val="20"/>
              </w:rPr>
              <w:t xml:space="preserve">Mixed</w:t>
            </w:r>
          </w:p>
        </w:tc>
        <w:tc>
          <w:tcPr>
            <w:tcW w:type="dxa" w:w="2200"/>
            <w:tcMar>
              <w:top w:type="dxa" w:w="60"/>
              <w:left w:type="dxa" w:w="100"/>
              <w:bottom w:type="dxa" w:w="60"/>
              <w:right w:type="dxa" w:w="100"/>
            </w:tcMar>
            <w:vAlign w:val="center"/>
          </w:tcPr>
          <w:p>
            <w:pPr>
              <w:jc w:val="left"/>
            </w:pPr>
            <w:r>
              <w:rPr>
                <w:b w:val="false"/>
                <w:bCs w:val="false"/>
                <w:sz w:val="20"/>
                <w:szCs w:val="20"/>
              </w:rPr>
              <w:t xml:space="preserve">~Rs 9,100/sq.ft</w:t>
            </w:r>
          </w:p>
        </w:tc>
        <w:tc>
          <w:tcPr>
            <w:tcW w:type="dxa" w:w="1750"/>
            <w:tcMar>
              <w:top w:type="dxa" w:w="60"/>
              <w:left w:type="dxa" w:w="100"/>
              <w:bottom w:type="dxa" w:w="60"/>
              <w:right w:type="dxa" w:w="100"/>
            </w:tcMar>
            <w:vAlign w:val="center"/>
          </w:tcPr>
          <w:p>
            <w:pPr>
              <w:jc w:val="left"/>
            </w:pPr>
            <w:r>
              <w:rPr>
                <w:b w:val="false"/>
                <w:bCs w:val="false"/>
                <w:sz w:val="20"/>
                <w:szCs w:val="20"/>
              </w:rPr>
              <w:t xml:space="preserve">n/a</w:t>
            </w:r>
          </w:p>
        </w:tc>
      </w:tr>
    </w:tbl>
    <w:p>
      <w:pPr>
        <w:spacing w:after="160"/>
      </w:pPr>
      <w:r>
        <w:t xml:space="preserve">Yashada Dreamsong — a genuinely independent project just 0.35 km away, on effectively the same plot of land — prices 35–45% below Godrej Park Greens' own listed rate, a useful signal that a meaningful share of this project's premium is a brand effect, not a location effect.</w:t>
      </w:r>
    </w:p>
    <w:p>
      <w:pPr>
        <w:pStyle w:val="Heading1"/>
        <w:spacing w:after="140" w:before="280"/>
      </w:pPr>
      <w:r>
        <w:t xml:space="preserve">7. RERA Core Data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6450"/>
      </w:tblGrid>
      <w:tr>
        <w:tc>
          <w:tcPr>
            <w:tcW w:type="dxa" w:w="2900"/>
            <w:shd w:fill="D9E2F3" w:val="clear"/>
            <w:tcMar>
              <w:top w:type="dxa" w:w="60"/>
              <w:left w:type="dxa" w:w="100"/>
              <w:bottom w:type="dxa" w:w="60"/>
              <w:right w:type="dxa" w:w="100"/>
            </w:tcMar>
            <w:vAlign w:val="center"/>
          </w:tcPr>
          <w:p>
            <w:pPr>
              <w:jc w:val="left"/>
            </w:pPr>
            <w:r>
              <w:rPr>
                <w:b/>
                <w:bCs/>
                <w:sz w:val="20"/>
                <w:szCs w:val="20"/>
              </w:rPr>
              <w:t xml:space="preserve">Project status</w:t>
            </w:r>
          </w:p>
        </w:tc>
        <w:tc>
          <w:tcPr>
            <w:tcW w:type="dxa" w:w="6450"/>
            <w:tcMar>
              <w:top w:type="dxa" w:w="60"/>
              <w:left w:type="dxa" w:w="100"/>
              <w:bottom w:type="dxa" w:w="60"/>
              <w:right w:type="dxa" w:w="100"/>
            </w:tcMar>
            <w:vAlign w:val="center"/>
          </w:tcPr>
          <w:p>
            <w:pPr>
              <w:jc w:val="left"/>
            </w:pPr>
            <w:r>
              <w:rPr>
                <w:b w:val="false"/>
                <w:bCs w:val="false"/>
                <w:sz w:val="20"/>
                <w:szCs w:val="20"/>
              </w:rPr>
              <w:t xml:space="preserve">Certificate Signed / New</w:t>
            </w:r>
          </w:p>
        </w:tc>
      </w:tr>
      <w:tr>
        <w:tc>
          <w:tcPr>
            <w:tcW w:type="dxa" w:w="2900"/>
            <w:shd w:fill="D9E2F3" w:val="clear"/>
            <w:tcMar>
              <w:top w:type="dxa" w:w="60"/>
              <w:left w:type="dxa" w:w="100"/>
              <w:bottom w:type="dxa" w:w="60"/>
              <w:right w:type="dxa" w:w="100"/>
            </w:tcMar>
            <w:vAlign w:val="center"/>
          </w:tcPr>
          <w:p>
            <w:pPr>
              <w:jc w:val="left"/>
            </w:pPr>
            <w:r>
              <w:rPr>
                <w:b/>
                <w:bCs/>
                <w:sz w:val="20"/>
                <w:szCs w:val="20"/>
              </w:rPr>
              <w:t xml:space="preserve">Approved date</w:t>
            </w:r>
          </w:p>
        </w:tc>
        <w:tc>
          <w:tcPr>
            <w:tcW w:type="dxa" w:w="6450"/>
            <w:tcMar>
              <w:top w:type="dxa" w:w="60"/>
              <w:left w:type="dxa" w:w="100"/>
              <w:bottom w:type="dxa" w:w="60"/>
              <w:right w:type="dxa" w:w="100"/>
            </w:tcMar>
            <w:vAlign w:val="center"/>
          </w:tcPr>
          <w:p>
            <w:pPr>
              <w:jc w:val="left"/>
            </w:pPr>
            <w:r>
              <w:rPr>
                <w:b w:val="false"/>
                <w:bCs w:val="false"/>
                <w:sz w:val="20"/>
                <w:szCs w:val="20"/>
              </w:rPr>
              <w:t xml:space="preserve">2019-02-20</w:t>
            </w:r>
          </w:p>
        </w:tc>
      </w:tr>
      <w:tr>
        <w:tc>
          <w:tcPr>
            <w:tcW w:type="dxa" w:w="2900"/>
            <w:shd w:fill="D9E2F3" w:val="clear"/>
            <w:tcMar>
              <w:top w:type="dxa" w:w="60"/>
              <w:left w:type="dxa" w:w="100"/>
              <w:bottom w:type="dxa" w:w="60"/>
              <w:right w:type="dxa" w:w="100"/>
            </w:tcMar>
            <w:vAlign w:val="center"/>
          </w:tcPr>
          <w:p>
            <w:pPr>
              <w:jc w:val="left"/>
            </w:pPr>
            <w:r>
              <w:rPr>
                <w:b/>
                <w:bCs/>
                <w:sz w:val="20"/>
                <w:szCs w:val="20"/>
              </w:rPr>
              <w:t xml:space="preserve">Proposed completion</w:t>
            </w:r>
          </w:p>
        </w:tc>
        <w:tc>
          <w:tcPr>
            <w:tcW w:type="dxa" w:w="6450"/>
            <w:tcMar>
              <w:top w:type="dxa" w:w="60"/>
              <w:left w:type="dxa" w:w="100"/>
              <w:bottom w:type="dxa" w:w="60"/>
              <w:right w:type="dxa" w:w="100"/>
            </w:tcMar>
            <w:vAlign w:val="center"/>
          </w:tcPr>
          <w:p>
            <w:pPr>
              <w:jc w:val="left"/>
            </w:pPr>
            <w:r>
              <w:rPr>
                <w:b w:val="false"/>
                <w:bCs w:val="false"/>
                <w:sz w:val="20"/>
                <w:szCs w:val="20"/>
              </w:rPr>
              <w:t xml:space="preserve">2028-03-30 (originally 2024-03-30)</w:t>
            </w:r>
          </w:p>
        </w:tc>
      </w:tr>
      <w:tr>
        <w:tc>
          <w:tcPr>
            <w:tcW w:type="dxa" w:w="2900"/>
            <w:shd w:fill="D9E2F3" w:val="clear"/>
            <w:tcMar>
              <w:top w:type="dxa" w:w="60"/>
              <w:left w:type="dxa" w:w="100"/>
              <w:bottom w:type="dxa" w:w="60"/>
              <w:right w:type="dxa" w:w="100"/>
            </w:tcMar>
            <w:vAlign w:val="center"/>
          </w:tcPr>
          <w:p>
            <w:pPr>
              <w:jc w:val="left"/>
            </w:pPr>
            <w:r>
              <w:rPr>
                <w:b/>
                <w:bCs/>
                <w:sz w:val="20"/>
                <w:szCs w:val="20"/>
              </w:rPr>
              <w:t xml:space="preserve">Total units</w:t>
            </w:r>
          </w:p>
        </w:tc>
        <w:tc>
          <w:tcPr>
            <w:tcW w:type="dxa" w:w="6450"/>
            <w:tcMar>
              <w:top w:type="dxa" w:w="60"/>
              <w:left w:type="dxa" w:w="100"/>
              <w:bottom w:type="dxa" w:w="60"/>
              <w:right w:type="dxa" w:w="100"/>
            </w:tcMar>
            <w:vAlign w:val="center"/>
          </w:tcPr>
          <w:p>
            <w:pPr>
              <w:jc w:val="left"/>
            </w:pPr>
            <w:r>
              <w:rPr>
                <w:b w:val="false"/>
                <w:bCs w:val="false"/>
                <w:sz w:val="20"/>
                <w:szCs w:val="20"/>
              </w:rPr>
              <w:t xml:space="preserve">1,210 (1,194 sold, ~98.7%)</w:t>
            </w:r>
          </w:p>
        </w:tc>
      </w:tr>
      <w:tr>
        <w:tc>
          <w:tcPr>
            <w:tcW w:type="dxa" w:w="2900"/>
            <w:shd w:fill="D9E2F3" w:val="clear"/>
            <w:tcMar>
              <w:top w:type="dxa" w:w="60"/>
              <w:left w:type="dxa" w:w="100"/>
              <w:bottom w:type="dxa" w:w="60"/>
              <w:right w:type="dxa" w:w="100"/>
            </w:tcMar>
            <w:vAlign w:val="center"/>
          </w:tcPr>
          <w:p>
            <w:pPr>
              <w:jc w:val="left"/>
            </w:pPr>
            <w:r>
              <w:rPr>
                <w:b/>
                <w:bCs/>
                <w:sz w:val="20"/>
                <w:szCs w:val="20"/>
              </w:rPr>
              <w:t xml:space="preserve">Buildings</w:t>
            </w:r>
          </w:p>
        </w:tc>
        <w:tc>
          <w:tcPr>
            <w:tcW w:type="dxa" w:w="6450"/>
            <w:tcMar>
              <w:top w:type="dxa" w:w="60"/>
              <w:left w:type="dxa" w:w="100"/>
              <w:bottom w:type="dxa" w:w="60"/>
              <w:right w:type="dxa" w:w="100"/>
            </w:tcMar>
            <w:vAlign w:val="center"/>
          </w:tcPr>
          <w:p>
            <w:pPr>
              <w:jc w:val="left"/>
            </w:pPr>
            <w:r>
              <w:rPr>
                <w:b w:val="false"/>
                <w:bCs w:val="false"/>
                <w:sz w:val="20"/>
                <w:szCs w:val="20"/>
              </w:rPr>
              <w:t xml:space="preserve">B1–B7 plus an EWS component</w:t>
            </w:r>
          </w:p>
        </w:tc>
      </w:tr>
    </w:tbl>
    <w:p>
      <w:pPr>
        <w:spacing w:after="160"/>
      </w:pPr>
      <w:r>
        <w:rPr>
          <w:i/>
          <w:iCs/>
        </w:rPr>
        <w:t xml:space="preserve">Per-building/wing floor and unit breakdowns were not confirmed from documents opened this pass (Monitor Flag, Section 1.3).</w:t>
      </w:r>
    </w:p>
    <w:p>
      <w:r>
        <w:br w:type="page"/>
      </w:r>
    </w:p>
    <w:p>
      <w:pPr>
        <w:pStyle w:val="Heading1"/>
        <w:spacing w:after="140" w:before="280"/>
      </w:pPr>
      <w:r>
        <w:t xml:space="preserve">8. Diligence Appendix</w:t>
      </w:r>
    </w:p>
    <w:p>
      <w:pPr>
        <w:pStyle w:val="Heading2"/>
        <w:spacing w:after="140" w:before="280"/>
      </w:pPr>
      <w:r>
        <w:t xml:space="preserve">8.1 Documents reviewed</w:t>
      </w:r>
    </w:p>
    <w:p>
      <w:pPr>
        <w:spacing w:after="160"/>
      </w:pPr>
      <w:r>
        <w:t xml:space="preserve">Three documents were opened and read directly this session: the Supplemental Legal Due Diligence Report (full 14-parcel title chain, litigation/mortgage findings), the Form B / Rule 3(4) Declaration (completion date, mortgagee disclosure), and the sanctioned Layout of the Project Land drawing (phase plot area, building count). A Completion/Occupancy Certificate is absent from the Document Library — expected, since the project remains under construction. Several architect/engineer/CA certificate PDFs were not opened this pass, prioritized behind the title/declaration/layout documents most likely to carry material facts.</w:t>
      </w:r>
    </w:p>
    <w:p>
      <w:pPr>
        <w:pStyle w:val="Heading2"/>
        <w:spacing w:after="140" w:before="280"/>
      </w:pPr>
      <w:r>
        <w:t xml:space="preserve">8.2 Data Authenticity</w:t>
      </w:r>
    </w:p>
    <w:p>
      <w:pPr>
        <w:spacing w:after="160"/>
      </w:pPr>
      <w:r>
        <w:rPr>
          <w:b/>
          <w:bCs/>
        </w:rPr>
        <w:t xml:space="preserve">Overall: 52.9 / 100 — Moderate band.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3900"/>
      </w:tblGrid>
      <w:tr>
        <w:tc>
          <w:tcPr>
            <w:tcW w:type="dxa" w:w="3800"/>
            <w:shd w:fill="D9E2F3" w:val="clear"/>
            <w:tcMar>
              <w:top w:type="dxa" w:w="60"/>
              <w:left w:type="dxa" w:w="100"/>
              <w:bottom w:type="dxa" w:w="60"/>
              <w:right w:type="dxa" w:w="100"/>
            </w:tcMar>
            <w:vAlign w:val="center"/>
          </w:tcPr>
          <w:p>
            <w:pPr>
              <w:jc w:val="left"/>
            </w:pPr>
            <w:r>
              <w:rPr>
                <w:b/>
                <w:bCs/>
                <w:sz w:val="20"/>
                <w:szCs w:val="20"/>
              </w:rPr>
              <w:t xml:space="preserve">Criterion</w:t>
            </w:r>
          </w:p>
        </w:tc>
        <w:tc>
          <w:tcPr>
            <w:tcW w:type="dxa" w:w="1400"/>
            <w:shd w:fill="D9E2F3" w:val="clear"/>
            <w:tcMar>
              <w:top w:type="dxa" w:w="60"/>
              <w:left w:type="dxa" w:w="100"/>
              <w:bottom w:type="dxa" w:w="60"/>
              <w:right w:type="dxa" w:w="100"/>
            </w:tcMar>
            <w:vAlign w:val="center"/>
          </w:tcPr>
          <w:p>
            <w:pPr>
              <w:jc w:val="left"/>
            </w:pPr>
            <w:r>
              <w:rPr>
                <w:b/>
                <w:bCs/>
                <w:sz w:val="20"/>
                <w:szCs w:val="20"/>
              </w:rPr>
              <w:t xml:space="preserve">Score</w:t>
            </w:r>
          </w:p>
        </w:tc>
        <w:tc>
          <w:tcPr>
            <w:tcW w:type="dxa" w:w="3900"/>
            <w:shd w:fill="D9E2F3" w:val="clear"/>
            <w:tcMar>
              <w:top w:type="dxa" w:w="60"/>
              <w:left w:type="dxa" w:w="100"/>
              <w:bottom w:type="dxa" w:w="60"/>
              <w:right w:type="dxa" w:w="100"/>
            </w:tcMar>
            <w:vAlign w:val="center"/>
          </w:tcPr>
          <w:p>
            <w:pPr>
              <w:jc w:val="left"/>
            </w:pPr>
            <w:r>
              <w:rPr>
                <w:b/>
                <w:bCs/>
                <w:sz w:val="20"/>
                <w:szCs w:val="20"/>
              </w:rPr>
              <w:t xml:space="preserve">Weight</w:t>
            </w:r>
          </w:p>
        </w:tc>
      </w:tr>
      <w:tr>
        <w:tc>
          <w:tcPr>
            <w:tcW w:type="dxa" w:w="3800"/>
            <w:tcMar>
              <w:top w:type="dxa" w:w="60"/>
              <w:left w:type="dxa" w:w="100"/>
              <w:bottom w:type="dxa" w:w="60"/>
              <w:right w:type="dxa" w:w="100"/>
            </w:tcMar>
            <w:vAlign w:val="center"/>
          </w:tcPr>
          <w:p>
            <w:pPr>
              <w:jc w:val="left"/>
            </w:pPr>
            <w:r>
              <w:rPr>
                <w:b w:val="false"/>
                <w:bCs w:val="false"/>
                <w:sz w:val="20"/>
                <w:szCs w:val="20"/>
              </w:rPr>
              <w:t xml:space="preserve">Source Tier Quality</w:t>
            </w:r>
          </w:p>
        </w:tc>
        <w:tc>
          <w:tcPr>
            <w:tcW w:type="dxa" w:w="1400"/>
            <w:tcMar>
              <w:top w:type="dxa" w:w="60"/>
              <w:left w:type="dxa" w:w="100"/>
              <w:bottom w:type="dxa" w:w="60"/>
              <w:right w:type="dxa" w:w="100"/>
            </w:tcMar>
            <w:vAlign w:val="center"/>
          </w:tcPr>
          <w:p>
            <w:pPr>
              <w:jc w:val="left"/>
            </w:pPr>
            <w:r>
              <w:rPr>
                <w:b w:val="false"/>
                <w:bCs w:val="false"/>
                <w:sz w:val="20"/>
                <w:szCs w:val="20"/>
              </w:rPr>
              <w:t xml:space="preserve">54.5</w:t>
            </w:r>
          </w:p>
        </w:tc>
        <w:tc>
          <w:tcPr>
            <w:tcW w:type="dxa" w:w="3900"/>
            <w:tcMar>
              <w:top w:type="dxa" w:w="60"/>
              <w:left w:type="dxa" w:w="100"/>
              <w:bottom w:type="dxa" w:w="60"/>
              <w:right w:type="dxa" w:w="100"/>
            </w:tcMar>
            <w:vAlign w:val="center"/>
          </w:tcPr>
          <w:p>
            <w:pPr>
              <w:jc w:val="left"/>
            </w:pPr>
            <w:r>
              <w:rPr>
                <w:b w:val="false"/>
                <w:bCs w:val="false"/>
                <w:sz w:val="20"/>
                <w:szCs w:val="20"/>
              </w:rPr>
              <w:t xml:space="preserve">30%</w:t>
            </w:r>
          </w:p>
        </w:tc>
      </w:tr>
      <w:tr>
        <w:tc>
          <w:tcPr>
            <w:tcW w:type="dxa" w:w="3800"/>
            <w:tcMar>
              <w:top w:type="dxa" w:w="60"/>
              <w:left w:type="dxa" w:w="100"/>
              <w:bottom w:type="dxa" w:w="60"/>
              <w:right w:type="dxa" w:w="100"/>
            </w:tcMar>
            <w:vAlign w:val="center"/>
          </w:tcPr>
          <w:p>
            <w:pPr>
              <w:jc w:val="left"/>
            </w:pPr>
            <w:r>
              <w:rPr>
                <w:b w:val="false"/>
                <w:bCs w:val="false"/>
                <w:sz w:val="20"/>
                <w:szCs w:val="20"/>
              </w:rPr>
              <w:t xml:space="preserve">Primary-Tier Density</w:t>
            </w:r>
          </w:p>
        </w:tc>
        <w:tc>
          <w:tcPr>
            <w:tcW w:type="dxa" w:w="1400"/>
            <w:tcMar>
              <w:top w:type="dxa" w:w="60"/>
              <w:left w:type="dxa" w:w="100"/>
              <w:bottom w:type="dxa" w:w="60"/>
              <w:right w:type="dxa" w:w="100"/>
            </w:tcMar>
            <w:vAlign w:val="center"/>
          </w:tcPr>
          <w:p>
            <w:pPr>
              <w:jc w:val="left"/>
            </w:pPr>
            <w:r>
              <w:rPr>
                <w:b w:val="false"/>
                <w:bCs w:val="false"/>
                <w:sz w:val="20"/>
                <w:szCs w:val="20"/>
              </w:rPr>
              <w:t xml:space="preserve">20.0</w:t>
            </w:r>
          </w:p>
        </w:tc>
        <w:tc>
          <w:tcPr>
            <w:tcW w:type="dxa" w:w="3900"/>
            <w:tcMar>
              <w:top w:type="dxa" w:w="60"/>
              <w:left w:type="dxa" w:w="100"/>
              <w:bottom w:type="dxa" w:w="60"/>
              <w:right w:type="dxa" w:w="100"/>
            </w:tcMar>
            <w:vAlign w:val="center"/>
          </w:tcPr>
          <w:p>
            <w:pPr>
              <w:jc w:val="left"/>
            </w:pPr>
            <w:r>
              <w:rPr>
                <w:b w:val="false"/>
                <w:bCs w:val="false"/>
                <w:sz w:val="20"/>
                <w:szCs w:val="20"/>
              </w:rPr>
              <w:t xml:space="preserve">20%</w:t>
            </w:r>
          </w:p>
        </w:tc>
      </w:tr>
      <w:tr>
        <w:tc>
          <w:tcPr>
            <w:tcW w:type="dxa" w:w="3800"/>
            <w:tcMar>
              <w:top w:type="dxa" w:w="60"/>
              <w:left w:type="dxa" w:w="100"/>
              <w:bottom w:type="dxa" w:w="60"/>
              <w:right w:type="dxa" w:w="100"/>
            </w:tcMar>
            <w:vAlign w:val="center"/>
          </w:tcPr>
          <w:p>
            <w:pPr>
              <w:jc w:val="left"/>
            </w:pPr>
            <w:r>
              <w:rPr>
                <w:b w:val="false"/>
                <w:bCs w:val="false"/>
                <w:sz w:val="20"/>
                <w:szCs w:val="20"/>
              </w:rPr>
              <w:t xml:space="preserve">Completeness Rate</w:t>
            </w:r>
          </w:p>
        </w:tc>
        <w:tc>
          <w:tcPr>
            <w:tcW w:type="dxa" w:w="1400"/>
            <w:tcMar>
              <w:top w:type="dxa" w:w="60"/>
              <w:left w:type="dxa" w:w="100"/>
              <w:bottom w:type="dxa" w:w="60"/>
              <w:right w:type="dxa" w:w="100"/>
            </w:tcMar>
            <w:vAlign w:val="center"/>
          </w:tcPr>
          <w:p>
            <w:pPr>
              <w:jc w:val="left"/>
            </w:pPr>
            <w:r>
              <w:rPr>
                <w:b w:val="false"/>
                <w:bCs w:val="false"/>
                <w:sz w:val="20"/>
                <w:szCs w:val="20"/>
              </w:rPr>
              <w:t xml:space="preserve">52.6</w:t>
            </w:r>
          </w:p>
        </w:tc>
        <w:tc>
          <w:tcPr>
            <w:tcW w:type="dxa" w:w="3900"/>
            <w:tcMar>
              <w:top w:type="dxa" w:w="60"/>
              <w:left w:type="dxa" w:w="100"/>
              <w:bottom w:type="dxa" w:w="60"/>
              <w:right w:type="dxa" w:w="100"/>
            </w:tcMar>
            <w:vAlign w:val="center"/>
          </w:tcPr>
          <w:p>
            <w:pPr>
              <w:jc w:val="left"/>
            </w:pPr>
            <w:r>
              <w:rPr>
                <w:b w:val="false"/>
                <w:bCs w:val="false"/>
                <w:sz w:val="20"/>
                <w:szCs w:val="20"/>
              </w:rPr>
              <w:t xml:space="preserve">20%</w:t>
            </w:r>
          </w:p>
        </w:tc>
      </w:tr>
      <w:tr>
        <w:tc>
          <w:tcPr>
            <w:tcW w:type="dxa" w:w="3800"/>
            <w:tcMar>
              <w:top w:type="dxa" w:w="60"/>
              <w:left w:type="dxa" w:w="100"/>
              <w:bottom w:type="dxa" w:w="60"/>
              <w:right w:type="dxa" w:w="100"/>
            </w:tcMar>
            <w:vAlign w:val="center"/>
          </w:tcPr>
          <w:p>
            <w:pPr>
              <w:jc w:val="left"/>
            </w:pPr>
            <w:r>
              <w:rPr>
                <w:b w:val="false"/>
                <w:bCs w:val="false"/>
                <w:sz w:val="20"/>
                <w:szCs w:val="20"/>
              </w:rPr>
              <w:t xml:space="preserve">Cross-Corroboration</w:t>
            </w:r>
          </w:p>
        </w:tc>
        <w:tc>
          <w:tcPr>
            <w:tcW w:type="dxa" w:w="1400"/>
            <w:tcMar>
              <w:top w:type="dxa" w:w="60"/>
              <w:left w:type="dxa" w:w="100"/>
              <w:bottom w:type="dxa" w:w="60"/>
              <w:right w:type="dxa" w:w="100"/>
            </w:tcMar>
            <w:vAlign w:val="center"/>
          </w:tcPr>
          <w:p>
            <w:pPr>
              <w:jc w:val="left"/>
            </w:pPr>
            <w:r>
              <w:rPr>
                <w:b w:val="false"/>
                <w:bCs w:val="false"/>
                <w:sz w:val="20"/>
                <w:szCs w:val="20"/>
              </w:rPr>
              <w:t xml:space="preserve">50.0</w:t>
            </w:r>
          </w:p>
        </w:tc>
        <w:tc>
          <w:tcPr>
            <w:tcW w:type="dxa" w:w="3900"/>
            <w:tcMar>
              <w:top w:type="dxa" w:w="60"/>
              <w:left w:type="dxa" w:w="100"/>
              <w:bottom w:type="dxa" w:w="60"/>
              <w:right w:type="dxa" w:w="100"/>
            </w:tcMar>
            <w:vAlign w:val="center"/>
          </w:tcPr>
          <w:p>
            <w:pPr>
              <w:jc w:val="left"/>
            </w:pPr>
            <w:r>
              <w:rPr>
                <w:b w:val="false"/>
                <w:bCs w:val="false"/>
                <w:sz w:val="20"/>
                <w:szCs w:val="20"/>
              </w:rPr>
              <w:t xml:space="preserve">15%</w:t>
            </w:r>
          </w:p>
        </w:tc>
      </w:tr>
      <w:tr>
        <w:tc>
          <w:tcPr>
            <w:tcW w:type="dxa" w:w="3800"/>
            <w:tcMar>
              <w:top w:type="dxa" w:w="60"/>
              <w:left w:type="dxa" w:w="100"/>
              <w:bottom w:type="dxa" w:w="60"/>
              <w:right w:type="dxa" w:w="100"/>
            </w:tcMar>
            <w:vAlign w:val="center"/>
          </w:tcPr>
          <w:p>
            <w:pPr>
              <w:jc w:val="left"/>
            </w:pPr>
            <w:r>
              <w:rPr>
                <w:b w:val="false"/>
                <w:bCs w:val="false"/>
                <w:sz w:val="20"/>
                <w:szCs w:val="20"/>
              </w:rPr>
              <w:t xml:space="preserve">Recency</w:t>
            </w:r>
          </w:p>
        </w:tc>
        <w:tc>
          <w:tcPr>
            <w:tcW w:type="dxa" w:w="1400"/>
            <w:tcMar>
              <w:top w:type="dxa" w:w="60"/>
              <w:left w:type="dxa" w:w="100"/>
              <w:bottom w:type="dxa" w:w="60"/>
              <w:right w:type="dxa" w:w="100"/>
            </w:tcMar>
            <w:vAlign w:val="center"/>
          </w:tcPr>
          <w:p>
            <w:pPr>
              <w:jc w:val="left"/>
            </w:pPr>
            <w:r>
              <w:rPr>
                <w:b w:val="false"/>
                <w:bCs w:val="false"/>
                <w:sz w:val="20"/>
                <w:szCs w:val="20"/>
              </w:rPr>
              <w:t xml:space="preserve">100.0</w:t>
            </w:r>
          </w:p>
        </w:tc>
        <w:tc>
          <w:tcPr>
            <w:tcW w:type="dxa" w:w="3900"/>
            <w:tcMar>
              <w:top w:type="dxa" w:w="60"/>
              <w:left w:type="dxa" w:w="100"/>
              <w:bottom w:type="dxa" w:w="60"/>
              <w:right w:type="dxa" w:w="100"/>
            </w:tcMar>
            <w:vAlign w:val="center"/>
          </w:tcPr>
          <w:p>
            <w:pPr>
              <w:jc w:val="left"/>
            </w:pPr>
            <w:r>
              <w:rPr>
                <w:b w:val="false"/>
                <w:bCs w:val="false"/>
                <w:sz w:val="20"/>
                <w:szCs w:val="20"/>
              </w:rPr>
              <w:t xml:space="preserve">10%</w:t>
            </w:r>
          </w:p>
        </w:tc>
      </w:tr>
      <w:tr>
        <w:tc>
          <w:tcPr>
            <w:tcW w:type="dxa" w:w="3800"/>
            <w:tcMar>
              <w:top w:type="dxa" w:w="60"/>
              <w:left w:type="dxa" w:w="100"/>
              <w:bottom w:type="dxa" w:w="60"/>
              <w:right w:type="dxa" w:w="100"/>
            </w:tcMar>
            <w:vAlign w:val="center"/>
          </w:tcPr>
          <w:p>
            <w:pPr>
              <w:jc w:val="left"/>
            </w:pPr>
            <w:r>
              <w:rPr>
                <w:b w:val="false"/>
                <w:bCs w:val="false"/>
                <w:sz w:val="20"/>
                <w:szCs w:val="20"/>
              </w:rPr>
              <w:t xml:space="preserve">Verification Rate</w:t>
            </w:r>
          </w:p>
        </w:tc>
        <w:tc>
          <w:tcPr>
            <w:tcW w:type="dxa" w:w="1400"/>
            <w:tcMar>
              <w:top w:type="dxa" w:w="60"/>
              <w:left w:type="dxa" w:w="100"/>
              <w:bottom w:type="dxa" w:w="60"/>
              <w:right w:type="dxa" w:w="100"/>
            </w:tcMar>
            <w:vAlign w:val="center"/>
          </w:tcPr>
          <w:p>
            <w:pPr>
              <w:jc w:val="left"/>
            </w:pPr>
            <w:r>
              <w:rPr>
                <w:b w:val="false"/>
                <w:bCs w:val="false"/>
                <w:sz w:val="20"/>
                <w:szCs w:val="20"/>
              </w:rPr>
              <w:t xml:space="preserve">90.9</w:t>
            </w:r>
          </w:p>
        </w:tc>
        <w:tc>
          <w:tcPr>
            <w:tcW w:type="dxa" w:w="3900"/>
            <w:tcMar>
              <w:top w:type="dxa" w:w="60"/>
              <w:left w:type="dxa" w:w="100"/>
              <w:bottom w:type="dxa" w:w="60"/>
              <w:right w:type="dxa" w:w="100"/>
            </w:tcMar>
            <w:vAlign w:val="center"/>
          </w:tcPr>
          <w:p>
            <w:pPr>
              <w:jc w:val="left"/>
            </w:pPr>
            <w:r>
              <w:rPr>
                <w:b w:val="false"/>
                <w:bCs w:val="false"/>
                <w:sz w:val="20"/>
                <w:szCs w:val="20"/>
              </w:rPr>
              <w:t xml:space="preserve">5%</w:t>
            </w:r>
          </w:p>
        </w:tc>
      </w:tr>
    </w:tbl>
    <w:p>
      <w:pPr>
        <w:spacing w:after="160"/>
      </w:pPr>
      <w:r>
        <w:rPr>
          <w:i/>
          <w:iCs/>
        </w:rPr>
        <w:t xml:space="preserve">This scores how well-sourced this Charter's own claims are — not how safe the underlying project is. Project and promoter risk are read from Section 1 and Section 3.3, not from this score.</w:t>
      </w:r>
    </w:p>
    <w:p>
      <w:pPr>
        <w:pStyle w:val="Heading1"/>
        <w:spacing w:after="140" w:before="280"/>
      </w:pPr>
      <w:r>
        <w:t xml:space="preserve">9. Sources</w:t>
      </w:r>
    </w:p>
    <w:p>
      <w:pPr>
        <w:pStyle w:val="ListParagraph"/>
        <w:numPr>
          <w:ilvl w:val="0"/>
          <w:numId w:val="1"/>
        </w:numPr>
        <w:spacing w:after="80"/>
      </w:pPr>
      <w:r>
        <w:t xml:space="preserve">MahaRERA's official project record — registration P52100019639, retrieved 2026-07-17.</w:t>
      </w:r>
    </w:p>
    <w:p>
      <w:pPr>
        <w:pStyle w:val="ListParagraph"/>
        <w:numPr>
          <w:ilvl w:val="0"/>
          <w:numId w:val="1"/>
        </w:numPr>
        <w:spacing w:after="80"/>
      </w:pPr>
      <w:r>
        <w:t xml:space="preserve">MahaRERA Document Viewer — Supplemental title report, Form B, Layout of the Project Land, opened directly.</w:t>
      </w:r>
    </w:p>
    <w:p>
      <w:pPr>
        <w:pStyle w:val="ListParagraph"/>
        <w:numPr>
          <w:ilvl w:val="0"/>
          <w:numId w:val="1"/>
        </w:numPr>
        <w:spacing w:after="80"/>
      </w:pPr>
      <w:r>
        <w:t xml:space="preserve">99acres — Mamurdi pricing and Godrej Park Greens project page.</w:t>
      </w:r>
    </w:p>
    <w:p>
      <w:pPr>
        <w:pStyle w:val="ListParagraph"/>
        <w:numPr>
          <w:ilvl w:val="0"/>
          <w:numId w:val="1"/>
        </w:numPr>
        <w:spacing w:after="80"/>
      </w:pPr>
      <w:r>
        <w:t xml:space="preserve">Square Yards / NoBroker — Chikhali locality pricing (conflicting).</w:t>
      </w:r>
    </w:p>
    <w:p>
      <w:pPr>
        <w:pStyle w:val="ListParagraph"/>
        <w:numPr>
          <w:ilvl w:val="0"/>
          <w:numId w:val="1"/>
        </w:numPr>
        <w:spacing w:after="80"/>
      </w:pPr>
      <w:r>
        <w:t xml:space="preserve">ZaubaCorp — Godrej Skyline Developers Limited corporate record, re-verified live 2026-07-20.</w:t>
      </w:r>
    </w:p>
    <w:p>
      <w:pPr>
        <w:pStyle w:val="ListParagraph"/>
        <w:numPr>
          <w:ilvl w:val="0"/>
          <w:numId w:val="1"/>
        </w:numPr>
        <w:spacing w:after="80"/>
      </w:pPr>
      <w:r>
        <w:t xml:space="preserve">Facebook — public complaint on possession delay.</w:t>
      </w:r>
    </w:p>
    <w:p>
      <w:pPr>
        <w:pStyle w:val="ListParagraph"/>
        <w:numPr>
          <w:ilvl w:val="0"/>
          <w:numId w:val="1"/>
        </w:numPr>
        <w:spacing w:after="80"/>
      </w:pPr>
      <w:r>
        <w:t xml:space="preserve">Google Maps — live driving-route distances/times, retrieved 2026-07-17.</w:t>
      </w:r>
    </w:p>
    <w:p>
      <w:pPr>
        <w:pStyle w:val="ListParagraph"/>
        <w:numPr>
          <w:ilvl w:val="0"/>
          <w:numId w:val="1"/>
        </w:numPr>
        <w:spacing w:after="80"/>
      </w:pPr>
      <w:r>
        <w:t xml:space="preserve">99acres / Square Yards / NoBroker — Yashada Dreamsong pricing and unit-mix listings.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06060"/>
        <w:sz w:val="16"/>
        <w:szCs w:val="16"/>
      </w:rPr>
      <w:t xml:space="preserve">Internal — Integrow Asset Management  |  Page </w:t>
    </w:r>
    <w:r>
      <w:rPr>
        <w:color w:val="6060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1F3864"/>
        <w:sz w:val="16"/>
        <w:szCs w:val="16"/>
      </w:rPr>
      <w:t xml:space="preserve">INTEGROW ASSET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2026-07-27T07:56:37.854Z</dcterms:created>
  <dcterms:modified xsi:type="dcterms:W3CDTF">2026-07-27T07:56:37.855Z</dcterms:modified>
</cp:coreProperties>
</file>

<file path=docProps/custom.xml><?xml version="1.0" encoding="utf-8"?>
<Properties xmlns="http://schemas.openxmlformats.org/officeDocument/2006/custom-properties" xmlns:vt="http://schemas.openxmlformats.org/officeDocument/2006/docPropsVTypes"/>
</file>