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i/>
          <w:iCs/>
          <w:color w:val="606060"/>
          <w:sz w:val="18"/>
          <w:szCs w:val="18"/>
        </w:rPr>
        <w:t xml:space="preserve">Branding note: Integrow logo asset (assets/integrow-logo.png) was not available in this working session — the header currently shows the text wordmark only. Swap in the real logo, top-right, before external circulation.</w:t>
      </w:r>
    </w:p>
    <w:p>
      <w:pPr>
        <w:spacing w:after="60"/>
        <w:jc w:val="center"/>
      </w:pPr>
      <w:r>
        <w:rPr>
          <w:b/>
          <w:bCs/>
          <w:color w:val="1F3864"/>
          <w:sz w:val="40"/>
          <w:szCs w:val="40"/>
        </w:rPr>
        <w:t xml:space="preserve">COMPANY CHARTER</w:t>
      </w:r>
    </w:p>
    <w:p>
      <w:pPr>
        <w:spacing w:after="40"/>
        <w:jc w:val="center"/>
      </w:pPr>
      <w:r>
        <w:rPr>
          <w:b/>
          <w:bCs/>
          <w:sz w:val="24"/>
          <w:szCs w:val="24"/>
        </w:rPr>
        <w:t xml:space="preserve">Project: Godrej Park Greens  |  Promoter: Godrej Skyline Developers Limited</w:t>
      </w:r>
    </w:p>
    <w:p>
      <w:pPr>
        <w:spacing w:after="40"/>
        <w:jc w:val="center"/>
      </w:pPr>
      <w:r>
        <w:rPr>
          <w:b/>
          <w:bCs/>
          <w:color w:val="C00000"/>
          <w:sz w:val="20"/>
          <w:szCs w:val="20"/>
        </w:rPr>
        <w:t xml:space="preserve">MahaRERA Registration P52100019639</w:t>
      </w:r>
    </w:p>
    <w:p>
      <w:pPr>
        <w:spacing w:after="400"/>
        <w:jc w:val="center"/>
      </w:pPr>
      <w:r>
        <w:rPr>
          <w:i/>
          <w:iCs/>
          <w:color w:val="606060"/>
          <w:sz w:val="18"/>
          <w:szCs w:val="18"/>
        </w:rPr>
        <w:t xml:space="preserve">Redesigned edition, v3 — Overview-first flow, full content restored (July 2026)</w:t>
      </w:r>
    </w:p>
    <w:p>
      <w:pPr>
        <w:pStyle w:val="Heading1"/>
        <w:spacing w:after="140" w:before="280"/>
      </w:pPr>
      <w:r>
        <w:t xml:space="preserve">1. Overview &amp; Flags</w:t>
      </w:r>
    </w:p>
    <w:p>
      <w:pPr>
        <w:spacing w:after="160"/>
      </w:pPr>
      <w:r>
        <w:t xml:space="preserve">Deal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Park Greens — 7 buildings (B1–B7) plus an EWS component, Mamurdi, Taluka Haveli, District Pune (PCMC limits), pincode 412101</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Promoter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 (Godrej Properties group) — CIN U45309MH2016PLC287858</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RERA registration</w:t>
            </w:r>
          </w:p>
        </w:tc>
        <w:tc>
          <w:tcPr>
            <w:tcW w:type="dxa" w:w="6850"/>
            <w:tcMar>
              <w:top w:type="dxa" w:w="60"/>
              <w:left w:type="dxa" w:w="100"/>
              <w:bottom w:type="dxa" w:w="60"/>
              <w:right w:type="dxa" w:w="100"/>
            </w:tcMar>
            <w:vAlign w:val="center"/>
          </w:tcPr>
          <w:p>
            <w:pPr>
              <w:jc w:val="left"/>
            </w:pPr>
            <w:r>
              <w:rPr>
                <w:b w:val="false"/>
                <w:bCs w:val="false"/>
                <w:sz w:val="20"/>
                <w:szCs w:val="20"/>
              </w:rPr>
              <w:t xml:space="preserve">P52100019639 — approved 2019-02-20, status "Certificate Signed / New"</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Units</w:t>
            </w:r>
          </w:p>
        </w:tc>
        <w:tc>
          <w:tcPr>
            <w:tcW w:type="dxa" w:w="6850"/>
            <w:tcMar>
              <w:top w:type="dxa" w:w="60"/>
              <w:left w:type="dxa" w:w="100"/>
              <w:bottom w:type="dxa" w:w="60"/>
              <w:right w:type="dxa" w:w="100"/>
            </w:tcMar>
            <w:vAlign w:val="center"/>
          </w:tcPr>
          <w:p>
            <w:pPr>
              <w:jc w:val="left"/>
            </w:pPr>
            <w:r>
              <w:rPr>
                <w:b w:val="false"/>
                <w:bCs w:val="false"/>
                <w:sz w:val="20"/>
                <w:szCs w:val="20"/>
              </w:rPr>
              <w:t xml:space="preserve">1,210 total units; 1,194 sold (~98.7%)</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D</w:t>
            </w:r>
          </w:p>
          <w:p>
            <w:pPr>
              <w:spacing w:after="20"/>
              <w:jc w:val="center"/>
            </w:pPr>
            <w:r>
              <w:rPr>
                <w:color w:val="606060"/>
                <w:sz w:val="16"/>
                <w:szCs w:val="16"/>
              </w:rPr>
              <w:t xml:space="preserve">High Risk · see Section 4</w:t>
            </w:r>
          </w:p>
          <w:p>
            <w:pPr>
              <w:spacing w:after="120"/>
              <w:jc w:val="center"/>
            </w:pPr>
            <w:r>
              <w:rPr>
                <w:b/>
                <w:bCs/>
                <w:color w:val="606060"/>
                <w:sz w:val="16"/>
                <w:szCs w:val="16"/>
              </w:rPr>
              <w:t xml:space="preserve">DEVELOPER SCORE</w:t>
            </w:r>
          </w:p>
        </w:tc>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0"/>
                <w:szCs w:val="40"/>
              </w:rPr>
              <w:t xml:space="preserve">Moderate</w:t>
            </w:r>
          </w:p>
          <w:p>
            <w:pPr>
              <w:spacing w:after="20"/>
              <w:jc w:val="center"/>
            </w:pPr>
            <w:r>
              <w:rPr>
                <w:color w:val="606060"/>
                <w:sz w:val="16"/>
                <w:szCs w:val="16"/>
              </w:rPr>
              <w:t xml:space="preserve">52.9 / 100</w:t>
            </w:r>
          </w:p>
          <w:p>
            <w:pPr>
              <w:spacing w:after="120"/>
              <w:jc w:val="center"/>
            </w:pPr>
            <w:r>
              <w:rPr>
                <w:b/>
                <w:bCs/>
                <w:color w:val="606060"/>
                <w:sz w:val="16"/>
                <w:szCs w:val="16"/>
              </w:rPr>
              <w:t xml:space="preserve">DATA AUTHENTICITY</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4 · 5 · 5</w:t>
            </w:r>
          </w:p>
          <w:p>
            <w:pPr>
              <w:spacing w:after="20"/>
              <w:jc w:val="center"/>
            </w:pPr>
            <w:r>
              <w:rPr>
                <w:color w:val="606060"/>
                <w:sz w:val="16"/>
                <w:szCs w:val="16"/>
              </w:rPr>
              <w:t xml:space="preserve">flags raised</w:t>
            </w:r>
          </w:p>
          <w:p>
            <w:pPr>
              <w:spacing w:after="120"/>
              <w:jc w:val="center"/>
            </w:pPr>
            <w:r>
              <w:rPr>
                <w:b/>
                <w:bCs/>
                <w:color w:val="606060"/>
                <w:sz w:val="16"/>
                <w:szCs w:val="16"/>
              </w:rPr>
              <w:t xml:space="preserve">RED · STRUCTURAL · MONITOR</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Extended</w:t>
            </w:r>
          </w:p>
          <w:p>
            <w:pPr>
              <w:spacing w:after="20"/>
              <w:jc w:val="center"/>
            </w:pPr>
            <w:r>
              <w:rPr>
                <w:color w:val="606060"/>
                <w:sz w:val="16"/>
                <w:szCs w:val="16"/>
              </w:rPr>
              <w:t xml:space="preserve">2024 → 2027 → 2028</w:t>
            </w:r>
          </w:p>
          <w:p>
            <w:pPr>
              <w:spacing w:after="120"/>
              <w:jc w:val="center"/>
            </w:pPr>
            <w:r>
              <w:rPr>
                <w:b/>
                <w:bCs/>
                <w:color w:val="606060"/>
                <w:sz w:val="16"/>
                <w:szCs w:val="16"/>
              </w:rPr>
              <w:t xml:space="preserve">COMPLETION TIMELINE</w:t>
            </w:r>
          </w:p>
        </w:tc>
      </w:tr>
    </w:tbl>
    <w:p>
      <w:pPr>
        <w:spacing w:after="160"/>
      </w:pPr>
      <w:r>
        <w:rPr>
          <w:i/>
          <w:iCs/>
          <w:color w:val="606060"/>
          <w:sz w:val="18"/>
          <w:szCs w:val="18"/>
        </w:rPr>
        <w:t xml:space="preserve">Every figure above is drawn directly from the underlying facts already researched for this project (see Sections 4–11) — nothing here is a new data point, only a new arrangement of what this Charter already established.</w:t>
      </w:r>
    </w:p>
    <w:p>
      <w:pPr>
        <w:pStyle w:val="Heading2"/>
        <w:spacing w:after="140" w:before="280"/>
      </w:pPr>
      <w:r>
        <w:t xml:space="preserve">1.1 Imminent Red Flags (4) — act on these before proceeding</w:t>
      </w:r>
    </w:p>
    <w:p>
      <w:pPr>
        <w:pStyle w:val="ListParagraph"/>
        <w:numPr>
          <w:ilvl w:val="0"/>
          <w:numId w:val="1"/>
        </w:numPr>
        <w:spacing w:after="80"/>
      </w:pPr>
      <w:r>
        <w:t xml:space="preserve">Complaint volume: 67 total filings against this project (59 complaintDetails + 8 miscComplaintDetails) — above the Red threshold. Context that must be read alongside this: of the 35 complaints with a matched, downloaded order, 18 were dismissed and 4 were settled by conciliation — a majority of the adjudicated subset did not go against the promoter. Both facts belong together, not the count alone.</w:t>
      </w:r>
    </w:p>
    <w:p>
      <w:pPr>
        <w:pStyle w:val="ListParagraph"/>
        <w:numPr>
          <w:ilvl w:val="0"/>
          <w:numId w:val="1"/>
        </w:numPr>
        <w:spacing w:after="80"/>
      </w:pPr>
      <w:r>
        <w:t xml:space="preserve">Appeal volume: 18 appeals on record — above the Red threshold. Context that must be read alongside this: roughly 13 of these 18 were filed by the promoter itself against individual complainants, not against the promoter — a materially different signal than 18 external challenges.</w:t>
      </w:r>
    </w:p>
    <w:p>
      <w:pPr>
        <w:pStyle w:val="ListParagraph"/>
        <w:numPr>
          <w:ilvl w:val="0"/>
          <w:numId w:val="1"/>
        </w:numPr>
        <w:spacing w:after="80"/>
      </w:pPr>
      <w:r>
        <w:t xml:space="preserve">Completion timeline: the original proposed completion date (2024-03-30) has been extended twice — to 2027-06-30 per the promoter's own August 2024 Form B, and further to 2028-03-30 per the live RERA record — against a project that is 98.7% sold. Nearly the entire buyer base is exposed to this delay.</w:t>
      </w:r>
    </w:p>
    <w:p>
      <w:pPr>
        <w:pStyle w:val="ListParagraph"/>
        <w:numPr>
          <w:ilvl w:val="0"/>
          <w:numId w:val="1"/>
        </w:numPr>
        <w:spacing w:after="80"/>
      </w:pPr>
      <w:r>
        <w:t xml:space="preserve">Approved/sanctioned built-up area — and therefore the implied FSI — could not be confirmed from any document opened this pass (see Section 5.3). This is one of the core figures an investment case is built on. [Gap 1]</w:t>
      </w:r>
    </w:p>
    <w:p>
      <w:pPr>
        <w:pStyle w:val="Heading2"/>
        <w:spacing w:after="140" w:before="280"/>
      </w:pPr>
      <w:r>
        <w:t xml:space="preserve">1.2 Structural Flags (5) — standing characteristics, raise directly with the developer</w:t>
      </w:r>
    </w:p>
    <w:p>
      <w:pPr>
        <w:pStyle w:val="ListParagraph"/>
        <w:numPr>
          <w:ilvl w:val="0"/>
          <w:numId w:val="1"/>
        </w:numPr>
        <w:spacing w:after="80"/>
      </w:pPr>
      <w:r>
        <w:t xml:space="preserve">Promoter portfolio concentration: across the 8 MahaRERA-registered projects tied to this promoter, Godrej Park Greens alone accounts for 67 of 144 total complaints (46%) and 18 of 21 total appeals (86%) — a disproportionate outlier within the promoter's own book, not just large relative to unrelated developers (see Section 4.3).</w:t>
      </w:r>
    </w:p>
    <w:p>
      <w:pPr>
        <w:pStyle w:val="ListParagraph"/>
        <w:numPr>
          <w:ilvl w:val="0"/>
          <w:numId w:val="1"/>
        </w:numPr>
        <w:spacing w:after="80"/>
      </w:pPr>
      <w:r>
        <w:t xml:space="preserve">Credit rating and IBBI insolvency status were not checked in this Charter pass — a process gap, not a finding. Worth re-running given the promoter sits within the listed Godrej Properties group, where a public rating likely exists (see Section 4.2).</w:t>
      </w:r>
    </w:p>
    <w:p>
      <w:pPr>
        <w:pStyle w:val="ListParagraph"/>
        <w:numPr>
          <w:ilvl w:val="0"/>
          <w:numId w:val="1"/>
        </w:numPr>
        <w:spacing w:after="80"/>
      </w:pPr>
      <w:r>
        <w:t xml:space="preserve">Escrow sub-account (70%/30%) and Collection Account bank/branch details are not disclosed in any document reviewed — consistent with every Charter generated to date in this pipeline; effectively never public (see Section 6.2). [Gap 2]</w:t>
      </w:r>
    </w:p>
    <w:p>
      <w:pPr>
        <w:pStyle w:val="ListParagraph"/>
        <w:numPr>
          <w:ilvl w:val="0"/>
          <w:numId w:val="1"/>
        </w:numPr>
        <w:spacing w:after="80"/>
      </w:pPr>
      <w:r>
        <w:t xml:space="preserve">The specific grounds homebuyers cite across the 67 complaint filings are not confirmed beyond one externally corroborated possession-delay complaint — a standing limitation of MahaRERA's public data, not something a later pass is likely to close (see Section 6.3). [Gap 5]</w:t>
      </w:r>
    </w:p>
    <w:p>
      <w:pPr>
        <w:pStyle w:val="ListParagraph"/>
        <w:numPr>
          <w:ilvl w:val="0"/>
          <w:numId w:val="1"/>
        </w:numPr>
        <w:spacing w:after="80"/>
      </w:pPr>
      <w:r>
        <w:t xml:space="preserve">No genuinely independent comparable project was confirmed within the intended 3–5 km radius — the closest, Yashada Dreamsong, sits 0.35 km away, well inside that band (see Section 7). [Gap 7]</w:t>
      </w:r>
    </w:p>
    <w:p>
      <w:pPr>
        <w:pStyle w:val="Heading2"/>
        <w:spacing w:after="140" w:before="280"/>
      </w:pPr>
      <w:r>
        <w:t xml:space="preserve">1.3 Monitor Flags (5) — re-check on a future pass</w:t>
      </w:r>
    </w:p>
    <w:p>
      <w:pPr>
        <w:pStyle w:val="ListParagraph"/>
        <w:numPr>
          <w:ilvl w:val="0"/>
          <w:numId w:val="1"/>
        </w:numPr>
        <w:spacing w:after="80"/>
      </w:pPr>
      <w:r>
        <w:t xml:space="preserve">Whether the 18 appeals have reached final decisions or remain pending is unconfirmed (see Section 6.3). [Gap 4]</w:t>
      </w:r>
    </w:p>
    <w:p>
      <w:pPr>
        <w:pStyle w:val="ListParagraph"/>
        <w:numPr>
          <w:ilvl w:val="0"/>
          <w:numId w:val="1"/>
        </w:numPr>
        <w:spacing w:after="80"/>
      </w:pPr>
      <w:r>
        <w:t xml:space="preserve">Per-building/wing floor and unit breakdowns are unconfirmed — worth a follow-up documents pass (see Section 8). [Gap 3]</w:t>
      </w:r>
    </w:p>
    <w:p>
      <w:pPr>
        <w:pStyle w:val="ListParagraph"/>
        <w:numPr>
          <w:ilvl w:val="0"/>
          <w:numId w:val="1"/>
        </w:numPr>
        <w:spacing w:after="80"/>
      </w:pPr>
      <w:r>
        <w:t xml:space="preserve">Chikhali locality pricing conflicts by roughly 2x between two aggregators and is unreconciled (see Section 7). [Gap 6]</w:t>
      </w:r>
    </w:p>
    <w:p>
      <w:pPr>
        <w:pStyle w:val="ListParagraph"/>
        <w:numPr>
          <w:ilvl w:val="0"/>
          <w:numId w:val="1"/>
        </w:numPr>
        <w:spacing w:after="80"/>
      </w:pPr>
      <w:r>
        <w:t xml:space="preserve">A precise project-gate lat/long pin was not separately plotted; Location Map distances use the resolved locality ("Mamurdi, Dehu Road, Maharashtra 412101") as origin — a close but not exact proxy (see Section 5.2). [Gap 8]</w:t>
      </w:r>
    </w:p>
    <w:p>
      <w:pPr>
        <w:pStyle w:val="ListParagraph"/>
        <w:numPr>
          <w:ilvl w:val="0"/>
          <w:numId w:val="1"/>
        </w:numPr>
        <w:spacing w:after="80"/>
      </w:pPr>
      <w:r>
        <w:t xml:space="preserve">The land net_area figure's second-opinion verification could not run this pass (a tool authentication issue, not a content problem) — re-attempt once resolved (see Section 5.1). [Gap 9]</w:t>
      </w:r>
    </w:p>
    <w:p>
      <w:pPr>
        <w:spacing w:after="160"/>
      </w:pPr>
      <w:r>
        <w:rPr>
          <w:b/>
          <w:bCs/>
        </w:rPr>
        <w:t xml:space="preserve">What to read next: 4 Imminent Red Flags, 5 Structural Flags, 5 Monitor Flags — matching all 9 gaps this Charter originally identified, now tiered by urgency rather than listed cold. See Section 6 (Compliance &amp; Legal Detail) and Section 4 (Counterparty, including the Promoter Portfolio) before proceeding.</w:t>
      </w:r>
    </w:p>
    <w:p>
      <w:r>
        <w:br w:type="page"/>
      </w:r>
    </w:p>
    <w:p>
      <w:pPr>
        <w:pStyle w:val="Heading1"/>
        <w:spacing w:after="140" w:before="280"/>
      </w:pPr>
      <w:r>
        <w:t xml:space="preserve">2. Methodology Note</w:t>
      </w:r>
    </w:p>
    <w:p>
      <w:pPr>
        <w:spacing w:after="160"/>
      </w:pPr>
      <w:r>
        <w:t xml:space="preserve">This edition is built from the live MahaRERA project record for registration number P52100019639 (retrieved 2026-07-17), documents opened directly from that record's Document Library (the Supplemental Legal Due Diligence Report, the Form B / Rule 3(4) declaration, and the sanctioned layout drawing showing the phase plot area), public real-estate aggregator listings (99acres, Square Yards, NoBroker), a corporate-registry mirror (ZaubaCorp), and press/social coverage of the project's possession delay, cross-checked against each other. No promoter-supplied internal documents beyond what MahaRERA itself hosts were used. Distances in the Location Map section are live Google Maps driving routes, checked directly in this session, with the Driving travel mode explicitly selected and the resolved destination checked against what was asked for before accepting each route. Wherever a fact could not be independently confirmed, it is flagged as a gap rather than filled in or assumed.</w:t>
      </w:r>
    </w:p>
    <w:p>
      <w:pPr>
        <w:spacing w:after="160"/>
      </w:pPr>
      <w:r>
        <w:rPr>
          <w:i/>
          <w:iCs/>
        </w:rPr>
        <w:t xml:space="preserve">This edition was researched and assembled directly by Claude (interactive session), not by the project's automated Claude-API pipeline, because no ANTHROPIC_API_KEY was configured for this demo run — the research methodology and sourcing discipline are the same either way. This is also the reason the credit rating and IBBI insolvency checks in Section 4.2 did not run: those checks are wired into the automated pipeline, which did not execute for this particular file.</w:t>
      </w:r>
    </w:p>
    <w:p>
      <w:pPr>
        <w:pStyle w:val="Heading1"/>
        <w:spacing w:after="140" w:before="280"/>
      </w:pPr>
      <w:r>
        <w:t xml:space="preserve">3. Executive Summary</w:t>
      </w:r>
    </w:p>
    <w:p>
      <w:pPr>
        <w:spacing w:after="160"/>
      </w:pPr>
      <w:r>
        <w:t xml:space="preserve">Godrej Park Greens is a residential project (7 buildings, B1-B7, plus an EWS component) on a 32,917 sqm phase plot at village Mamurdi, Taluka Haveli, District Pune, within Pimpri-Chinchwad Municipal Corporation limits, pincode 412101. MahaRERA registration P52100019639 was granted 2019-02-20; current status is "Certificate Signed" / "New", with 1,210 total units (1,194 already sold). Promoter: Godrej Skyline Developers Limited (Godrej Properties group), CIN U45309MH2016PLC287858.</w:t>
      </w:r>
    </w:p>
    <w:p>
      <w:pPr>
        <w:spacing w:after="160"/>
      </w:pPr>
      <w:r>
        <w:rPr>
          <w:b/>
          <w:bCs/>
        </w:rPr>
        <w:t xml:space="preserve">MATERIAL FINDING, stated up front: the project's original proposed completion date (2024-03-30) has been extended more than once — to 30 June 2027 per the Promoter's own Form B declaration (executed August 2024), and further to 30 March 2028 per the live RERA record consulted for this research — and the project carries an unusually high volume of homebuyer complaints (67 total complaint-category filings) and appeals (18) on record, heavily concentrated in 2025-2026, with the Promoter itself having filed roughly 13 of those appeals against individual complainants in late April 2026. This pattern is externally corroborated by a public complaint describing possession "delayed to 2028 from 2023." Land title is separately confirmed clear via a 2018 legal due diligence report, subject to two disclosed historical caveats on an unrelated sub-parcel.</w:t>
      </w:r>
    </w:p>
    <w:p>
      <w:r>
        <w:br w:type="page"/>
      </w:r>
    </w:p>
    <w:p>
      <w:pPr>
        <w:pStyle w:val="Heading1"/>
        <w:spacing w:after="140" w:before="280"/>
      </w:pPr>
      <w:r>
        <w:t xml:space="preserve">4. Counterparty — Corporate Identity, Standing &amp; Developer Score</w:t>
      </w:r>
    </w:p>
    <w:p>
      <w:pPr>
        <w:pStyle w:val="Heading2"/>
        <w:spacing w:after="140" w:before="280"/>
      </w:pPr>
      <w:r>
        <w:t xml:space="preserve">4.1 Corporate identity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Promoter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Entity type</w:t>
            </w:r>
          </w:p>
        </w:tc>
        <w:tc>
          <w:tcPr>
            <w:tcW w:type="dxa" w:w="6850"/>
            <w:tcMar>
              <w:top w:type="dxa" w:w="60"/>
              <w:left w:type="dxa" w:w="100"/>
              <w:bottom w:type="dxa" w:w="60"/>
              <w:right w:type="dxa" w:w="100"/>
            </w:tcMar>
            <w:vAlign w:val="center"/>
          </w:tcPr>
          <w:p>
            <w:pPr>
              <w:jc w:val="left"/>
            </w:pPr>
            <w:r>
              <w:rPr>
                <w:b w:val="false"/>
                <w:bCs w:val="false"/>
                <w:sz w:val="20"/>
                <w:szCs w:val="20"/>
              </w:rPr>
              <w:t xml:space="preserve">Public Limited Company (converted from Private Limited; MCA CIN suffix changed from ...PTC287858 to ...PLC287858 under the same registration number) — independently re-confirmed live via ZaubaCorp on 2026-07-20</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CIN</w:t>
            </w:r>
          </w:p>
        </w:tc>
        <w:tc>
          <w:tcPr>
            <w:tcW w:type="dxa" w:w="6850"/>
            <w:tcMar>
              <w:top w:type="dxa" w:w="60"/>
              <w:left w:type="dxa" w:w="100"/>
              <w:bottom w:type="dxa" w:w="60"/>
              <w:right w:type="dxa" w:w="100"/>
            </w:tcMar>
            <w:vAlign w:val="center"/>
          </w:tcPr>
          <w:p>
            <w:pPr>
              <w:jc w:val="left"/>
            </w:pPr>
            <w:r>
              <w:rPr>
                <w:b w:val="false"/>
                <w:bCs w:val="false"/>
                <w:sz w:val="20"/>
                <w:szCs w:val="20"/>
              </w:rPr>
              <w:t xml:space="preserve">U45309MH2016PLC287858 (incorporated 22 November 2016; ROC Mumbai)</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Registered office</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One, 5th Floor, Pirojshanagar, Eastern Express Highway, Vikhroli (East), Mumbai 400079 — identical across the RERA filing, MCA record, and the 2018 title report</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Board-resolution office</w:t>
            </w:r>
          </w:p>
        </w:tc>
        <w:tc>
          <w:tcPr>
            <w:tcW w:type="dxa" w:w="6850"/>
            <w:tcMar>
              <w:top w:type="dxa" w:w="60"/>
              <w:left w:type="dxa" w:w="100"/>
              <w:bottom w:type="dxa" w:w="60"/>
              <w:right w:type="dxa" w:w="100"/>
            </w:tcMar>
            <w:vAlign w:val="center"/>
          </w:tcPr>
          <w:p>
            <w:pPr>
              <w:jc w:val="left"/>
            </w:pPr>
            <w:r>
              <w:rPr>
                <w:b w:val="false"/>
                <w:bCs w:val="false"/>
                <w:sz w:val="20"/>
                <w:szCs w:val="20"/>
              </w:rPr>
              <w:t xml:space="preserve">Same as main registered office (Godrej One) — no discrepancy found across the RERA filing, MCA record, or the 2018 title report</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Planning-stage office</w:t>
            </w:r>
          </w:p>
        </w:tc>
        <w:tc>
          <w:tcPr>
            <w:tcW w:type="dxa" w:w="6850"/>
            <w:tcMar>
              <w:top w:type="dxa" w:w="60"/>
              <w:left w:type="dxa" w:w="100"/>
              <w:bottom w:type="dxa" w:w="60"/>
              <w:right w:type="dxa" w:w="100"/>
            </w:tcMar>
            <w:vAlign w:val="center"/>
          </w:tcPr>
          <w:p>
            <w:pPr>
              <w:jc w:val="left"/>
            </w:pPr>
            <w:r>
              <w:rPr>
                <w:b w:val="false"/>
                <w:bCs w:val="false"/>
                <w:color w:val="606060"/>
                <w:sz w:val="20"/>
                <w:szCs w:val="20"/>
              </w:rPr>
              <w:t xml:space="preserve">Not separately disclosed in the documents reviewed this pass</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Authorized signatory</w:t>
            </w:r>
          </w:p>
        </w:tc>
        <w:tc>
          <w:tcPr>
            <w:tcW w:type="dxa" w:w="6850"/>
            <w:tcMar>
              <w:top w:type="dxa" w:w="60"/>
              <w:left w:type="dxa" w:w="100"/>
              <w:bottom w:type="dxa" w:w="60"/>
              <w:right w:type="dxa" w:w="100"/>
            </w:tcMar>
            <w:vAlign w:val="center"/>
          </w:tcPr>
          <w:p>
            <w:pPr>
              <w:jc w:val="left"/>
            </w:pPr>
            <w:r>
              <w:rPr>
                <w:b w:val="false"/>
                <w:bCs w:val="false"/>
                <w:sz w:val="20"/>
                <w:szCs w:val="20"/>
              </w:rPr>
              <w:t xml:space="preserve">Mr. Ranjan Kumar Sengupta (per Form B declaration, executed 9 August 2024)</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Directors</w:t>
            </w:r>
          </w:p>
        </w:tc>
        <w:tc>
          <w:tcPr>
            <w:tcW w:type="dxa" w:w="6850"/>
            <w:tcMar>
              <w:top w:type="dxa" w:w="60"/>
              <w:left w:type="dxa" w:w="100"/>
              <w:bottom w:type="dxa" w:w="60"/>
              <w:right w:type="dxa" w:w="100"/>
            </w:tcMar>
            <w:vAlign w:val="center"/>
          </w:tcPr>
          <w:p>
            <w:pPr>
              <w:jc w:val="left"/>
            </w:pPr>
            <w:r>
              <w:rPr>
                <w:b w:val="false"/>
                <w:bCs w:val="false"/>
                <w:sz w:val="20"/>
                <w:szCs w:val="20"/>
              </w:rPr>
              <w:t xml:space="preserve">Aspy Dady Cooper, Subhasish Pattanaik, Ranjan Kumar Sengupta — independently re-verified via ZaubaCorp on 2026-07-20</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Landowner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 (acquired freehold title from Peninsula Land Limited via a 2017-2018 Agreement to Sell / Deed of Conveyance chain; Godrej is in possession)</w:t>
            </w:r>
          </w:p>
        </w:tc>
      </w:tr>
    </w:tbl>
    <w:p>
      <w:pPr>
        <w:spacing w:after="160"/>
      </w:pPr>
      <w:r>
        <w:t xml:space="preserve">Address discrepancy check: none found — the registered office address is identical across the live RERA promoter filing, the MCA/ZaubaCorp corporate record, and the letterhead of the 2018 Supplemental Legal Due Diligence Report, all independently retrieved.</w:t>
      </w:r>
    </w:p>
    <w:p>
      <w:pPr>
        <w:spacing w:after="160"/>
      </w:pPr>
      <w:r>
        <w:t xml:space="preserve">Corporate registry cross-check: ZaubaCorp (MCA data mirror) confirms Godrej Skyline Developers Limited, CIN U45309MH2016PLC287858, incorporated 22 November 2016, status Active, registered office matching the RERA filing exactly. A second ZaubaCorp entry for CIN U45309MH2016PTC287858 confirms this entity was originally incorporated Private Limited and later converted to Public Limited — a confirmed, sourced link, not an assumption.</w:t>
      </w:r>
    </w:p>
    <w:p>
      <w:pPr>
        <w:pStyle w:val="Heading2"/>
        <w:spacing w:after="140" w:before="280"/>
      </w:pPr>
      <w:r>
        <w:t xml:space="preserve">4.2 Credit rating &amp; insolvency status</w:t>
      </w:r>
    </w:p>
    <w:p>
      <w:pPr>
        <w:spacing w:after="160"/>
      </w:pPr>
      <w:r>
        <w:rPr>
          <w:b/>
          <w:bCs/>
          <w:color w:val="C00000"/>
        </w:rPr>
        <w:t xml:space="preserve">NOT CHECKED THIS PASS — a process gap (see Methodology Note, Section 2). Neither an ICRA/Infomerics credit-rating lookup nor an IBBI insolvency check was run for this Charter. Given the promoter sits within the listed Godrej Properties group, a public credit rating for the parent or an affiliated financing entity likely exists — re-running this check is a recommended follow-up before this Charter is relied on for a Financial Strength view.</w:t>
      </w:r>
    </w:p>
    <w:p>
      <w:pPr>
        <w:pStyle w:val="Heading2"/>
        <w:spacing w:after="140" w:before="280"/>
      </w:pPr>
      <w:r>
        <w:t xml:space="preserve">4.3 Promoter Portfolio (RERA-native, all projects tied to this promoter)</w:t>
      </w:r>
    </w:p>
    <w:p>
      <w:pPr>
        <w:spacing w:after="160"/>
      </w:pPr>
      <w:r>
        <w:t xml:space="preserve">Built directly from MahaRERA's own Promoters-tab search — 8 registered projects matched under "Godrej Skyline Developers Limited," none lapsed or revoked.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575"/>
        <w:gridCol w:w="2575"/>
      </w:tblGrid>
      <w:tr>
        <w:tc>
          <w:tcPr>
            <w:tcW w:type="dxa" w:w="42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2575"/>
            <w:shd w:fill="D9E2F3" w:val="clear"/>
            <w:tcMar>
              <w:top w:type="dxa" w:w="60"/>
              <w:left w:type="dxa" w:w="100"/>
              <w:bottom w:type="dxa" w:w="60"/>
              <w:right w:type="dxa" w:w="100"/>
            </w:tcMar>
            <w:vAlign w:val="center"/>
          </w:tcPr>
          <w:p>
            <w:pPr>
              <w:jc w:val="left"/>
            </w:pPr>
            <w:r>
              <w:rPr>
                <w:b/>
                <w:bCs/>
                <w:sz w:val="20"/>
                <w:szCs w:val="20"/>
              </w:rPr>
              <w:t xml:space="preserve">Complaints</w:t>
            </w:r>
          </w:p>
        </w:tc>
        <w:tc>
          <w:tcPr>
            <w:tcW w:type="dxa" w:w="2575"/>
            <w:shd w:fill="D9E2F3" w:val="clear"/>
            <w:tcMar>
              <w:top w:type="dxa" w:w="60"/>
              <w:left w:type="dxa" w:w="100"/>
              <w:bottom w:type="dxa" w:w="60"/>
              <w:right w:type="dxa" w:w="100"/>
            </w:tcMar>
            <w:vAlign w:val="center"/>
          </w:tcPr>
          <w:p>
            <w:pPr>
              <w:jc w:val="left"/>
            </w:pPr>
            <w:r>
              <w:rPr>
                <w:b/>
                <w:bCs/>
                <w:sz w:val="20"/>
                <w:szCs w:val="20"/>
              </w:rPr>
              <w:t xml:space="preserve">Appeals</w:t>
            </w:r>
          </w:p>
        </w:tc>
      </w:tr>
      <w:tr>
        <w:tc>
          <w:tcPr>
            <w:tcW w:type="dxa" w:w="4200"/>
            <w:tcMar>
              <w:top w:type="dxa" w:w="60"/>
              <w:left w:type="dxa" w:w="100"/>
              <w:bottom w:type="dxa" w:w="60"/>
              <w:right w:type="dxa" w:w="100"/>
            </w:tcMar>
            <w:vAlign w:val="center"/>
          </w:tcPr>
          <w:p>
            <w:pPr>
              <w:jc w:val="left"/>
            </w:pPr>
            <w:r>
              <w:rPr>
                <w:b/>
                <w:bCs/>
                <w:color w:val="C00000"/>
                <w:sz w:val="20"/>
                <w:szCs w:val="20"/>
              </w:rPr>
              <w:t xml:space="preserve">Godrej Park Greens (subject)</w:t>
            </w:r>
          </w:p>
        </w:tc>
        <w:tc>
          <w:tcPr>
            <w:tcW w:type="dxa" w:w="2575"/>
            <w:tcMar>
              <w:top w:type="dxa" w:w="60"/>
              <w:left w:type="dxa" w:w="100"/>
              <w:bottom w:type="dxa" w:w="60"/>
              <w:right w:type="dxa" w:w="100"/>
            </w:tcMar>
            <w:vAlign w:val="center"/>
          </w:tcPr>
          <w:p>
            <w:pPr>
              <w:jc w:val="left"/>
            </w:pPr>
            <w:r>
              <w:rPr>
                <w:b/>
                <w:bCs/>
                <w:color w:val="C00000"/>
                <w:sz w:val="20"/>
                <w:szCs w:val="20"/>
              </w:rPr>
              <w:t xml:space="preserve">67</w:t>
            </w:r>
          </w:p>
        </w:tc>
        <w:tc>
          <w:tcPr>
            <w:tcW w:type="dxa" w:w="2575"/>
            <w:tcMar>
              <w:top w:type="dxa" w:w="60"/>
              <w:left w:type="dxa" w:w="100"/>
              <w:bottom w:type="dxa" w:w="60"/>
              <w:right w:type="dxa" w:w="100"/>
            </w:tcMar>
            <w:vAlign w:val="center"/>
          </w:tcPr>
          <w:p>
            <w:pPr>
              <w:jc w:val="left"/>
            </w:pPr>
            <w:r>
              <w:rPr>
                <w:b/>
                <w:bCs/>
                <w:color w:val="C00000"/>
                <w:sz w:val="20"/>
                <w:szCs w:val="20"/>
              </w:rPr>
              <w:t xml:space="preserve">18</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Forest Grove at Godrej Park Greens</w:t>
            </w:r>
          </w:p>
        </w:tc>
        <w:tc>
          <w:tcPr>
            <w:tcW w:type="dxa" w:w="2575"/>
            <w:tcMar>
              <w:top w:type="dxa" w:w="60"/>
              <w:left w:type="dxa" w:w="100"/>
              <w:bottom w:type="dxa" w:w="60"/>
              <w:right w:type="dxa" w:w="100"/>
            </w:tcMar>
            <w:vAlign w:val="center"/>
          </w:tcPr>
          <w:p>
            <w:pPr>
              <w:jc w:val="left"/>
            </w:pPr>
            <w:r>
              <w:rPr>
                <w:b w:val="false"/>
                <w:bCs w:val="false"/>
                <w:sz w:val="20"/>
                <w:szCs w:val="20"/>
              </w:rPr>
              <w:t xml:space="preserve">36</w:t>
            </w:r>
          </w:p>
        </w:tc>
        <w:tc>
          <w:tcPr>
            <w:tcW w:type="dxa" w:w="2575"/>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Godrej Nurture</w:t>
            </w:r>
          </w:p>
        </w:tc>
        <w:tc>
          <w:tcPr>
            <w:tcW w:type="dxa" w:w="2575"/>
            <w:tcMar>
              <w:top w:type="dxa" w:w="60"/>
              <w:left w:type="dxa" w:w="100"/>
              <w:bottom w:type="dxa" w:w="60"/>
              <w:right w:type="dxa" w:w="100"/>
            </w:tcMar>
            <w:vAlign w:val="center"/>
          </w:tcPr>
          <w:p>
            <w:pPr>
              <w:jc w:val="left"/>
            </w:pPr>
            <w:r>
              <w:rPr>
                <w:b w:val="false"/>
                <w:bCs w:val="false"/>
                <w:sz w:val="20"/>
                <w:szCs w:val="20"/>
              </w:rPr>
              <w:t xml:space="preserve">23</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Mamurdi MHADA North</w:t>
            </w:r>
          </w:p>
        </w:tc>
        <w:tc>
          <w:tcPr>
            <w:tcW w:type="dxa" w:w="2575"/>
            <w:tcMar>
              <w:top w:type="dxa" w:w="60"/>
              <w:left w:type="dxa" w:w="100"/>
              <w:bottom w:type="dxa" w:w="60"/>
              <w:right w:type="dxa" w:w="100"/>
            </w:tcMar>
            <w:vAlign w:val="center"/>
          </w:tcPr>
          <w:p>
            <w:pPr>
              <w:jc w:val="left"/>
            </w:pPr>
            <w:r>
              <w:rPr>
                <w:b w:val="false"/>
                <w:bCs w:val="false"/>
                <w:sz w:val="20"/>
                <w:szCs w:val="20"/>
              </w:rPr>
              <w:t xml:space="preserve">9</w:t>
            </w:r>
          </w:p>
        </w:tc>
        <w:tc>
          <w:tcPr>
            <w:tcW w:type="dxa" w:w="2575"/>
            <w:tcMar>
              <w:top w:type="dxa" w:w="60"/>
              <w:left w:type="dxa" w:w="100"/>
              <w:bottom w:type="dxa" w:w="60"/>
              <w:right w:type="dxa" w:w="100"/>
            </w:tcMar>
            <w:vAlign w:val="center"/>
          </w:tcPr>
          <w:p>
            <w:pPr>
              <w:jc w:val="left"/>
            </w:pPr>
            <w:r>
              <w:rPr>
                <w:b w:val="false"/>
                <w:bCs w:val="false"/>
                <w:sz w:val="20"/>
                <w:szCs w:val="20"/>
              </w:rPr>
              <w:t xml:space="preserve">1</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Godrej Carnival</w:t>
            </w:r>
          </w:p>
        </w:tc>
        <w:tc>
          <w:tcPr>
            <w:tcW w:type="dxa" w:w="2575"/>
            <w:tcMar>
              <w:top w:type="dxa" w:w="60"/>
              <w:left w:type="dxa" w:w="100"/>
              <w:bottom w:type="dxa" w:w="60"/>
              <w:right w:type="dxa" w:w="100"/>
            </w:tcMar>
            <w:vAlign w:val="center"/>
          </w:tcPr>
          <w:p>
            <w:pPr>
              <w:jc w:val="left"/>
            </w:pPr>
            <w:r>
              <w:rPr>
                <w:b w:val="false"/>
                <w:bCs w:val="false"/>
                <w:sz w:val="20"/>
                <w:szCs w:val="20"/>
              </w:rPr>
              <w:t xml:space="preserve">4</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Madhuban</w:t>
            </w:r>
          </w:p>
        </w:tc>
        <w:tc>
          <w:tcPr>
            <w:tcW w:type="dxa" w:w="2575"/>
            <w:tcMar>
              <w:top w:type="dxa" w:w="60"/>
              <w:left w:type="dxa" w:w="100"/>
              <w:bottom w:type="dxa" w:w="60"/>
              <w:right w:type="dxa" w:w="100"/>
            </w:tcMar>
            <w:vAlign w:val="center"/>
          </w:tcPr>
          <w:p>
            <w:pPr>
              <w:jc w:val="left"/>
            </w:pPr>
            <w:r>
              <w:rPr>
                <w:b w:val="false"/>
                <w:bCs w:val="false"/>
                <w:sz w:val="20"/>
                <w:szCs w:val="20"/>
              </w:rPr>
              <w:t xml:space="preserve">3</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Godrej Serene</w:t>
            </w:r>
          </w:p>
        </w:tc>
        <w:tc>
          <w:tcPr>
            <w:tcW w:type="dxa" w:w="2575"/>
            <w:tcMar>
              <w:top w:type="dxa" w:w="60"/>
              <w:left w:type="dxa" w:w="100"/>
              <w:bottom w:type="dxa" w:w="60"/>
              <w:right w:type="dxa" w:w="100"/>
            </w:tcMar>
            <w:vAlign w:val="center"/>
          </w:tcPr>
          <w:p>
            <w:pPr>
              <w:jc w:val="left"/>
            </w:pPr>
            <w:r>
              <w:rPr>
                <w:b w:val="false"/>
                <w:bCs w:val="false"/>
                <w:sz w:val="20"/>
                <w:szCs w:val="20"/>
              </w:rPr>
              <w:t xml:space="preserve">2</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Sparkle at Godrej Serene</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shd w:fill="F2F2F2" w:val="clear"/>
            <w:tcMar>
              <w:top w:type="dxa" w:w="60"/>
              <w:left w:type="dxa" w:w="100"/>
              <w:bottom w:type="dxa" w:w="60"/>
              <w:right w:type="dxa" w:w="100"/>
            </w:tcMar>
            <w:vAlign w:val="center"/>
          </w:tcPr>
          <w:p>
            <w:pPr>
              <w:jc w:val="left"/>
            </w:pPr>
            <w:r>
              <w:rPr>
                <w:b/>
                <w:bCs/>
                <w:sz w:val="20"/>
                <w:szCs w:val="20"/>
              </w:rPr>
              <w:t xml:space="preserve">Portfolio total (8 projects)</w:t>
            </w:r>
          </w:p>
        </w:tc>
        <w:tc>
          <w:tcPr>
            <w:tcW w:type="dxa" w:w="2575"/>
            <w:shd w:fill="F2F2F2" w:val="clear"/>
            <w:tcMar>
              <w:top w:type="dxa" w:w="60"/>
              <w:left w:type="dxa" w:w="100"/>
              <w:bottom w:type="dxa" w:w="60"/>
              <w:right w:type="dxa" w:w="100"/>
            </w:tcMar>
            <w:vAlign w:val="center"/>
          </w:tcPr>
          <w:p>
            <w:pPr>
              <w:jc w:val="left"/>
            </w:pPr>
            <w:r>
              <w:rPr>
                <w:b/>
                <w:bCs/>
                <w:sz w:val="20"/>
                <w:szCs w:val="20"/>
              </w:rPr>
              <w:t xml:space="preserve">144</w:t>
            </w:r>
          </w:p>
        </w:tc>
        <w:tc>
          <w:tcPr>
            <w:tcW w:type="dxa" w:w="2575"/>
            <w:shd w:fill="F2F2F2" w:val="clear"/>
            <w:tcMar>
              <w:top w:type="dxa" w:w="60"/>
              <w:left w:type="dxa" w:w="100"/>
              <w:bottom w:type="dxa" w:w="60"/>
              <w:right w:type="dxa" w:w="100"/>
            </w:tcMar>
            <w:vAlign w:val="center"/>
          </w:tcPr>
          <w:p>
            <w:pPr>
              <w:jc w:val="left"/>
            </w:pPr>
            <w:r>
              <w:rPr>
                <w:b/>
                <w:bCs/>
                <w:sz w:val="20"/>
                <w:szCs w:val="20"/>
              </w:rPr>
              <w:t xml:space="preserve">21</w:t>
            </w:r>
          </w:p>
        </w:tc>
      </w:tr>
    </w:tbl>
    <w:p>
      <w:pPr>
        <w:spacing w:after="160"/>
      </w:pPr>
      <w:r>
        <w:rPr>
          <w:b/>
          <w:bCs/>
        </w:rPr>
        <w:t xml:space="preserve">Shown as reference (Structural Flag), never colour-scored on its own. What is worth flagging directly: Godrej Park Greens alone accounts for 67 of the promoter's 144 total complaints (46%) and 18 of its 21 total appeals (86%) — a disproportionate outlier within the promoter's own book, not just large relative to unrelated developers.</w:t>
      </w:r>
    </w:p>
    <w:p>
      <w:pPr>
        <w:spacing w:after="160"/>
      </w:pPr>
      <w:r>
        <w:rPr>
          <w:i/>
          <w:iCs/>
          <w:color w:val="606060"/>
          <w:sz w:val="18"/>
          <w:szCs w:val="18"/>
        </w:rPr>
        <w:t xml:space="preserve">Source: output/P52100019639/promoter/portfolio.json — a name-match search against MahaRERA's own Promoters tab; punctuation/suffix variants could cause under-counting, and the "no project lapsed" signal is a best-effort read of each project's own status field, not an independently confirmed revocation count.</w:t>
      </w:r>
    </w:p>
    <w:p>
      <w:pPr>
        <w:pStyle w:val="Heading2"/>
        <w:spacing w:after="140" w:before="280"/>
      </w:pPr>
      <w:r>
        <w:t xml:space="preserve">4.4 Developer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4950"/>
      </w:tblGrid>
      <w:tr>
        <w:tc>
          <w:tcPr>
            <w:tcW w:type="dxa" w:w="2800"/>
            <w:shd w:fill="D9E2F3" w:val="clear"/>
            <w:tcMar>
              <w:top w:type="dxa" w:w="60"/>
              <w:left w:type="dxa" w:w="100"/>
              <w:bottom w:type="dxa" w:w="60"/>
              <w:right w:type="dxa" w:w="100"/>
            </w:tcMar>
            <w:vAlign w:val="center"/>
          </w:tcPr>
          <w:p>
            <w:pPr>
              <w:jc w:val="left"/>
            </w:pPr>
            <w:r>
              <w:rPr>
                <w:b/>
                <w:bCs/>
                <w:sz w:val="20"/>
                <w:szCs w:val="20"/>
              </w:rPr>
              <w:t xml:space="preserve">Pillar</w:t>
            </w:r>
          </w:p>
        </w:tc>
        <w:tc>
          <w:tcPr>
            <w:tcW w:type="dxa" w:w="1550"/>
            <w:shd w:fill="D9E2F3" w:val="clear"/>
            <w:tcMar>
              <w:top w:type="dxa" w:w="60"/>
              <w:left w:type="dxa" w:w="100"/>
              <w:bottom w:type="dxa" w:w="60"/>
              <w:right w:type="dxa" w:w="100"/>
            </w:tcMar>
            <w:vAlign w:val="center"/>
          </w:tcPr>
          <w:p>
            <w:pPr>
              <w:jc w:val="left"/>
            </w:pPr>
            <w:r>
              <w:rPr>
                <w:b/>
                <w:bCs/>
                <w:sz w:val="20"/>
                <w:szCs w:val="20"/>
              </w:rPr>
              <w:t xml:space="preserve">Score</w:t>
            </w:r>
          </w:p>
        </w:tc>
        <w:tc>
          <w:tcPr>
            <w:tcW w:type="dxa" w:w="4950"/>
            <w:shd w:fill="D9E2F3" w:val="clear"/>
            <w:tcMar>
              <w:top w:type="dxa" w:w="60"/>
              <w:left w:type="dxa" w:w="100"/>
              <w:bottom w:type="dxa" w:w="60"/>
              <w:right w:type="dxa" w:w="100"/>
            </w:tcMar>
            <w:vAlign w:val="center"/>
          </w:tcPr>
          <w:p>
            <w:pPr>
              <w:jc w:val="left"/>
            </w:pPr>
            <w:r>
              <w:rPr>
                <w:b/>
                <w:bCs/>
                <w:sz w:val="20"/>
                <w:szCs w:val="20"/>
              </w:rPr>
              <w:t xml:space="preserve">Basis</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Financial Strength (40%)</w:t>
            </w:r>
          </w:p>
        </w:tc>
        <w:tc>
          <w:tcPr>
            <w:tcW w:type="dxa" w:w="1550"/>
            <w:tcMar>
              <w:top w:type="dxa" w:w="60"/>
              <w:left w:type="dxa" w:w="100"/>
              <w:bottom w:type="dxa" w:w="60"/>
              <w:right w:type="dxa" w:w="100"/>
            </w:tcMar>
            <w:vAlign w:val="center"/>
          </w:tcPr>
          <w:p>
            <w:pPr>
              <w:jc w:val="left"/>
            </w:pPr>
            <w:r>
              <w:rPr>
                <w:b w:val="false"/>
                <w:bCs w:val="false"/>
                <w:color w:val="606060"/>
                <w:sz w:val="20"/>
                <w:szCs w:val="20"/>
              </w:rPr>
              <w:t xml:space="preserve">Not scored</w:t>
            </w:r>
          </w:p>
        </w:tc>
        <w:tc>
          <w:tcPr>
            <w:tcW w:type="dxa" w:w="4950"/>
            <w:tcMar>
              <w:top w:type="dxa" w:w="60"/>
              <w:left w:type="dxa" w:w="100"/>
              <w:bottom w:type="dxa" w:w="60"/>
              <w:right w:type="dxa" w:w="100"/>
            </w:tcMar>
            <w:vAlign w:val="center"/>
          </w:tcPr>
          <w:p>
            <w:pPr>
              <w:jc w:val="left"/>
            </w:pPr>
            <w:r>
              <w:rPr>
                <w:b w:val="false"/>
                <w:bCs w:val="false"/>
                <w:sz w:val="20"/>
                <w:szCs w:val="20"/>
              </w:rPr>
              <w:t xml:space="preserve">Credit rating and IBBI checks did not run this pass — excluded rather than guessed, weight renormalized across the remaining pillars.</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Legal &amp; Compliance Record (30%)</w:t>
            </w:r>
          </w:p>
        </w:tc>
        <w:tc>
          <w:tcPr>
            <w:tcW w:type="dxa" w:w="1550"/>
            <w:tcMar>
              <w:top w:type="dxa" w:w="60"/>
              <w:left w:type="dxa" w:w="100"/>
              <w:bottom w:type="dxa" w:w="60"/>
              <w:right w:type="dxa" w:w="100"/>
            </w:tcMar>
            <w:vAlign w:val="center"/>
          </w:tcPr>
          <w:p>
            <w:pPr>
              <w:jc w:val="left"/>
            </w:pPr>
            <w:r>
              <w:rPr>
                <w:b w:val="false"/>
                <w:bCs w:val="false"/>
                <w:color w:val="C00000"/>
                <w:sz w:val="20"/>
                <w:szCs w:val="20"/>
              </w:rPr>
              <w:t xml:space="preserve">~38 / 100</w:t>
            </w:r>
          </w:p>
        </w:tc>
        <w:tc>
          <w:tcPr>
            <w:tcW w:type="dxa" w:w="4950"/>
            <w:tcMar>
              <w:top w:type="dxa" w:w="60"/>
              <w:left w:type="dxa" w:w="100"/>
              <w:bottom w:type="dxa" w:w="60"/>
              <w:right w:type="dxa" w:w="100"/>
            </w:tcMar>
            <w:vAlign w:val="center"/>
          </w:tcPr>
          <w:p>
            <w:pPr>
              <w:jc w:val="left"/>
            </w:pPr>
            <w:r>
              <w:rPr>
                <w:b w:val="false"/>
                <w:bCs w:val="false"/>
                <w:sz w:val="20"/>
                <w:szCs w:val="20"/>
              </w:rPr>
              <w:t xml:space="preserve">Driven down by the complaint/appeal volumes and the twice-extended completion date (Section 1.1), moderated slightly by the dismissed-complaint context.</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Delivery Track Record (20%)</w:t>
            </w:r>
          </w:p>
        </w:tc>
        <w:tc>
          <w:tcPr>
            <w:tcW w:type="dxa" w:w="1550"/>
            <w:tcMar>
              <w:top w:type="dxa" w:w="60"/>
              <w:left w:type="dxa" w:w="100"/>
              <w:bottom w:type="dxa" w:w="60"/>
              <w:right w:type="dxa" w:w="100"/>
            </w:tcMar>
            <w:vAlign w:val="center"/>
          </w:tcPr>
          <w:p>
            <w:pPr>
              <w:jc w:val="left"/>
            </w:pPr>
            <w:r>
              <w:rPr>
                <w:b w:val="false"/>
                <w:bCs w:val="false"/>
                <w:color w:val="606060"/>
                <w:sz w:val="20"/>
                <w:szCs w:val="20"/>
              </w:rPr>
              <w:t xml:space="preserve">Not scored</w:t>
            </w:r>
          </w:p>
        </w:tc>
        <w:tc>
          <w:tcPr>
            <w:tcW w:type="dxa" w:w="4950"/>
            <w:tcMar>
              <w:top w:type="dxa" w:w="60"/>
              <w:left w:type="dxa" w:w="100"/>
              <w:bottom w:type="dxa" w:w="60"/>
              <w:right w:type="dxa" w:w="100"/>
            </w:tcMar>
            <w:vAlign w:val="center"/>
          </w:tcPr>
          <w:p>
            <w:pPr>
              <w:jc w:val="left"/>
            </w:pPr>
            <w:r>
              <w:rPr>
                <w:b w:val="false"/>
                <w:bCs w:val="false"/>
                <w:sz w:val="20"/>
                <w:szCs w:val="20"/>
              </w:rPr>
              <w:t xml:space="preserve">Only one self-reported past-experience entry exists for this registration, showing on-time completion of an unspecified component — difficult to reconcile with this same registration's own twice-extended completion date. Not scored, given the contradiction and n=1 sample.</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Data Confidence (10%)</w:t>
            </w:r>
          </w:p>
        </w:tc>
        <w:tc>
          <w:tcPr>
            <w:tcW w:type="dxa" w:w="1550"/>
            <w:tcMar>
              <w:top w:type="dxa" w:w="60"/>
              <w:left w:type="dxa" w:w="100"/>
              <w:bottom w:type="dxa" w:w="60"/>
              <w:right w:type="dxa" w:w="100"/>
            </w:tcMar>
            <w:vAlign w:val="center"/>
          </w:tcPr>
          <w:p>
            <w:pPr>
              <w:jc w:val="left"/>
            </w:pPr>
            <w:r>
              <w:rPr>
                <w:b w:val="false"/>
                <w:bCs w:val="false"/>
                <w:color w:val="B8860B"/>
                <w:sz w:val="20"/>
                <w:szCs w:val="20"/>
              </w:rPr>
              <w:t xml:space="preserve">52.9 / 100</w:t>
            </w:r>
          </w:p>
        </w:tc>
        <w:tc>
          <w:tcPr>
            <w:tcW w:type="dxa" w:w="4950"/>
            <w:tcMar>
              <w:top w:type="dxa" w:w="60"/>
              <w:left w:type="dxa" w:w="100"/>
              <w:bottom w:type="dxa" w:w="60"/>
              <w:right w:type="dxa" w:w="100"/>
            </w:tcMar>
            <w:vAlign w:val="center"/>
          </w:tcPr>
          <w:p>
            <w:pPr>
              <w:jc w:val="left"/>
            </w:pPr>
            <w:r>
              <w:rPr>
                <w:b w:val="false"/>
                <w:bCs w:val="false"/>
                <w:sz w:val="20"/>
                <w:szCs w:val="20"/>
              </w:rPr>
              <w:t xml:space="preserve">This Charter's own Data Authenticity score (Section 9.3) — Moderate band.</w:t>
            </w:r>
          </w:p>
        </w:tc>
      </w:tr>
    </w:tbl>
    <w:p>
      <w:pPr>
        <w:spacing w:after="160"/>
      </w:pPr>
      <w:r>
        <w:rPr>
          <w:b/>
          <w:bCs/>
        </w:rPr>
        <w:t xml:space="preserve">Composite (renormalized across Legal &amp; Compliance and Data Confidence only): approximately 41 / 100 — Grade D (High Risk). This sits below the Imminent-Red-Flag override's C cap already, so the override does not soften it.</w:t>
      </w:r>
    </w:p>
    <w:p>
      <w:r>
        <w:br w:type="page"/>
      </w:r>
    </w:p>
    <w:p>
      <w:pPr>
        <w:pStyle w:val="Heading1"/>
        <w:spacing w:after="140" w:before="280"/>
      </w:pPr>
      <w:r>
        <w:t xml:space="preserve">5. The Asset — Land, Location &amp; FSI</w:t>
      </w:r>
    </w:p>
    <w:p>
      <w:pPr>
        <w:pStyle w:val="Heading2"/>
        <w:spacing w:after="140" w:before="280"/>
      </w:pPr>
      <w:r>
        <w:t xml:space="preserve">5.1 Land identification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Survey/CTS/plot</w:t>
            </w:r>
          </w:p>
        </w:tc>
        <w:tc>
          <w:tcPr>
            <w:tcW w:type="dxa" w:w="6850"/>
            <w:tcMar>
              <w:top w:type="dxa" w:w="60"/>
              <w:left w:type="dxa" w:w="100"/>
              <w:bottom w:type="dxa" w:w="60"/>
              <w:right w:type="dxa" w:w="100"/>
            </w:tcMar>
            <w:vAlign w:val="center"/>
          </w:tcPr>
          <w:p>
            <w:pPr>
              <w:jc w:val="left"/>
            </w:pPr>
            <w:r>
              <w:rPr>
                <w:b w:val="false"/>
                <w:bCs w:val="false"/>
                <w:sz w:val="20"/>
                <w:szCs w:val="20"/>
              </w:rPr>
              <w:t xml:space="preserve">Phase plot within Survey Nos. 11/1A, 12/1, 12/2/1, 12/2/2, 12/2/3, 13/1B (part), 13/2 — within a wider ~24-hectare landholding spanning 14 survey numbers acquired from Peninsula Land Limited</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Village/locality</w:t>
            </w:r>
          </w:p>
        </w:tc>
        <w:tc>
          <w:tcPr>
            <w:tcW w:type="dxa" w:w="6850"/>
            <w:tcMar>
              <w:top w:type="dxa" w:w="60"/>
              <w:left w:type="dxa" w:w="100"/>
              <w:bottom w:type="dxa" w:w="60"/>
              <w:right w:type="dxa" w:w="100"/>
            </w:tcMar>
            <w:vAlign w:val="center"/>
          </w:tcPr>
          <w:p>
            <w:pPr>
              <w:jc w:val="left"/>
            </w:pPr>
            <w:r>
              <w:rPr>
                <w:b w:val="false"/>
                <w:bCs w:val="false"/>
                <w:sz w:val="20"/>
                <w:szCs w:val="20"/>
              </w:rPr>
              <w:t xml:space="preserve">Mamurdi</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Taluka/District</w:t>
            </w:r>
          </w:p>
        </w:tc>
        <w:tc>
          <w:tcPr>
            <w:tcW w:type="dxa" w:w="6850"/>
            <w:tcMar>
              <w:top w:type="dxa" w:w="60"/>
              <w:left w:type="dxa" w:w="100"/>
              <w:bottom w:type="dxa" w:w="60"/>
              <w:right w:type="dxa" w:w="100"/>
            </w:tcMar>
            <w:vAlign w:val="center"/>
          </w:tcPr>
          <w:p>
            <w:pPr>
              <w:jc w:val="left"/>
            </w:pPr>
            <w:r>
              <w:rPr>
                <w:b w:val="false"/>
                <w:bCs w:val="false"/>
                <w:sz w:val="20"/>
                <w:szCs w:val="20"/>
              </w:rPr>
              <w:t xml:space="preserve">Taluka Haveli, District Pune, within PCMC limits</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Pincode</w:t>
            </w:r>
          </w:p>
        </w:tc>
        <w:tc>
          <w:tcPr>
            <w:tcW w:type="dxa" w:w="6850"/>
            <w:tcMar>
              <w:top w:type="dxa" w:w="60"/>
              <w:left w:type="dxa" w:w="100"/>
              <w:bottom w:type="dxa" w:w="60"/>
              <w:right w:type="dxa" w:w="100"/>
            </w:tcMar>
            <w:vAlign w:val="center"/>
          </w:tcPr>
          <w:p>
            <w:pPr>
              <w:jc w:val="left"/>
            </w:pPr>
            <w:r>
              <w:rPr>
                <w:b w:val="false"/>
                <w:bCs w:val="false"/>
                <w:sz w:val="20"/>
                <w:szCs w:val="20"/>
              </w:rPr>
              <w:t xml:space="preserve">412101</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Total gross area</w:t>
            </w:r>
          </w:p>
        </w:tc>
        <w:tc>
          <w:tcPr>
            <w:tcW w:type="dxa" w:w="6850"/>
            <w:tcMar>
              <w:top w:type="dxa" w:w="60"/>
              <w:left w:type="dxa" w:w="100"/>
              <w:bottom w:type="dxa" w:w="60"/>
              <w:right w:type="dxa" w:w="100"/>
            </w:tcMar>
            <w:vAlign w:val="center"/>
          </w:tcPr>
          <w:p>
            <w:pPr>
              <w:jc w:val="left"/>
            </w:pPr>
            <w:r>
              <w:rPr>
                <w:b w:val="false"/>
                <w:bCs w:val="false"/>
                <w:sz w:val="20"/>
                <w:szCs w:val="20"/>
              </w:rPr>
              <w:t xml:space="preserve">~24 hectares across 14 survey parcels (the full landholding acquired from Peninsula Land Limited); this RERA-registered phase itself is 32,917 sqm</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Area affected</w:t>
            </w:r>
          </w:p>
        </w:tc>
        <w:tc>
          <w:tcPr>
            <w:tcW w:type="dxa" w:w="6850"/>
            <w:tcMar>
              <w:top w:type="dxa" w:w="60"/>
              <w:left w:type="dxa" w:w="100"/>
              <w:bottom w:type="dxa" w:w="60"/>
              <w:right w:type="dxa" w:w="100"/>
            </w:tcMar>
            <w:vAlign w:val="center"/>
          </w:tcPr>
          <w:p>
            <w:pPr>
              <w:jc w:val="left"/>
            </w:pPr>
            <w:r>
              <w:rPr>
                <w:b w:val="false"/>
                <w:bCs w:val="false"/>
                <w:color w:val="606060"/>
                <w:sz w:val="20"/>
                <w:szCs w:val="20"/>
              </w:rPr>
              <w:t xml:space="preserve">Not disclosed in the documents reviewed this pass</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Net area (this phase)</w:t>
            </w:r>
          </w:p>
        </w:tc>
        <w:tc>
          <w:tcPr>
            <w:tcW w:type="dxa" w:w="6850"/>
            <w:tcMar>
              <w:top w:type="dxa" w:w="60"/>
              <w:left w:type="dxa" w:w="100"/>
              <w:bottom w:type="dxa" w:w="60"/>
              <w:right w:type="dxa" w:w="100"/>
            </w:tcMar>
            <w:vAlign w:val="center"/>
          </w:tcPr>
          <w:p>
            <w:pPr>
              <w:jc w:val="left"/>
            </w:pPr>
            <w:r>
              <w:rPr>
                <w:b w:val="false"/>
                <w:bCs w:val="false"/>
                <w:sz w:val="20"/>
                <w:szCs w:val="20"/>
              </w:rPr>
              <w:t xml:space="preserve">32,917 sqm — flagged for a manual re-check: this figure's second-opinion verification could not run this pass (Monitor Flag, Section 1.3)</w:t>
            </w:r>
          </w:p>
        </w:tc>
      </w:tr>
    </w:tbl>
    <w:p>
      <w:pPr>
        <w:pStyle w:val="Heading2"/>
        <w:spacing w:after="140" w:before="280"/>
      </w:pPr>
      <w:r>
        <w:t xml:space="preserve">5.2 Location, connectivity &amp; social infrastructure</w:t>
      </w:r>
    </w:p>
    <w:p>
      <w:pPr>
        <w:spacing w:after="160"/>
      </w:pPr>
      <w:r>
        <w:t xml:space="preserve">Neighbourhood: East and West — 18 m wide DP roads. North — Phase 2 (an adjoining later phase of the same development). South — 12 m wide DP road.</w:t>
      </w:r>
    </w:p>
    <w:p>
      <w:pPr>
        <w:spacing w:after="160"/>
      </w:pPr>
      <w:r>
        <w:t xml:space="preserve">Connectivity: direct frontage/access via Service Road to the Pune–Mumbai Expressway (NH 48 corridor); the site sits within PCMC limits on Pune's north-western growth belt. No metro line currently reaches Mamurdi — nearest operational station is Bhujbal Chowk (Wakad), ~11 km; a Purple Line extension toward Nigdi (~7 km) is planned/announced but not confirmed operational as of 2026 (treated as a gap, not a fact).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shd w:fill="D9E2F3" w:val="clear"/>
            <w:tcMar>
              <w:top w:type="dxa" w:w="60"/>
              <w:left w:type="dxa" w:w="100"/>
              <w:bottom w:type="dxa" w:w="60"/>
              <w:right w:type="dxa" w:w="100"/>
            </w:tcMar>
            <w:vAlign w:val="center"/>
          </w:tcPr>
          <w:p>
            <w:pPr>
              <w:jc w:val="left"/>
            </w:pPr>
            <w:r>
              <w:rPr>
                <w:b/>
                <w:bCs/>
                <w:sz w:val="20"/>
                <w:szCs w:val="20"/>
              </w:rPr>
              <w:t xml:space="preserve">Landmark</w:t>
            </w:r>
          </w:p>
        </w:tc>
        <w:tc>
          <w:tcPr>
            <w:tcW w:type="dxa" w:w="5550"/>
            <w:shd w:fill="D9E2F3" w:val="clear"/>
            <w:tcMar>
              <w:top w:type="dxa" w:w="60"/>
              <w:left w:type="dxa" w:w="100"/>
              <w:bottom w:type="dxa" w:w="60"/>
              <w:right w:type="dxa" w:w="100"/>
            </w:tcMar>
            <w:vAlign w:val="center"/>
          </w:tcPr>
          <w:p>
            <w:pPr>
              <w:jc w:val="left"/>
            </w:pPr>
            <w:r>
              <w:rPr>
                <w:b/>
                <w:bCs/>
                <w:sz w:val="20"/>
                <w:szCs w:val="20"/>
              </w:rPr>
              <w:t xml:space="preserve">Live driving distance/time</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Pune Railway Station</w:t>
            </w:r>
          </w:p>
        </w:tc>
        <w:tc>
          <w:tcPr>
            <w:tcW w:type="dxa" w:w="5550"/>
            <w:tcMar>
              <w:top w:type="dxa" w:w="60"/>
              <w:left w:type="dxa" w:w="100"/>
              <w:bottom w:type="dxa" w:w="60"/>
              <w:right w:type="dxa" w:w="100"/>
            </w:tcMar>
            <w:vAlign w:val="center"/>
          </w:tcPr>
          <w:p>
            <w:pPr>
              <w:jc w:val="left"/>
            </w:pPr>
            <w:r>
              <w:rPr>
                <w:b w:val="false"/>
                <w:bCs w:val="false"/>
                <w:sz w:val="20"/>
                <w:szCs w:val="20"/>
              </w:rPr>
              <w:t xml:space="preserve">50 min / 26.4 km via NH 65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MIDC Technology Park, Talawade</w:t>
            </w:r>
          </w:p>
        </w:tc>
        <w:tc>
          <w:tcPr>
            <w:tcW w:type="dxa" w:w="5550"/>
            <w:tcMar>
              <w:top w:type="dxa" w:w="60"/>
              <w:left w:type="dxa" w:w="100"/>
              <w:bottom w:type="dxa" w:w="60"/>
              <w:right w:type="dxa" w:w="100"/>
            </w:tcMar>
            <w:vAlign w:val="center"/>
          </w:tcPr>
          <w:p>
            <w:pPr>
              <w:jc w:val="left"/>
            </w:pPr>
            <w:r>
              <w:rPr>
                <w:b w:val="false"/>
                <w:bCs w:val="false"/>
                <w:sz w:val="20"/>
                <w:szCs w:val="20"/>
              </w:rPr>
              <w:t xml:space="preserve">30 min / 11.9 km via Dehu-Chincholi Rd</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Pune International Airport (Lohegaon)</w:t>
            </w:r>
          </w:p>
        </w:tc>
        <w:tc>
          <w:tcPr>
            <w:tcW w:type="dxa" w:w="5550"/>
            <w:tcMar>
              <w:top w:type="dxa" w:w="60"/>
              <w:left w:type="dxa" w:w="100"/>
              <w:bottom w:type="dxa" w:w="60"/>
              <w:right w:type="dxa" w:w="100"/>
            </w:tcMar>
            <w:vAlign w:val="center"/>
          </w:tcPr>
          <w:p>
            <w:pPr>
              <w:jc w:val="left"/>
            </w:pPr>
            <w:r>
              <w:rPr>
                <w:b w:val="false"/>
                <w:bCs w:val="false"/>
                <w:sz w:val="20"/>
                <w:szCs w:val="20"/>
              </w:rPr>
              <w:t xml:space="preserve">55 min / 30.4 km via NH 548DD/NH 65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Dehu Road Railway Station (nearest)</w:t>
            </w:r>
          </w:p>
        </w:tc>
        <w:tc>
          <w:tcPr>
            <w:tcW w:type="dxa" w:w="5550"/>
            <w:tcMar>
              <w:top w:type="dxa" w:w="60"/>
              <w:left w:type="dxa" w:w="100"/>
              <w:bottom w:type="dxa" w:w="60"/>
              <w:right w:type="dxa" w:w="100"/>
            </w:tcMar>
            <w:vAlign w:val="center"/>
          </w:tcPr>
          <w:p>
            <w:pPr>
              <w:jc w:val="left"/>
            </w:pPr>
            <w:r>
              <w:rPr>
                <w:b w:val="false"/>
                <w:bCs w:val="false"/>
                <w:sz w:val="20"/>
                <w:szCs w:val="20"/>
              </w:rPr>
              <w:t xml:space="preserve">9 min / 3.5 km via Dr Ambedkar Rd</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Xion Mall (Hinjawadi)</w:t>
            </w:r>
          </w:p>
        </w:tc>
        <w:tc>
          <w:tcPr>
            <w:tcW w:type="dxa" w:w="5550"/>
            <w:tcMar>
              <w:top w:type="dxa" w:w="60"/>
              <w:left w:type="dxa" w:w="100"/>
              <w:bottom w:type="dxa" w:w="60"/>
              <w:right w:type="dxa" w:w="100"/>
            </w:tcMar>
            <w:vAlign w:val="center"/>
          </w:tcPr>
          <w:p>
            <w:pPr>
              <w:jc w:val="left"/>
            </w:pPr>
            <w:r>
              <w:rPr>
                <w:b w:val="false"/>
                <w:bCs w:val="false"/>
                <w:sz w:val="20"/>
                <w:szCs w:val="20"/>
              </w:rPr>
              <w:t xml:space="preserve">23 min / 12.7 km via NH 48</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Sparsh Multispeciality Hospital</w:t>
            </w:r>
          </w:p>
        </w:tc>
        <w:tc>
          <w:tcPr>
            <w:tcW w:type="dxa" w:w="5550"/>
            <w:tcMar>
              <w:top w:type="dxa" w:w="60"/>
              <w:left w:type="dxa" w:w="100"/>
              <w:bottom w:type="dxa" w:w="60"/>
              <w:right w:type="dxa" w:w="100"/>
            </w:tcMar>
            <w:vAlign w:val="center"/>
          </w:tcPr>
          <w:p>
            <w:pPr>
              <w:jc w:val="left"/>
            </w:pPr>
            <w:r>
              <w:rPr>
                <w:b w:val="false"/>
                <w:bCs w:val="false"/>
                <w:sz w:val="20"/>
                <w:szCs w:val="20"/>
              </w:rPr>
              <w:t xml:space="preserve">18 min / 8.0 km via NH 48 and Parandwadi Rd</w:t>
            </w:r>
          </w:p>
        </w:tc>
      </w:tr>
    </w:tbl>
    <w:p>
      <w:pPr>
        <w:spacing w:after="160"/>
      </w:pPr>
      <w:r>
        <w:rPr>
          <w:i/>
          <w:iCs/>
        </w:rPr>
        <w:t xml:space="preserve">All distances are live Google Maps driving routes checked 2026-07-17 from the resolved locality origin — not secondary aggregator estimates. A precise project-gate lat/long pin was not separately plotted (Monitor Flag, Section 1.3).</w:t>
      </w:r>
    </w:p>
    <w:p>
      <w:pPr>
        <w:spacing w:after="160"/>
      </w:pPr>
      <w:r>
        <w:t xml:space="preserve">Social infrastructure: the immediate catchment is anchored by the Talawade/Chikhali MIDC industrial-IT belt (~12 km) and, further out, Hinjawadi IT Park — an employment-led catchment rather than a pure-investor one. Retail includes Xion Mall (Hinjawadi branch, Maps-verified); aggregators also cite Westend Mall, Premier Plaza Mall, and Central Mall at varying distances, none independently corroborated this pass. Healthcare options within roughly 10 km include Sparsh Multispeciality Hospital (Maps-verified) plus three aggregator-cited hospitals not individually Maps-verified.</w:t>
      </w:r>
    </w:p>
    <w:p>
      <w:pPr>
        <w:pStyle w:val="Heading2"/>
        <w:spacing w:after="140" w:before="280"/>
      </w:pPr>
      <w:r>
        <w:t xml:space="preserve">5.3 FSI</w:t>
      </w:r>
    </w:p>
    <w:p>
      <w:pPr>
        <w:spacing w:after="160"/>
      </w:pPr>
      <w:r>
        <w:t xml:space="preserve">Governed by Pimpri-Chinchwad Municipal Corporation's (PCMC) own sanctioned Development Plan / UDCPR, not Mumbai's DCPR 2034 — the engineer's registration on record (REG/PMC/STE/1635/16) is itself a PCMC structural-engineer registration, consistent with PCMC being the sanctioning authority.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2F3" w:val="clear"/>
            <w:tcMar>
              <w:top w:type="dxa" w:w="60"/>
              <w:left w:type="dxa" w:w="100"/>
              <w:bottom w:type="dxa" w:w="60"/>
              <w:right w:type="dxa" w:w="100"/>
            </w:tcMar>
            <w:vAlign w:val="center"/>
          </w:tcPr>
          <w:p>
            <w:pPr>
              <w:jc w:val="left"/>
            </w:pPr>
            <w:r>
              <w:rPr>
                <w:b/>
                <w:bCs/>
                <w:sz w:val="20"/>
                <w:szCs w:val="20"/>
              </w:rPr>
              <w:t xml:space="preserve">Net land area</w:t>
            </w:r>
          </w:p>
        </w:tc>
        <w:tc>
          <w:tcPr>
            <w:tcW w:type="dxa" w:w="6550"/>
            <w:tcMar>
              <w:top w:type="dxa" w:w="60"/>
              <w:left w:type="dxa" w:w="100"/>
              <w:bottom w:type="dxa" w:w="60"/>
              <w:right w:type="dxa" w:w="100"/>
            </w:tcMar>
            <w:vAlign w:val="center"/>
          </w:tcPr>
          <w:p>
            <w:pPr>
              <w:jc w:val="left"/>
            </w:pPr>
            <w:r>
              <w:rPr>
                <w:b w:val="false"/>
                <w:bCs w:val="false"/>
                <w:sz w:val="20"/>
                <w:szCs w:val="20"/>
              </w:rPr>
              <w:t xml:space="preserve">32,917 sqm (confirmed)</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Approved BUA</w:t>
            </w:r>
          </w:p>
        </w:tc>
        <w:tc>
          <w:tcPr>
            <w:tcW w:type="dxa" w:w="6550"/>
            <w:tcMar>
              <w:top w:type="dxa" w:w="60"/>
              <w:left w:type="dxa" w:w="100"/>
              <w:bottom w:type="dxa" w:w="60"/>
              <w:right w:type="dxa" w:w="100"/>
            </w:tcMar>
            <w:vAlign w:val="center"/>
          </w:tcPr>
          <w:p>
            <w:pPr>
              <w:jc w:val="left"/>
            </w:pPr>
            <w:r>
              <w:rPr>
                <w:b w:val="false"/>
                <w:bCs w:val="false"/>
                <w:color w:val="C00000"/>
                <w:sz w:val="20"/>
                <w:szCs w:val="20"/>
              </w:rPr>
              <w:t xml:space="preserve">Not confirmed this pass — Imminent Red Flag, Section 1.1</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Sanctioned BUA</w:t>
            </w:r>
          </w:p>
        </w:tc>
        <w:tc>
          <w:tcPr>
            <w:tcW w:type="dxa" w:w="6550"/>
            <w:tcMar>
              <w:top w:type="dxa" w:w="60"/>
              <w:left w:type="dxa" w:w="100"/>
              <w:bottom w:type="dxa" w:w="60"/>
              <w:right w:type="dxa" w:w="100"/>
            </w:tcMar>
            <w:vAlign w:val="center"/>
          </w:tcPr>
          <w:p>
            <w:pPr>
              <w:jc w:val="left"/>
            </w:pPr>
            <w:r>
              <w:rPr>
                <w:b w:val="false"/>
                <w:bCs w:val="false"/>
                <w:color w:val="C00000"/>
                <w:sz w:val="20"/>
                <w:szCs w:val="20"/>
              </w:rPr>
              <w:t xml:space="preserve">Not confirmed this pass — Imminent Red Flag, Section 1.1</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Mortgage area</w:t>
            </w:r>
          </w:p>
        </w:tc>
        <w:tc>
          <w:tcPr>
            <w:tcW w:type="dxa" w:w="6550"/>
            <w:tcMar>
              <w:top w:type="dxa" w:w="60"/>
              <w:left w:type="dxa" w:w="100"/>
              <w:bottom w:type="dxa" w:w="60"/>
              <w:right w:type="dxa" w:w="100"/>
            </w:tcMar>
            <w:vAlign w:val="center"/>
          </w:tcPr>
          <w:p>
            <w:pPr>
              <w:jc w:val="left"/>
            </w:pPr>
            <w:r>
              <w:rPr>
                <w:b w:val="false"/>
                <w:bCs w:val="false"/>
                <w:sz w:val="20"/>
                <w:szCs w:val="20"/>
              </w:rPr>
              <w:t xml:space="preserve">Not separately disclosed; a mortgage in favour of Bajaj Housing Finance Limited is disclosed without a stated area/quantum</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Implied FSI</w:t>
            </w:r>
          </w:p>
        </w:tc>
        <w:tc>
          <w:tcPr>
            <w:tcW w:type="dxa" w:w="6550"/>
            <w:tcMar>
              <w:top w:type="dxa" w:w="60"/>
              <w:left w:type="dxa" w:w="100"/>
              <w:bottom w:type="dxa" w:w="60"/>
              <w:right w:type="dxa" w:w="100"/>
            </w:tcMar>
            <w:vAlign w:val="center"/>
          </w:tcPr>
          <w:p>
            <w:pPr>
              <w:jc w:val="left"/>
            </w:pPr>
            <w:r>
              <w:rPr>
                <w:b w:val="false"/>
                <w:bCs w:val="false"/>
                <w:color w:val="C00000"/>
                <w:sz w:val="20"/>
                <w:szCs w:val="20"/>
              </w:rPr>
              <w:t xml:space="preserve">Not computed — BUA figure unavailable this pass</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Mortgage lender</w:t>
            </w:r>
          </w:p>
        </w:tc>
        <w:tc>
          <w:tcPr>
            <w:tcW w:type="dxa" w:w="6550"/>
            <w:tcMar>
              <w:top w:type="dxa" w:w="60"/>
              <w:left w:type="dxa" w:w="100"/>
              <w:bottom w:type="dxa" w:w="60"/>
              <w:right w:type="dxa" w:w="100"/>
            </w:tcMar>
            <w:vAlign w:val="center"/>
          </w:tcPr>
          <w:p>
            <w:pPr>
              <w:jc w:val="left"/>
            </w:pPr>
            <w:r>
              <w:rPr>
                <w:b w:val="false"/>
                <w:bCs w:val="false"/>
                <w:sz w:val="20"/>
                <w:szCs w:val="20"/>
              </w:rPr>
              <w:t xml:space="preserve">Bajaj Housing Finance Limited</w:t>
            </w:r>
          </w:p>
        </w:tc>
      </w:tr>
    </w:tbl>
    <w:p>
      <w:pPr>
        <w:spacing w:after="160"/>
      </w:pPr>
      <w:r>
        <w:rPr>
          <w:i/>
          <w:iCs/>
        </w:rPr>
        <w:t xml:space="preserve">The North Sanction Layout and IOD drawings are engineering plans without machine-extractable area schedules in the copies reviewed — recorded as an explicit gap rather than estimated.</w:t>
      </w:r>
    </w:p>
    <w:p>
      <w:pPr>
        <w:pStyle w:val="Heading2"/>
        <w:spacing w:after="140" w:before="280"/>
      </w:pPr>
      <w:r>
        <w:t xml:space="preserve">5.4 Local planning &amp; professionals of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2F3" w:val="clear"/>
            <w:tcMar>
              <w:top w:type="dxa" w:w="60"/>
              <w:left w:type="dxa" w:w="100"/>
              <w:bottom w:type="dxa" w:w="60"/>
              <w:right w:type="dxa" w:w="100"/>
            </w:tcMar>
            <w:vAlign w:val="center"/>
          </w:tcPr>
          <w:p>
            <w:pPr>
              <w:jc w:val="left"/>
            </w:pPr>
            <w:r>
              <w:rPr>
                <w:b/>
                <w:bCs/>
                <w:sz w:val="20"/>
                <w:szCs w:val="20"/>
              </w:rPr>
              <w:t xml:space="preserve">Authority of record</w:t>
            </w:r>
          </w:p>
        </w:tc>
        <w:tc>
          <w:tcPr>
            <w:tcW w:type="dxa" w:w="6550"/>
            <w:tcMar>
              <w:top w:type="dxa" w:w="60"/>
              <w:left w:type="dxa" w:w="100"/>
              <w:bottom w:type="dxa" w:w="60"/>
              <w:right w:type="dxa" w:w="100"/>
            </w:tcMar>
            <w:vAlign w:val="center"/>
          </w:tcPr>
          <w:p>
            <w:pPr>
              <w:jc w:val="left"/>
            </w:pPr>
            <w:r>
              <w:rPr>
                <w:b w:val="false"/>
                <w:bCs w:val="false"/>
                <w:sz w:val="20"/>
                <w:szCs w:val="20"/>
              </w:rPr>
              <w:t xml:space="preserve">Pimpri-Chinchwad Municipal Corporation (PCMC)</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Project type</w:t>
            </w:r>
          </w:p>
        </w:tc>
        <w:tc>
          <w:tcPr>
            <w:tcW w:type="dxa" w:w="6550"/>
            <w:tcMar>
              <w:top w:type="dxa" w:w="60"/>
              <w:left w:type="dxa" w:w="100"/>
              <w:bottom w:type="dxa" w:w="60"/>
              <w:right w:type="dxa" w:w="100"/>
            </w:tcMar>
            <w:vAlign w:val="center"/>
          </w:tcPr>
          <w:p>
            <w:pPr>
              <w:jc w:val="left"/>
            </w:pPr>
            <w:r>
              <w:rPr>
                <w:b w:val="false"/>
                <w:bCs w:val="false"/>
                <w:sz w:val="20"/>
                <w:szCs w:val="20"/>
              </w:rPr>
              <w:t xml:space="preserve">Residential (RERA record labels it "Others"/projectTypeName, but the unit count, layout drawing, and aggregator listings all describe 2BHK/3BHK residential apartments)</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Architect</w:t>
            </w:r>
          </w:p>
        </w:tc>
        <w:tc>
          <w:tcPr>
            <w:tcW w:type="dxa" w:w="6550"/>
            <w:tcMar>
              <w:top w:type="dxa" w:w="60"/>
              <w:left w:type="dxa" w:w="100"/>
              <w:bottom w:type="dxa" w:w="60"/>
              <w:right w:type="dxa" w:w="100"/>
            </w:tcMar>
            <w:vAlign w:val="center"/>
          </w:tcPr>
          <w:p>
            <w:pPr>
              <w:jc w:val="left"/>
            </w:pPr>
            <w:r>
              <w:rPr>
                <w:b w:val="false"/>
                <w:bCs w:val="false"/>
                <w:sz w:val="20"/>
                <w:szCs w:val="20"/>
              </w:rPr>
              <w:t xml:space="preserve">Studio 30 Architects and Planners (Rana Ram, Managing Partner; CoA Reg. CA/89/12572)</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Structural Engineer</w:t>
            </w:r>
          </w:p>
        </w:tc>
        <w:tc>
          <w:tcPr>
            <w:tcW w:type="dxa" w:w="6550"/>
            <w:tcMar>
              <w:top w:type="dxa" w:w="60"/>
              <w:left w:type="dxa" w:w="100"/>
              <w:bottom w:type="dxa" w:w="60"/>
              <w:right w:type="dxa" w:w="100"/>
            </w:tcMar>
            <w:vAlign w:val="center"/>
          </w:tcPr>
          <w:p>
            <w:pPr>
              <w:jc w:val="left"/>
            </w:pPr>
            <w:r>
              <w:rPr>
                <w:b w:val="false"/>
                <w:bCs w:val="false"/>
                <w:sz w:val="20"/>
                <w:szCs w:val="20"/>
              </w:rPr>
              <w:t xml:space="preserve">PCMC Reg. REG/PMC/STE/1635/16 (name not disclosed in the record reviewed)</w:t>
            </w:r>
          </w:p>
        </w:tc>
      </w:tr>
      <w:tr>
        <w:tc>
          <w:tcPr>
            <w:tcW w:type="dxa" w:w="2800"/>
            <w:shd w:fill="D9E2F3" w:val="clear"/>
            <w:tcMar>
              <w:top w:type="dxa" w:w="60"/>
              <w:left w:type="dxa" w:w="100"/>
              <w:bottom w:type="dxa" w:w="60"/>
              <w:right w:type="dxa" w:w="100"/>
            </w:tcMar>
            <w:vAlign w:val="center"/>
          </w:tcPr>
          <w:p>
            <w:pPr>
              <w:jc w:val="left"/>
            </w:pPr>
            <w:r>
              <w:rPr>
                <w:b/>
                <w:bCs/>
                <w:sz w:val="20"/>
                <w:szCs w:val="20"/>
              </w:rPr>
              <w:t xml:space="preserve">Chartered Accountants</w:t>
            </w:r>
          </w:p>
        </w:tc>
        <w:tc>
          <w:tcPr>
            <w:tcW w:type="dxa" w:w="6550"/>
            <w:tcMar>
              <w:top w:type="dxa" w:w="60"/>
              <w:left w:type="dxa" w:w="100"/>
              <w:bottom w:type="dxa" w:w="60"/>
              <w:right w:type="dxa" w:w="100"/>
            </w:tcMar>
            <w:vAlign w:val="center"/>
          </w:tcPr>
          <w:p>
            <w:pPr>
              <w:jc w:val="left"/>
            </w:pPr>
            <w:r>
              <w:rPr>
                <w:b w:val="false"/>
                <w:bCs w:val="false"/>
                <w:sz w:val="20"/>
                <w:szCs w:val="20"/>
              </w:rPr>
              <w:t xml:space="preserve">B S R &amp; Co. LLP (Jaymin Sheth; Nikhil Ganu) and M D Deshpande &amp; Co. (Omkar M Deshpande), reflecting multiple reporting periods</w:t>
            </w:r>
          </w:p>
        </w:tc>
      </w:tr>
    </w:tbl>
    <w:p>
      <w:r>
        <w:br w:type="page"/>
      </w:r>
    </w:p>
    <w:p>
      <w:pPr>
        <w:pStyle w:val="Heading1"/>
        <w:spacing w:after="140" w:before="280"/>
      </w:pPr>
      <w:r>
        <w:t xml:space="preserve">6. Compliance &amp; Legal Detail</w:t>
      </w:r>
    </w:p>
    <w:p>
      <w:pPr>
        <w:pStyle w:val="Heading2"/>
        <w:spacing w:after="140" w:before="280"/>
      </w:pPr>
      <w:r>
        <w:t xml:space="preserve">6.1 Statutory framework</w:t>
      </w:r>
    </w:p>
    <w:p>
      <w:pPr>
        <w:pStyle w:val="ListParagraph"/>
        <w:numPr>
          <w:ilvl w:val="0"/>
          <w:numId w:val="1"/>
        </w:numPr>
        <w:spacing w:after="80"/>
      </w:pPr>
      <w:r>
        <w:t xml:space="preserve">Governing act: Real Estate (Regulation and Development) Act, 2016, administered by MahaRERA.</w:t>
      </w:r>
    </w:p>
    <w:p>
      <w:pPr>
        <w:pStyle w:val="ListParagraph"/>
        <w:numPr>
          <w:ilvl w:val="0"/>
          <w:numId w:val="1"/>
        </w:numPr>
        <w:spacing w:after="80"/>
      </w:pPr>
      <w:r>
        <w:t xml:space="preserve">Planning approval sequence: PCMC building approvals; RERA registration (2019-02-20) followed the underlying NA order (7 November 2017) and title-transfer chain (conveyance completed 2 May 2018).</w:t>
      </w:r>
    </w:p>
    <w:p>
      <w:pPr>
        <w:pStyle w:val="ListParagraph"/>
        <w:numPr>
          <w:ilvl w:val="0"/>
          <w:numId w:val="1"/>
        </w:numPr>
        <w:spacing w:after="80"/>
      </w:pPr>
      <w:r>
        <w:rPr>
          <w:color w:val="606060"/>
        </w:rPr>
        <w:t xml:space="preserve">Allotment mechanics: not separately confirmed from a proforma Allotment Letter / Agreement for Sale in the documents opened this pass.</w:t>
      </w:r>
    </w:p>
    <w:p>
      <w:pPr>
        <w:pStyle w:val="Heading2"/>
        <w:spacing w:after="140" w:before="280"/>
      </w:pPr>
      <w:r>
        <w:t xml:space="preserve">6.2 RERA compliance</w:t>
      </w:r>
    </w:p>
    <w:p>
      <w:pPr>
        <w:spacing w:after="160"/>
      </w:pPr>
      <w:r>
        <w:t xml:space="preserve">Registration P52100019639, approved 2019-02-20, current status Certificate Signed / New, proposed completion now 2028-03-30 (originally 2024-03-30; extended more than once — see Section 1.1). Collection Account and escrow sub-account details are not disclosed in the documents opened this pass. Form B / Rule 3(4) Affidavit cum Declaration executed 9 August 2024, notarized 11 June 2025, states land free from encumbrance save for the disclosed Bajaj Housing Finance Limited mortgage and the litigations/observations on the MahaRERA portal. Construction progress is not disclosed per-block; 1,194 of 1,210 total units are recorded as sold, indicating a substantially sold-out, likely late-stage project despite the extended completion timeline.</w:t>
      </w:r>
    </w:p>
    <w:p>
      <w:pPr>
        <w:pStyle w:val="Heading2"/>
        <w:spacing w:after="140" w:before="280"/>
      </w:pPr>
      <w:r>
        <w:t xml:space="preserve">6.3 Litigation status — full detail</w:t>
      </w:r>
    </w:p>
    <w:p>
      <w:pPr>
        <w:spacing w:after="160"/>
      </w:pPr>
      <w:r>
        <w:t xml:space="preserve">Two distinct matters, kept separate rather than blended into one verdict: (1) LAND TITLE litigation — the 2018 Supplemental Legal Due Diligence Report states no litigation affecting the property was found, having conducted online searches on the High Court of Bombay and District Courts of Pune for 2016-18, and this research found no later land-title litigation. (2) RERA CONSUMER COMPLAINTS/APPEALS — MahaRERA's own live record shows 67 total complaint-category filings and 18 appeals, concentrated 2025-2026, further corroborated externally by a public complaint citing possession delayed to 2028 from 2023. These two matters should not be conflated: the land itself is not shown to be under title dispute; the promoter's delivery/compliance record to homebuyers is where the material risk lies.</w:t>
      </w:r>
    </w:p>
    <w:p>
      <w:pPr>
        <w:pStyle w:val="Heading2"/>
        <w:spacing w:after="140" w:before="280"/>
      </w:pPr>
      <w:r>
        <w:t xml:space="preserve">6.4 Complaint outcomes — of the complaints with a matched, downloaded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E2F3" w:val="clear"/>
            <w:tcMar>
              <w:top w:type="dxa" w:w="60"/>
              <w:left w:type="dxa" w:w="100"/>
              <w:bottom w:type="dxa" w:w="60"/>
              <w:right w:type="dxa" w:w="100"/>
            </w:tcMar>
            <w:vAlign w:val="center"/>
          </w:tcPr>
          <w:p>
            <w:pPr>
              <w:jc w:val="left"/>
            </w:pPr>
            <w:r>
              <w:rPr>
                <w:b/>
                <w:bCs/>
                <w:sz w:val="20"/>
                <w:szCs w:val="20"/>
              </w:rPr>
              <w:t xml:space="preserve">Outcome</w:t>
            </w:r>
          </w:p>
        </w:tc>
        <w:tc>
          <w:tcPr>
            <w:tcW w:type="dxa" w:w="4675"/>
            <w:shd w:fill="D9E2F3" w:val="clear"/>
            <w:tcMar>
              <w:top w:type="dxa" w:w="60"/>
              <w:left w:type="dxa" w:w="100"/>
              <w:bottom w:type="dxa" w:w="60"/>
              <w:right w:type="dxa" w:w="100"/>
            </w:tcMar>
            <w:vAlign w:val="center"/>
          </w:tcPr>
          <w:p>
            <w:pPr>
              <w:jc w:val="left"/>
            </w:pPr>
            <w:r>
              <w:rPr>
                <w:b/>
                <w:bCs/>
                <w:sz w:val="20"/>
                <w:szCs w:val="20"/>
              </w:rPr>
              <w:t xml:space="preserve">Count</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Dismissed</w:t>
            </w:r>
          </w:p>
        </w:tc>
        <w:tc>
          <w:tcPr>
            <w:tcW w:type="dxa" w:w="4675"/>
            <w:tcMar>
              <w:top w:type="dxa" w:w="60"/>
              <w:left w:type="dxa" w:w="100"/>
              <w:bottom w:type="dxa" w:w="60"/>
              <w:right w:type="dxa" w:w="100"/>
            </w:tcMar>
            <w:vAlign w:val="center"/>
          </w:tcPr>
          <w:p>
            <w:pPr>
              <w:jc w:val="left"/>
            </w:pPr>
            <w:r>
              <w:rPr>
                <w:b w:val="false"/>
                <w:bCs w:val="false"/>
                <w:sz w:val="20"/>
                <w:szCs w:val="20"/>
              </w:rPr>
              <w:t xml:space="preserve">18</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Settled by conciliation</w:t>
            </w:r>
          </w:p>
        </w:tc>
        <w:tc>
          <w:tcPr>
            <w:tcW w:type="dxa" w:w="4675"/>
            <w:tcMar>
              <w:top w:type="dxa" w:w="60"/>
              <w:left w:type="dxa" w:w="100"/>
              <w:bottom w:type="dxa" w:w="60"/>
              <w:right w:type="dxa" w:w="100"/>
            </w:tcMar>
            <w:vAlign w:val="center"/>
          </w:tcPr>
          <w:p>
            <w:pPr>
              <w:jc w:val="left"/>
            </w:pPr>
            <w:r>
              <w:rPr>
                <w:b w:val="false"/>
                <w:bCs w:val="false"/>
                <w:sz w:val="20"/>
                <w:szCs w:val="20"/>
              </w:rPr>
              <w:t xml:space="preserve">4</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Disposed (other)</w:t>
            </w:r>
          </w:p>
        </w:tc>
        <w:tc>
          <w:tcPr>
            <w:tcW w:type="dxa" w:w="4675"/>
            <w:tcMar>
              <w:top w:type="dxa" w:w="60"/>
              <w:left w:type="dxa" w:w="100"/>
              <w:bottom w:type="dxa" w:w="60"/>
              <w:right w:type="dxa" w:w="100"/>
            </w:tcMar>
            <w:vAlign w:val="center"/>
          </w:tcPr>
          <w:p>
            <w:pPr>
              <w:jc w:val="left"/>
            </w:pPr>
            <w:r>
              <w:rPr>
                <w:b w:val="false"/>
                <w:bCs w:val="false"/>
                <w:sz w:val="20"/>
                <w:szCs w:val="20"/>
              </w:rPr>
              <w:t xml:space="preserve">5</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Withdrawn</w:t>
            </w:r>
          </w:p>
        </w:tc>
        <w:tc>
          <w:tcPr>
            <w:tcW w:type="dxa" w:w="4675"/>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Not determinable from extracted text</w:t>
            </w:r>
          </w:p>
        </w:tc>
        <w:tc>
          <w:tcPr>
            <w:tcW w:type="dxa" w:w="4675"/>
            <w:tcMar>
              <w:top w:type="dxa" w:w="60"/>
              <w:left w:type="dxa" w:w="100"/>
              <w:bottom w:type="dxa" w:w="60"/>
              <w:right w:type="dxa" w:w="100"/>
            </w:tcMar>
            <w:vAlign w:val="center"/>
          </w:tcPr>
          <w:p>
            <w:pPr>
              <w:jc w:val="left"/>
            </w:pPr>
            <w:r>
              <w:rPr>
                <w:b w:val="false"/>
                <w:bCs w:val="false"/>
                <w:sz w:val="20"/>
                <w:szCs w:val="20"/>
              </w:rPr>
              <w:t xml:space="preserve">6</w:t>
            </w:r>
          </w:p>
        </w:tc>
      </w:tr>
    </w:tbl>
    <w:p>
      <w:pPr>
        <w:spacing w:after="160"/>
      </w:pPr>
      <w:r>
        <w:rPr>
          <w:i/>
          <w:iCs/>
          <w:color w:val="606060"/>
          <w:sz w:val="18"/>
          <w:szCs w:val="18"/>
        </w:rPr>
        <w:t xml:space="preserve">35 of 67 total filings have a matched, downloaded order. This is exactly why the raw "67 complaints" headline in Section 1 is shown together with this outcome breakdown, not on its own — 18 of the 35 adjudicated cases were dismissed.</w:t>
      </w:r>
    </w:p>
    <w:p>
      <w:r>
        <w:br w:type="page"/>
      </w:r>
    </w:p>
    <w:p>
      <w:pPr>
        <w:pStyle w:val="Heading1"/>
        <w:spacing w:after="140" w:before="280"/>
      </w:pPr>
      <w:r>
        <w:t xml:space="preserve">7. Market &amp; Area Intelligence</w:t>
      </w:r>
    </w:p>
    <w:p>
      <w:pPr>
        <w:spacing w:after="160"/>
      </w:pPr>
      <w:r>
        <w:t xml:space="preserve">Mamurdi's average transacted flat rate is approximately Rs 9,100/sq.ft (range Rs 6,250–11,500/sq.ft), with Godrej Park Greens itself listed around Rs 13,900/sq.ft — a clear premium reflecting its branded (Godrej) positioning. Appreciation has been strong but uneven: +29.5% over the last 1 year and +35.8% over 5 years, but only +3.7% over 3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50"/>
      </w:tblGrid>
      <w:tr>
        <w:tc>
          <w:tcPr>
            <w:tcW w:type="dxa" w:w="32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Configuration</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Pricing</w:t>
            </w:r>
          </w:p>
        </w:tc>
        <w:tc>
          <w:tcPr>
            <w:tcW w:type="dxa" w:w="1750"/>
            <w:shd w:fill="D9E2F3" w:val="clear"/>
            <w:tcMar>
              <w:top w:type="dxa" w:w="60"/>
              <w:left w:type="dxa" w:w="100"/>
              <w:bottom w:type="dxa" w:w="60"/>
              <w:right w:type="dxa" w:w="100"/>
            </w:tcMar>
            <w:vAlign w:val="center"/>
          </w:tcPr>
          <w:p>
            <w:pPr>
              <w:jc w:val="left"/>
            </w:pPr>
            <w:r>
              <w:rPr>
                <w:b/>
                <w:bCs/>
                <w:sz w:val="20"/>
                <w:szCs w:val="20"/>
              </w:rPr>
              <w:t xml:space="preserve">Distance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Godrej Park Greens (subject)</w:t>
            </w:r>
          </w:p>
        </w:tc>
        <w:tc>
          <w:tcPr>
            <w:tcW w:type="dxa" w:w="2200"/>
            <w:tcMar>
              <w:top w:type="dxa" w:w="60"/>
              <w:left w:type="dxa" w:w="100"/>
              <w:bottom w:type="dxa" w:w="60"/>
              <w:right w:type="dxa" w:w="100"/>
            </w:tcMar>
            <w:vAlign w:val="center"/>
          </w:tcPr>
          <w:p>
            <w:pPr>
              <w:jc w:val="left"/>
            </w:pPr>
            <w:r>
              <w:rPr>
                <w:b w:val="false"/>
                <w:bCs w:val="false"/>
                <w:sz w:val="20"/>
                <w:szCs w:val="20"/>
              </w:rPr>
              <w:t xml:space="preserve">2BHK/3BHK</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13,900/sq.ft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0 km</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Yashada Dreamsong (independent developer)</w:t>
            </w:r>
          </w:p>
        </w:tc>
        <w:tc>
          <w:tcPr>
            <w:tcW w:type="dxa" w:w="2200"/>
            <w:tcMar>
              <w:top w:type="dxa" w:w="60"/>
              <w:left w:type="dxa" w:w="100"/>
              <w:bottom w:type="dxa" w:w="60"/>
              <w:right w:type="dxa" w:w="100"/>
            </w:tcMar>
            <w:vAlign w:val="center"/>
          </w:tcPr>
          <w:p>
            <w:pPr>
              <w:jc w:val="left"/>
            </w:pPr>
            <w:r>
              <w:rPr>
                <w:b w:val="false"/>
                <w:bCs w:val="false"/>
                <w:sz w:val="20"/>
                <w:szCs w:val="20"/>
              </w:rPr>
              <w:t xml:space="preserve">2BHK/3BHK</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8,100–9,260/sq.ft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0.35 km</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Mamurdi locality average</w:t>
            </w:r>
          </w:p>
        </w:tc>
        <w:tc>
          <w:tcPr>
            <w:tcW w:type="dxa" w:w="2200"/>
            <w:tcMar>
              <w:top w:type="dxa" w:w="60"/>
              <w:left w:type="dxa" w:w="100"/>
              <w:bottom w:type="dxa" w:w="60"/>
              <w:right w:type="dxa" w:w="100"/>
            </w:tcMar>
            <w:vAlign w:val="center"/>
          </w:tcPr>
          <w:p>
            <w:pPr>
              <w:jc w:val="left"/>
            </w:pPr>
            <w:r>
              <w:rPr>
                <w:b w:val="false"/>
                <w:bCs w:val="false"/>
                <w:sz w:val="20"/>
                <w:szCs w:val="20"/>
              </w:rPr>
              <w:t xml:space="preserve">Mixed</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9,100/sq.ft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n/a</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Chikhali (adjacent locality, proxy)</w:t>
            </w:r>
          </w:p>
        </w:tc>
        <w:tc>
          <w:tcPr>
            <w:tcW w:type="dxa" w:w="2200"/>
            <w:tcMar>
              <w:top w:type="dxa" w:w="60"/>
              <w:left w:type="dxa" w:w="100"/>
              <w:bottom w:type="dxa" w:w="60"/>
              <w:right w:type="dxa" w:w="100"/>
            </w:tcMar>
            <w:vAlign w:val="center"/>
          </w:tcPr>
          <w:p>
            <w:pPr>
              <w:jc w:val="left"/>
            </w:pPr>
            <w:r>
              <w:rPr>
                <w:b w:val="false"/>
                <w:bCs w:val="false"/>
                <w:sz w:val="20"/>
                <w:szCs w:val="20"/>
              </w:rPr>
              <w:t xml:space="preserve">Mixed</w:t>
            </w:r>
          </w:p>
        </w:tc>
        <w:tc>
          <w:tcPr>
            <w:tcW w:type="dxa" w:w="2200"/>
            <w:tcMar>
              <w:top w:type="dxa" w:w="60"/>
              <w:left w:type="dxa" w:w="100"/>
              <w:bottom w:type="dxa" w:w="60"/>
              <w:right w:type="dxa" w:w="100"/>
            </w:tcMar>
            <w:vAlign w:val="center"/>
          </w:tcPr>
          <w:p>
            <w:pPr>
              <w:jc w:val="left"/>
            </w:pPr>
            <w:r>
              <w:rPr>
                <w:b w:val="false"/>
                <w:bCs w:val="false"/>
                <w:color w:val="B8860B"/>
                <w:sz w:val="20"/>
                <w:szCs w:val="20"/>
              </w:rPr>
              <w:t xml:space="preserve">Rs 8,600/sq.ft vs Rs 3,955–5,960/sq.ft — sources disagree</w:t>
            </w:r>
          </w:p>
        </w:tc>
        <w:tc>
          <w:tcPr>
            <w:tcW w:type="dxa" w:w="1750"/>
            <w:tcMar>
              <w:top w:type="dxa" w:w="60"/>
              <w:left w:type="dxa" w:w="100"/>
              <w:bottom w:type="dxa" w:w="60"/>
              <w:right w:type="dxa" w:w="100"/>
            </w:tcMar>
            <w:vAlign w:val="center"/>
          </w:tcPr>
          <w:p>
            <w:pPr>
              <w:jc w:val="left"/>
            </w:pPr>
            <w:r>
              <w:rPr>
                <w:b w:val="false"/>
                <w:bCs w:val="false"/>
                <w:sz w:val="20"/>
                <w:szCs w:val="20"/>
              </w:rPr>
              <w:t xml:space="preserve">n/a</w:t>
            </w:r>
          </w:p>
        </w:tc>
      </w:tr>
    </w:tbl>
    <w:p>
      <w:pPr>
        <w:spacing w:after="160"/>
      </w:pPr>
      <w:r>
        <w:t xml:space="preserve">Yashada Dreamsong — a genuinely independent project just 0.35 km away, on effectively the same plot of land — prices 35–45% below Godrej Park Greens' own listed rate, a useful signal that a meaningful share of this project's premium is a brand effect, not a location effect. Note: Forest Grove at Godrej Park Greens (the same developer's own adjacent phase) was deliberately excluded as a comparable, since it is not an independent market check.</w:t>
      </w:r>
    </w:p>
    <w:p>
      <w:pPr>
        <w:pStyle w:val="Heading1"/>
        <w:spacing w:after="140" w:before="280"/>
      </w:pPr>
      <w:r>
        <w:t xml:space="preserve">8. RERA Core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shd w:fill="D9E2F3" w:val="clear"/>
            <w:tcMar>
              <w:top w:type="dxa" w:w="60"/>
              <w:left w:type="dxa" w:w="100"/>
              <w:bottom w:type="dxa" w:w="60"/>
              <w:right w:type="dxa" w:w="100"/>
            </w:tcMar>
            <w:vAlign w:val="center"/>
          </w:tcPr>
          <w:p>
            <w:pPr>
              <w:jc w:val="left"/>
            </w:pPr>
            <w:r>
              <w:rPr>
                <w:b/>
                <w:bCs/>
                <w:sz w:val="20"/>
                <w:szCs w:val="20"/>
              </w:rPr>
              <w:t xml:space="preserve">Project status</w:t>
            </w:r>
          </w:p>
        </w:tc>
        <w:tc>
          <w:tcPr>
            <w:tcW w:type="dxa" w:w="6450"/>
            <w:tcMar>
              <w:top w:type="dxa" w:w="60"/>
              <w:left w:type="dxa" w:w="100"/>
              <w:bottom w:type="dxa" w:w="60"/>
              <w:right w:type="dxa" w:w="100"/>
            </w:tcMar>
            <w:vAlign w:val="center"/>
          </w:tcPr>
          <w:p>
            <w:pPr>
              <w:jc w:val="left"/>
            </w:pPr>
            <w:r>
              <w:rPr>
                <w:b w:val="false"/>
                <w:bCs w:val="false"/>
                <w:sz w:val="20"/>
                <w:szCs w:val="20"/>
              </w:rPr>
              <w:t xml:space="preserve">Certificate Signed / New</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Approved date</w:t>
            </w:r>
          </w:p>
        </w:tc>
        <w:tc>
          <w:tcPr>
            <w:tcW w:type="dxa" w:w="6450"/>
            <w:tcMar>
              <w:top w:type="dxa" w:w="60"/>
              <w:left w:type="dxa" w:w="100"/>
              <w:bottom w:type="dxa" w:w="60"/>
              <w:right w:type="dxa" w:w="100"/>
            </w:tcMar>
            <w:vAlign w:val="center"/>
          </w:tcPr>
          <w:p>
            <w:pPr>
              <w:jc w:val="left"/>
            </w:pPr>
            <w:r>
              <w:rPr>
                <w:b w:val="false"/>
                <w:bCs w:val="false"/>
                <w:sz w:val="20"/>
                <w:szCs w:val="20"/>
              </w:rPr>
              <w:t xml:space="preserve">2019-02-20</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Proposed completion</w:t>
            </w:r>
          </w:p>
        </w:tc>
        <w:tc>
          <w:tcPr>
            <w:tcW w:type="dxa" w:w="6450"/>
            <w:tcMar>
              <w:top w:type="dxa" w:w="60"/>
              <w:left w:type="dxa" w:w="100"/>
              <w:bottom w:type="dxa" w:w="60"/>
              <w:right w:type="dxa" w:w="100"/>
            </w:tcMar>
            <w:vAlign w:val="center"/>
          </w:tcPr>
          <w:p>
            <w:pPr>
              <w:jc w:val="left"/>
            </w:pPr>
            <w:r>
              <w:rPr>
                <w:b w:val="false"/>
                <w:bCs w:val="false"/>
                <w:sz w:val="20"/>
                <w:szCs w:val="20"/>
              </w:rPr>
              <w:t xml:space="preserve">2028-03-30 (originally 2024-03-30)</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Plan approval number</w:t>
            </w:r>
          </w:p>
        </w:tc>
        <w:tc>
          <w:tcPr>
            <w:tcW w:type="dxa" w:w="6450"/>
            <w:tcMar>
              <w:top w:type="dxa" w:w="60"/>
              <w:left w:type="dxa" w:w="100"/>
              <w:bottom w:type="dxa" w:w="60"/>
              <w:right w:type="dxa" w:w="100"/>
            </w:tcMar>
            <w:vAlign w:val="center"/>
          </w:tcPr>
          <w:p>
            <w:pPr>
              <w:jc w:val="left"/>
            </w:pPr>
            <w:r>
              <w:rPr>
                <w:b w:val="false"/>
                <w:bCs w:val="false"/>
                <w:color w:val="606060"/>
                <w:sz w:val="20"/>
                <w:szCs w:val="20"/>
              </w:rPr>
              <w:t xml:space="preserve">Not separately confirmed from a document opened this pass (PCMC building-permission number)</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Total units</w:t>
            </w:r>
          </w:p>
        </w:tc>
        <w:tc>
          <w:tcPr>
            <w:tcW w:type="dxa" w:w="6450"/>
            <w:tcMar>
              <w:top w:type="dxa" w:w="60"/>
              <w:left w:type="dxa" w:w="100"/>
              <w:bottom w:type="dxa" w:w="60"/>
              <w:right w:type="dxa" w:w="100"/>
            </w:tcMar>
            <w:vAlign w:val="center"/>
          </w:tcPr>
          <w:p>
            <w:pPr>
              <w:jc w:val="left"/>
            </w:pPr>
            <w:r>
              <w:rPr>
                <w:b w:val="false"/>
                <w:bCs w:val="false"/>
                <w:sz w:val="20"/>
                <w:szCs w:val="20"/>
              </w:rPr>
              <w:t xml:space="preserve">1,210 (1,194 sold, ~98.7%)</w:t>
            </w:r>
          </w:p>
        </w:tc>
      </w:tr>
    </w:tbl>
    <w:p>
      <w:pPr>
        <w:spacing w:after="160"/>
      </w:pPr>
      <w:r>
        <w:rPr>
          <w:b/>
          <w:bCs/>
        </w:rPr>
        <w:t xml:space="preserve">Building / block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D9E2F3" w:val="clear"/>
            <w:tcMar>
              <w:top w:type="dxa" w:w="60"/>
              <w:left w:type="dxa" w:w="100"/>
              <w:bottom w:type="dxa" w:w="60"/>
              <w:right w:type="dxa" w:w="100"/>
            </w:tcMar>
            <w:vAlign w:val="center"/>
          </w:tcPr>
          <w:p>
            <w:pPr>
              <w:jc w:val="left"/>
            </w:pPr>
            <w:r>
              <w:rPr>
                <w:b/>
                <w:bCs/>
                <w:sz w:val="20"/>
                <w:szCs w:val="20"/>
              </w:rPr>
              <w:t xml:space="preserve">Block/Wing</w:t>
            </w:r>
          </w:p>
        </w:tc>
        <w:tc>
          <w:tcPr>
            <w:tcW w:type="dxa" w:w="7550"/>
            <w:shd w:fill="D9E2F3" w:val="clear"/>
            <w:tcMar>
              <w:top w:type="dxa" w:w="60"/>
              <w:left w:type="dxa" w:w="100"/>
              <w:bottom w:type="dxa" w:w="60"/>
              <w:right w:type="dxa" w:w="100"/>
            </w:tcMar>
            <w:vAlign w:val="center"/>
          </w:tcPr>
          <w:p>
            <w:pPr>
              <w:jc w:val="left"/>
            </w:pPr>
            <w:r>
              <w:rPr>
                <w:b/>
                <w:bCs/>
                <w:sz w:val="20"/>
                <w:szCs w:val="20"/>
              </w:rPr>
              <w:t xml:space="preserve">Note</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B1</w:t>
            </w:r>
          </w:p>
        </w:tc>
        <w:tc>
          <w:tcPr>
            <w:tcW w:type="dxa" w:w="7550"/>
            <w:tcMar>
              <w:top w:type="dxa" w:w="60"/>
              <w:left w:type="dxa" w:w="100"/>
              <w:bottom w:type="dxa" w:w="60"/>
              <w:right w:type="dxa" w:w="100"/>
            </w:tcMar>
            <w:vAlign w:val="center"/>
          </w:tcPr>
          <w:p>
            <w:pPr>
              <w:jc w:val="left"/>
            </w:pPr>
            <w:r>
              <w:rPr>
                <w:b w:val="false"/>
                <w:bCs w:val="false"/>
                <w:color w:val="606060"/>
                <w:sz w:val="20"/>
                <w:szCs w:val="20"/>
              </w:rPr>
              <w:t xml:space="preserve">Per sanctioned layout drawing; per-building floor/unit counts not confirmed this pass</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B2</w:t>
            </w:r>
          </w:p>
        </w:tc>
        <w:tc>
          <w:tcPr>
            <w:tcW w:type="dxa" w:w="7550"/>
            <w:tcMar>
              <w:top w:type="dxa" w:w="60"/>
              <w:left w:type="dxa" w:w="100"/>
              <w:bottom w:type="dxa" w:w="60"/>
              <w:right w:type="dxa" w:w="100"/>
            </w:tcMar>
            <w:vAlign w:val="center"/>
          </w:tcPr>
          <w:p>
            <w:pPr>
              <w:jc w:val="left"/>
            </w:pPr>
            <w:r>
              <w:rPr>
                <w:b w:val="false"/>
                <w:bCs w:val="false"/>
                <w:color w:val="606060"/>
                <w:sz w:val="20"/>
                <w:szCs w:val="20"/>
              </w:rPr>
              <w:t xml:space="preserve">Per sanctioned layout drawing; per-building floor/unit counts not confirmed this pass</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B3</w:t>
            </w:r>
          </w:p>
        </w:tc>
        <w:tc>
          <w:tcPr>
            <w:tcW w:type="dxa" w:w="7550"/>
            <w:tcMar>
              <w:top w:type="dxa" w:w="60"/>
              <w:left w:type="dxa" w:w="100"/>
              <w:bottom w:type="dxa" w:w="60"/>
              <w:right w:type="dxa" w:w="100"/>
            </w:tcMar>
            <w:vAlign w:val="center"/>
          </w:tcPr>
          <w:p>
            <w:pPr>
              <w:jc w:val="left"/>
            </w:pPr>
            <w:r>
              <w:rPr>
                <w:b w:val="false"/>
                <w:bCs w:val="false"/>
                <w:color w:val="606060"/>
                <w:sz w:val="20"/>
                <w:szCs w:val="20"/>
              </w:rPr>
              <w:t xml:space="preserve">Per sanctioned layout drawing; per-building floor/unit counts not confirmed this pass</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B4</w:t>
            </w:r>
          </w:p>
        </w:tc>
        <w:tc>
          <w:tcPr>
            <w:tcW w:type="dxa" w:w="7550"/>
            <w:tcMar>
              <w:top w:type="dxa" w:w="60"/>
              <w:left w:type="dxa" w:w="100"/>
              <w:bottom w:type="dxa" w:w="60"/>
              <w:right w:type="dxa" w:w="100"/>
            </w:tcMar>
            <w:vAlign w:val="center"/>
          </w:tcPr>
          <w:p>
            <w:pPr>
              <w:jc w:val="left"/>
            </w:pPr>
            <w:r>
              <w:rPr>
                <w:b w:val="false"/>
                <w:bCs w:val="false"/>
                <w:color w:val="606060"/>
                <w:sz w:val="20"/>
                <w:szCs w:val="20"/>
              </w:rPr>
              <w:t xml:space="preserve">Per sanctioned layout drawing; per-building floor/unit counts not confirmed this pass</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B5</w:t>
            </w:r>
          </w:p>
        </w:tc>
        <w:tc>
          <w:tcPr>
            <w:tcW w:type="dxa" w:w="7550"/>
            <w:tcMar>
              <w:top w:type="dxa" w:w="60"/>
              <w:left w:type="dxa" w:w="100"/>
              <w:bottom w:type="dxa" w:w="60"/>
              <w:right w:type="dxa" w:w="100"/>
            </w:tcMar>
            <w:vAlign w:val="center"/>
          </w:tcPr>
          <w:p>
            <w:pPr>
              <w:jc w:val="left"/>
            </w:pPr>
            <w:r>
              <w:rPr>
                <w:b w:val="false"/>
                <w:bCs w:val="false"/>
                <w:color w:val="606060"/>
                <w:sz w:val="20"/>
                <w:szCs w:val="20"/>
              </w:rPr>
              <w:t xml:space="preserve">Per sanctioned layout drawing; per-building floor/unit counts not confirmed this pass</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B6</w:t>
            </w:r>
          </w:p>
        </w:tc>
        <w:tc>
          <w:tcPr>
            <w:tcW w:type="dxa" w:w="7550"/>
            <w:tcMar>
              <w:top w:type="dxa" w:w="60"/>
              <w:left w:type="dxa" w:w="100"/>
              <w:bottom w:type="dxa" w:w="60"/>
              <w:right w:type="dxa" w:w="100"/>
            </w:tcMar>
            <w:vAlign w:val="center"/>
          </w:tcPr>
          <w:p>
            <w:pPr>
              <w:jc w:val="left"/>
            </w:pPr>
            <w:r>
              <w:rPr>
                <w:b w:val="false"/>
                <w:bCs w:val="false"/>
                <w:color w:val="606060"/>
                <w:sz w:val="20"/>
                <w:szCs w:val="20"/>
              </w:rPr>
              <w:t xml:space="preserve">Per sanctioned layout drawing; per-building floor/unit counts not confirmed this pass</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B7</w:t>
            </w:r>
          </w:p>
        </w:tc>
        <w:tc>
          <w:tcPr>
            <w:tcW w:type="dxa" w:w="7550"/>
            <w:tcMar>
              <w:top w:type="dxa" w:w="60"/>
              <w:left w:type="dxa" w:w="100"/>
              <w:bottom w:type="dxa" w:w="60"/>
              <w:right w:type="dxa" w:w="100"/>
            </w:tcMar>
            <w:vAlign w:val="center"/>
          </w:tcPr>
          <w:p>
            <w:pPr>
              <w:jc w:val="left"/>
            </w:pPr>
            <w:r>
              <w:rPr>
                <w:b w:val="false"/>
                <w:bCs w:val="false"/>
                <w:color w:val="606060"/>
                <w:sz w:val="20"/>
                <w:szCs w:val="20"/>
              </w:rPr>
              <w:t xml:space="preserve">Per sanctioned layout drawing; per-building floor/unit counts not confirmed this pass</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EWS</w:t>
            </w:r>
          </w:p>
        </w:tc>
        <w:tc>
          <w:tcPr>
            <w:tcW w:type="dxa" w:w="7550"/>
            <w:tcMar>
              <w:top w:type="dxa" w:w="60"/>
              <w:left w:type="dxa" w:w="100"/>
              <w:bottom w:type="dxa" w:w="60"/>
              <w:right w:type="dxa" w:w="100"/>
            </w:tcMar>
            <w:vAlign w:val="center"/>
          </w:tcPr>
          <w:p>
            <w:pPr>
              <w:jc w:val="left"/>
            </w:pPr>
            <w:r>
              <w:rPr>
                <w:b w:val="false"/>
                <w:bCs w:val="false"/>
                <w:sz w:val="20"/>
                <w:szCs w:val="20"/>
              </w:rPr>
              <w:t xml:space="preserve">Economically Weaker Section component — shown as a distinct zone on the sanctioned layout drawing, separate from B1–B7</w:t>
            </w:r>
          </w:p>
        </w:tc>
      </w:tr>
    </w:tbl>
    <w:p>
      <w:pPr>
        <w:spacing w:after="160"/>
      </w:pPr>
      <w:r>
        <w:rPr>
          <w:i/>
          <w:iCs/>
          <w:color w:val="606060"/>
          <w:sz w:val="18"/>
          <w:szCs w:val="18"/>
        </w:rPr>
        <w:t xml:space="preserve">A distinctly-marked "Future Development" zone appears to the north of the sanctioned layout, consistent with the "Phase 2" boundary noted in the RERA land address filing. Per-building/wing floor and unit breakdowns are unconfirmed (Monitor Flag, Section 1.3).</w:t>
      </w:r>
    </w:p>
    <w:p>
      <w:r>
        <w:br w:type="page"/>
      </w:r>
    </w:p>
    <w:p>
      <w:pPr>
        <w:pStyle w:val="Heading1"/>
        <w:spacing w:after="140" w:before="280"/>
      </w:pPr>
      <w:r>
        <w:t xml:space="preserve">9. Diligence Appendix</w:t>
      </w:r>
    </w:p>
    <w:p>
      <w:pPr>
        <w:pStyle w:val="Heading2"/>
        <w:spacing w:after="140" w:before="280"/>
      </w:pPr>
      <w:r>
        <w:t xml:space="preserve">9.1 Documents reviewed</w:t>
      </w:r>
    </w:p>
    <w:p>
      <w:pPr>
        <w:spacing w:after="160"/>
      </w:pPr>
      <w:r>
        <w:t xml:space="preserve">Three documents were opened and read directly this session: the Supplemental Legal Due Diligence Report (full 14-parcel title chain, litigation/mortgage findings), the Form B / Rule 3(4) Declaration (completion date, mortgagee disclosure), and the sanctioned Layout of the Project Land drawing (phase plot area, building count). A Completion/Occupancy Certificate is absent from the Document Library — expected, since the project remains under construction.</w:t>
      </w:r>
    </w:p>
    <w:p>
      <w:pPr>
        <w:pStyle w:val="Heading2"/>
        <w:spacing w:after="140" w:before="280"/>
      </w:pPr>
      <w:r>
        <w:t xml:space="preserve">9.2 Document Library — full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D9E2F3" w:val="clear"/>
            <w:tcMar>
              <w:top w:type="dxa" w:w="60"/>
              <w:left w:type="dxa" w:w="100"/>
              <w:bottom w:type="dxa" w:w="60"/>
              <w:right w:type="dxa" w:w="100"/>
            </w:tcMar>
            <w:vAlign w:val="center"/>
          </w:tcPr>
          <w:p>
            <w:pPr>
              <w:jc w:val="left"/>
            </w:pPr>
            <w:r>
              <w:rPr>
                <w:b/>
                <w:bCs/>
                <w:sz w:val="20"/>
                <w:szCs w:val="20"/>
              </w:rPr>
              <w:t xml:space="preserve">Document</w:t>
            </w:r>
          </w:p>
        </w:tc>
        <w:tc>
          <w:tcPr>
            <w:tcW w:type="dxa" w:w="3000"/>
            <w:shd w:fill="D9E2F3" w:val="clear"/>
            <w:tcMar>
              <w:top w:type="dxa" w:w="60"/>
              <w:left w:type="dxa" w:w="100"/>
              <w:bottom w:type="dxa" w:w="60"/>
              <w:right w:type="dxa" w:w="100"/>
            </w:tcMar>
            <w:vAlign w:val="center"/>
          </w:tcPr>
          <w:p>
            <w:pPr>
              <w:jc w:val="left"/>
            </w:pPr>
            <w:r>
              <w:rPr>
                <w:b/>
                <w:bCs/>
                <w:sz w:val="20"/>
                <w:szCs w:val="20"/>
              </w:rPr>
              <w:t xml:space="preserve">Status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PAN Card</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Other</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Other</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Other</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Arch RERA Certificate GPG Q1FY27.pdf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MDD RERA Godrej Park Green June 26 signed.pdf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Engg Certificate GPG Q1FY27.pdf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Legal Title report</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Declaration Form B</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Declaration Form B</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Layout Scan - compressed.pdf</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IOD North Plot 12-10-2018-compressed.pdf</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North Sanction Layout_compressed.pdf</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North Sanction Layout_compressed.pdf</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PAN Card</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Architect Certificate Godrej Park Greens.pdf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Godrej Park Greens.pdf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Park Greens.pdf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Park Greens Form 3.pdf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G Park Green.pdf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Godrej park Green.pdf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Form 1 Architect Certificate Godrej Park Greens.pdf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Form 3 Certificate of CA Godrej Park Greens.pdf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Form 2 Engineer Certificate on cost incurred on project Godrej Park Greens.pdf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Architect Certificate Godrej Park Greens.pdf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Godrej Park Green CA Cert.pdf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Annexure B Park greens.pdf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Architect Certificate Godrej Park Greens signed.pdf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Annexure B Godrej Park Greens-compressed.pdf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CA Certificate Godrej Park Green June 25 Signed.pdf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Godrej Park Greens (2).pdf</w:t>
            </w:r>
          </w:p>
        </w:tc>
        <w:tc>
          <w:tcPr>
            <w:tcW w:type="dxa" w:w="3000"/>
            <w:tcMar>
              <w:top w:type="dxa" w:w="60"/>
              <w:left w:type="dxa" w:w="100"/>
              <w:bottom w:type="dxa" w:w="60"/>
              <w:right w:type="dxa" w:w="100"/>
            </w:tcMar>
            <w:vAlign w:val="center"/>
          </w:tcPr>
          <w:p>
            <w:pPr>
              <w:jc w:val="left"/>
            </w:pPr>
            <w:r>
              <w:rPr>
                <w:b w:val="false"/>
                <w:bCs w:val="false"/>
                <w:color w:val="606060"/>
                <w:sz w:val="20"/>
                <w:szCs w:val="20"/>
              </w:rPr>
              <w:t xml:space="preserve">Not opened this pass</w:t>
            </w:r>
          </w:p>
        </w:tc>
      </w:tr>
      <w:tr>
        <w:tc>
          <w:tcPr>
            <w:tcW w:type="dxa" w:w="6350"/>
            <w:tcMar>
              <w:top w:type="dxa" w:w="60"/>
              <w:left w:type="dxa" w:w="100"/>
              <w:bottom w:type="dxa" w:w="60"/>
              <w:right w:type="dxa" w:w="100"/>
            </w:tcMar>
            <w:vAlign w:val="center"/>
          </w:tcPr>
          <w:p>
            <w:pPr>
              <w:jc w:val="left"/>
            </w:pPr>
            <w:r>
              <w:rPr>
                <w:b w:val="false"/>
                <w:bCs w:val="false"/>
                <w:sz w:val="20"/>
                <w:szCs w:val="20"/>
              </w:rPr>
              <w:t xml:space="preserve">Declaration Form B</w:t>
            </w:r>
          </w:p>
        </w:tc>
        <w:tc>
          <w:tcPr>
            <w:tcW w:type="dxa" w:w="3000"/>
            <w:tcMar>
              <w:top w:type="dxa" w:w="60"/>
              <w:left w:type="dxa" w:w="100"/>
              <w:bottom w:type="dxa" w:w="60"/>
              <w:right w:type="dxa" w:w="100"/>
            </w:tcMar>
            <w:vAlign w:val="center"/>
          </w:tcPr>
          <w:p>
            <w:pPr>
              <w:jc w:val="left"/>
            </w:pPr>
            <w:r>
              <w:rPr>
                <w:b w:val="false"/>
                <w:bCs w:val="false"/>
                <w:color w:val="2E7D32"/>
                <w:sz w:val="20"/>
                <w:szCs w:val="20"/>
              </w:rPr>
              <w:t xml:space="preserve">Opened directly this pass</w:t>
            </w:r>
          </w:p>
        </w:tc>
      </w:tr>
    </w:tbl>
    <w:p>
      <w:pPr>
        <w:spacing w:after="160"/>
      </w:pPr>
      <w:r>
        <w:rPr>
          <w:i/>
          <w:iCs/>
          <w:color w:val="606060"/>
          <w:sz w:val="18"/>
          <w:szCs w:val="18"/>
        </w:rPr>
        <w:t xml:space="preserve">4 of 32 documents in the library were opened directly this pass, prioritized behind the title/declaration/layout documents most likely to carry material facts; the remainder are legitimate candidates for a deeper follow-up pass, not silently skipped without reason.</w:t>
      </w:r>
    </w:p>
    <w:p>
      <w:pPr>
        <w:pStyle w:val="Heading2"/>
        <w:spacing w:after="140" w:before="280"/>
      </w:pPr>
      <w:r>
        <w:t xml:space="preserve">9.3 Data Authenticity</w:t>
      </w:r>
    </w:p>
    <w:p>
      <w:pPr>
        <w:spacing w:after="160"/>
      </w:pPr>
      <w:r>
        <w:rPr>
          <w:b/>
          <w:bCs/>
        </w:rPr>
        <w:t xml:space="preserve">Overall: 52.9 / 100 — Moderate band.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900"/>
      </w:tblGrid>
      <w:tr>
        <w:tc>
          <w:tcPr>
            <w:tcW w:type="dxa" w:w="3800"/>
            <w:shd w:fill="D9E2F3" w:val="clear"/>
            <w:tcMar>
              <w:top w:type="dxa" w:w="60"/>
              <w:left w:type="dxa" w:w="100"/>
              <w:bottom w:type="dxa" w:w="60"/>
              <w:right w:type="dxa" w:w="100"/>
            </w:tcMar>
            <w:vAlign w:val="center"/>
          </w:tcPr>
          <w:p>
            <w:pPr>
              <w:jc w:val="left"/>
            </w:pPr>
            <w:r>
              <w:rPr>
                <w:b/>
                <w:bCs/>
                <w:sz w:val="20"/>
                <w:szCs w:val="20"/>
              </w:rPr>
              <w:t xml:space="preserve">Criterion</w:t>
            </w:r>
          </w:p>
        </w:tc>
        <w:tc>
          <w:tcPr>
            <w:tcW w:type="dxa" w:w="1400"/>
            <w:shd w:fill="D9E2F3" w:val="clear"/>
            <w:tcMar>
              <w:top w:type="dxa" w:w="60"/>
              <w:left w:type="dxa" w:w="100"/>
              <w:bottom w:type="dxa" w:w="60"/>
              <w:right w:type="dxa" w:w="100"/>
            </w:tcMar>
            <w:vAlign w:val="center"/>
          </w:tcPr>
          <w:p>
            <w:pPr>
              <w:jc w:val="left"/>
            </w:pPr>
            <w:r>
              <w:rPr>
                <w:b/>
                <w:bCs/>
                <w:sz w:val="20"/>
                <w:szCs w:val="20"/>
              </w:rPr>
              <w:t xml:space="preserve">Score</w:t>
            </w:r>
          </w:p>
        </w:tc>
        <w:tc>
          <w:tcPr>
            <w:tcW w:type="dxa" w:w="3900"/>
            <w:shd w:fill="D9E2F3" w:val="clear"/>
            <w:tcMar>
              <w:top w:type="dxa" w:w="60"/>
              <w:left w:type="dxa" w:w="100"/>
              <w:bottom w:type="dxa" w:w="60"/>
              <w:right w:type="dxa" w:w="100"/>
            </w:tcMar>
            <w:vAlign w:val="center"/>
          </w:tcPr>
          <w:p>
            <w:pPr>
              <w:jc w:val="left"/>
            </w:pPr>
            <w:r>
              <w:rPr>
                <w:b/>
                <w:bCs/>
                <w:sz w:val="20"/>
                <w:szCs w:val="20"/>
              </w:rPr>
              <w:t xml:space="preserve">Weight</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Source Tier Quality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54.5</w:t>
            </w:r>
          </w:p>
        </w:tc>
        <w:tc>
          <w:tcPr>
            <w:tcW w:type="dxa" w:w="3900"/>
            <w:tcMar>
              <w:top w:type="dxa" w:w="60"/>
              <w:left w:type="dxa" w:w="100"/>
              <w:bottom w:type="dxa" w:w="60"/>
              <w:right w:type="dxa" w:w="100"/>
            </w:tcMar>
            <w:vAlign w:val="center"/>
          </w:tcPr>
          <w:p>
            <w:pPr>
              <w:jc w:val="left"/>
            </w:pPr>
            <w:r>
              <w:rPr>
                <w:b w:val="false"/>
                <w:bCs w:val="false"/>
                <w:sz w:val="20"/>
                <w:szCs w:val="20"/>
              </w:rPr>
              <w:t xml:space="preserve">30%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Primary-Tier Density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20.0</w:t>
            </w:r>
          </w:p>
        </w:tc>
        <w:tc>
          <w:tcPr>
            <w:tcW w:type="dxa" w:w="3900"/>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Completeness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52.6</w:t>
            </w:r>
          </w:p>
        </w:tc>
        <w:tc>
          <w:tcPr>
            <w:tcW w:type="dxa" w:w="3900"/>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Cross-Corroboration</w:t>
            </w:r>
          </w:p>
        </w:tc>
        <w:tc>
          <w:tcPr>
            <w:tcW w:type="dxa" w:w="1400"/>
            <w:tcMar>
              <w:top w:type="dxa" w:w="60"/>
              <w:left w:type="dxa" w:w="100"/>
              <w:bottom w:type="dxa" w:w="60"/>
              <w:right w:type="dxa" w:w="100"/>
            </w:tcMar>
            <w:vAlign w:val="center"/>
          </w:tcPr>
          <w:p>
            <w:pPr>
              <w:jc w:val="left"/>
            </w:pPr>
            <w:r>
              <w:rPr>
                <w:b w:val="false"/>
                <w:bCs w:val="false"/>
                <w:sz w:val="20"/>
                <w:szCs w:val="20"/>
              </w:rPr>
              <w:t xml:space="preserve">50.0</w:t>
            </w:r>
          </w:p>
        </w:tc>
        <w:tc>
          <w:tcPr>
            <w:tcW w:type="dxa" w:w="3900"/>
            <w:tcMar>
              <w:top w:type="dxa" w:w="60"/>
              <w:left w:type="dxa" w:w="100"/>
              <w:bottom w:type="dxa" w:w="60"/>
              <w:right w:type="dxa" w:w="100"/>
            </w:tcMar>
            <w:vAlign w:val="center"/>
          </w:tcPr>
          <w:p>
            <w:pPr>
              <w:jc w:val="left"/>
            </w:pPr>
            <w:r>
              <w:rPr>
                <w:b w:val="false"/>
                <w:bCs w:val="false"/>
                <w:sz w:val="20"/>
                <w:szCs w:val="20"/>
              </w:rPr>
              <w:t xml:space="preserve">15%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Recency</w:t>
            </w:r>
          </w:p>
        </w:tc>
        <w:tc>
          <w:tcPr>
            <w:tcW w:type="dxa" w:w="1400"/>
            <w:tcMar>
              <w:top w:type="dxa" w:w="60"/>
              <w:left w:type="dxa" w:w="100"/>
              <w:bottom w:type="dxa" w:w="60"/>
              <w:right w:type="dxa" w:w="100"/>
            </w:tcMar>
            <w:vAlign w:val="center"/>
          </w:tcPr>
          <w:p>
            <w:pPr>
              <w:jc w:val="left"/>
            </w:pPr>
            <w:r>
              <w:rPr>
                <w:b w:val="false"/>
                <w:bCs w:val="false"/>
                <w:sz w:val="20"/>
                <w:szCs w:val="20"/>
              </w:rPr>
              <w:t xml:space="preserve">100.0</w:t>
            </w:r>
          </w:p>
        </w:tc>
        <w:tc>
          <w:tcPr>
            <w:tcW w:type="dxa" w:w="3900"/>
            <w:tcMar>
              <w:top w:type="dxa" w:w="60"/>
              <w:left w:type="dxa" w:w="100"/>
              <w:bottom w:type="dxa" w:w="60"/>
              <w:right w:type="dxa" w:w="100"/>
            </w:tcMar>
            <w:vAlign w:val="center"/>
          </w:tcPr>
          <w:p>
            <w:pPr>
              <w:jc w:val="left"/>
            </w:pPr>
            <w:r>
              <w:rPr>
                <w:b w:val="false"/>
                <w:bCs w:val="false"/>
                <w:sz w:val="20"/>
                <w:szCs w:val="20"/>
              </w:rPr>
              <w:t xml:space="preserve">10%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Verification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90.9</w:t>
            </w:r>
          </w:p>
        </w:tc>
        <w:tc>
          <w:tcPr>
            <w:tcW w:type="dxa" w:w="3900"/>
            <w:tcMar>
              <w:top w:type="dxa" w:w="60"/>
              <w:left w:type="dxa" w:w="100"/>
              <w:bottom w:type="dxa" w:w="60"/>
              <w:right w:type="dxa" w:w="100"/>
            </w:tcMar>
            <w:vAlign w:val="center"/>
          </w:tcPr>
          <w:p>
            <w:pPr>
              <w:jc w:val="left"/>
            </w:pPr>
            <w:r>
              <w:rPr>
                <w:b w:val="false"/>
                <w:bCs w:val="false"/>
                <w:sz w:val="20"/>
                <w:szCs w:val="20"/>
              </w:rPr>
              <w:t xml:space="preserve">5%</w:t>
            </w:r>
          </w:p>
        </w:tc>
      </w:tr>
    </w:tbl>
    <w:p>
      <w:pPr>
        <w:spacing w:after="160"/>
      </w:pPr>
      <w:r>
        <w:rPr>
          <w:i/>
          <w:iCs/>
        </w:rPr>
        <w:t xml:space="preserve">Verification detail behind the Verification Rate score: 10 of 11 independently-checkable claims were confirmed on re-check this pass; 1 could not run at all (a tool authentication issue, not a content failure — the same item as Gap 9 / Monitor Flag, Section 1.3).</w:t>
      </w:r>
    </w:p>
    <w:p>
      <w:pPr>
        <w:spacing w:after="160"/>
      </w:pPr>
      <w:r>
        <w:rPr>
          <w:i/>
          <w:iCs/>
        </w:rPr>
        <w:t xml:space="preserve">This scores how well-sourced this Charter's own claims are — not how safe the underlying project is. Project and promoter risk are read from Section 1 and Section 4.4, not from this score.</w:t>
      </w:r>
    </w:p>
    <w:p>
      <w:pPr>
        <w:pStyle w:val="Heading1"/>
        <w:spacing w:after="140" w:before="280"/>
      </w:pPr>
      <w:r>
        <w:t xml:space="preserve">10. Gaps &amp; Limitations</w:t>
      </w:r>
    </w:p>
    <w:p>
      <w:pPr>
        <w:spacing w:after="160"/>
      </w:pPr>
      <w:r>
        <w:t xml:space="preserve">Every gap this Charter identified is tiered into a flag in Section 1 — listed here in full for completeness, each cross-referenced back rather than re-explained cold:</w:t>
      </w:r>
    </w:p>
    <w:p>
      <w:pPr>
        <w:pStyle w:val="ListParagraph"/>
        <w:numPr>
          <w:ilvl w:val="0"/>
          <w:numId w:val="1"/>
        </w:numPr>
        <w:spacing w:after="80"/>
      </w:pPr>
      <w:r>
        <w:t xml:space="preserve">Gap 1 — approved/sanctioned BUA and implied FSI not confirmed. See Section 1.1, Imminent Red Flag #4.</w:t>
      </w:r>
    </w:p>
    <w:p>
      <w:pPr>
        <w:pStyle w:val="ListParagraph"/>
        <w:numPr>
          <w:ilvl w:val="0"/>
          <w:numId w:val="1"/>
        </w:numPr>
        <w:spacing w:after="80"/>
      </w:pPr>
      <w:r>
        <w:t xml:space="preserve">Gap 2 — escrow sub-account and Collection Account bank/branch not confirmed. See Section 1.2, Structural Flag #3.</w:t>
      </w:r>
    </w:p>
    <w:p>
      <w:pPr>
        <w:pStyle w:val="ListParagraph"/>
        <w:numPr>
          <w:ilvl w:val="0"/>
          <w:numId w:val="1"/>
        </w:numPr>
        <w:spacing w:after="80"/>
      </w:pPr>
      <w:r>
        <w:t xml:space="preserve">Gap 3 — per-building/wing floor and unit breakdowns not confirmed. See Section 1.3, Monitor Flag #2.</w:t>
      </w:r>
    </w:p>
    <w:p>
      <w:pPr>
        <w:pStyle w:val="ListParagraph"/>
        <w:numPr>
          <w:ilvl w:val="0"/>
          <w:numId w:val="1"/>
        </w:numPr>
        <w:spacing w:after="80"/>
      </w:pPr>
      <w:r>
        <w:t xml:space="preserve">Gap 4 — exact number of the 18 appeals reaching a final decision vs. still pending not confirmed. See Section 1.3, Monitor Flag #1.</w:t>
      </w:r>
    </w:p>
    <w:p>
      <w:pPr>
        <w:pStyle w:val="ListParagraph"/>
        <w:numPr>
          <w:ilvl w:val="0"/>
          <w:numId w:val="1"/>
        </w:numPr>
        <w:spacing w:after="80"/>
      </w:pPr>
      <w:r>
        <w:t xml:space="preserve">Gap 5 — specific grounds homebuyers cite in the 67 complaint filings not confirmed beyond one corroborating complaint. See Section 1.2, Structural Flag #4.</w:t>
      </w:r>
    </w:p>
    <w:p>
      <w:pPr>
        <w:pStyle w:val="ListParagraph"/>
        <w:numPr>
          <w:ilvl w:val="0"/>
          <w:numId w:val="1"/>
        </w:numPr>
        <w:spacing w:after="80"/>
      </w:pPr>
      <w:r>
        <w:t xml:space="preserve">Gap 6 — Chikhali locality pricing conflicts ~2x between aggregators, unreconciled. See Section 1.3, Monitor Flag #3.</w:t>
      </w:r>
    </w:p>
    <w:p>
      <w:pPr>
        <w:pStyle w:val="ListParagraph"/>
        <w:numPr>
          <w:ilvl w:val="0"/>
          <w:numId w:val="1"/>
        </w:numPr>
        <w:spacing w:after="80"/>
      </w:pPr>
      <w:r>
        <w:t xml:space="preserve">Gap 7 — no genuinely independent comparable confirmed within the 3–5 km radius. See Section 1.2, Structural Flag #5.</w:t>
      </w:r>
    </w:p>
    <w:p>
      <w:pPr>
        <w:pStyle w:val="ListParagraph"/>
        <w:numPr>
          <w:ilvl w:val="0"/>
          <w:numId w:val="1"/>
        </w:numPr>
        <w:spacing w:after="80"/>
      </w:pPr>
      <w:r>
        <w:t xml:space="preserve">Gap 8 — precise project-gate lat/long pin not separately plotted. See Section 1.3, Monitor Flag #4.</w:t>
      </w:r>
    </w:p>
    <w:p>
      <w:pPr>
        <w:pStyle w:val="ListParagraph"/>
        <w:numPr>
          <w:ilvl w:val="0"/>
          <w:numId w:val="1"/>
        </w:numPr>
        <w:spacing w:after="80"/>
      </w:pPr>
      <w:r>
        <w:t xml:space="preserve">Gap 9 — land net_area figure's second-opinion verification could not run (tool authentication issue). See Section 1.3, Monitor Flag #5.</w:t>
      </w:r>
    </w:p>
    <w:p>
      <w:r>
        <w:br w:type="page"/>
      </w:r>
    </w:p>
    <w:p>
      <w:pPr>
        <w:pStyle w:val="Heading1"/>
        <w:spacing w:after="140" w:before="280"/>
      </w:pPr>
      <w:r>
        <w:t xml:space="preserve">11. Sources</w:t>
      </w:r>
    </w:p>
    <w:p>
      <w:pPr>
        <w:pStyle w:val="ListParagraph"/>
        <w:numPr>
          <w:ilvl w:val="0"/>
          <w:numId w:val="1"/>
        </w:numPr>
        <w:spacing w:after="80"/>
      </w:pPr>
      <w:r>
        <w:t xml:space="preserve">MahaRERA's official project record — registration P52100019639, retrieved 2026-07-17.</w:t>
      </w:r>
    </w:p>
    <w:p>
      <w:pPr>
        <w:pStyle w:val="ListParagraph"/>
        <w:numPr>
          <w:ilvl w:val="0"/>
          <w:numId w:val="1"/>
        </w:numPr>
        <w:spacing w:after="80"/>
      </w:pPr>
      <w:r>
        <w:t xml:space="preserve">MahaRERA Document Viewer — Supplemental title report, Form B, Layout of the Project Land, opened directly.</w:t>
      </w:r>
    </w:p>
    <w:p>
      <w:pPr>
        <w:pStyle w:val="ListParagraph"/>
        <w:numPr>
          <w:ilvl w:val="0"/>
          <w:numId w:val="1"/>
        </w:numPr>
        <w:spacing w:after="80"/>
      </w:pPr>
      <w:r>
        <w:t xml:space="preserve">99acres — Mamurdi pricing and Godrej Park Greens project page.</w:t>
      </w:r>
    </w:p>
    <w:p>
      <w:pPr>
        <w:pStyle w:val="ListParagraph"/>
        <w:numPr>
          <w:ilvl w:val="0"/>
          <w:numId w:val="1"/>
        </w:numPr>
        <w:spacing w:after="80"/>
      </w:pPr>
      <w:r>
        <w:t xml:space="preserve">Square Yards / NoBroker — Chikhali locality pricing (conflicting).</w:t>
      </w:r>
    </w:p>
    <w:p>
      <w:pPr>
        <w:pStyle w:val="ListParagraph"/>
        <w:numPr>
          <w:ilvl w:val="0"/>
          <w:numId w:val="1"/>
        </w:numPr>
        <w:spacing w:after="80"/>
      </w:pPr>
      <w:r>
        <w:t xml:space="preserve">ZaubaCorp — Godrej Skyline Developers Limited corporate record, re-verified live 2026-07-20.</w:t>
      </w:r>
    </w:p>
    <w:p>
      <w:pPr>
        <w:pStyle w:val="ListParagraph"/>
        <w:numPr>
          <w:ilvl w:val="0"/>
          <w:numId w:val="1"/>
        </w:numPr>
        <w:spacing w:after="80"/>
      </w:pPr>
      <w:r>
        <w:t xml:space="preserve">Facebook — public complaint on possession delay.</w:t>
      </w:r>
    </w:p>
    <w:p>
      <w:pPr>
        <w:pStyle w:val="ListParagraph"/>
        <w:numPr>
          <w:ilvl w:val="0"/>
          <w:numId w:val="1"/>
        </w:numPr>
        <w:spacing w:after="80"/>
      </w:pPr>
      <w:r>
        <w:t xml:space="preserve">Peninsula Land Limited — corporate profile of the original landowner.</w:t>
      </w:r>
    </w:p>
    <w:p>
      <w:pPr>
        <w:pStyle w:val="ListParagraph"/>
        <w:numPr>
          <w:ilvl w:val="0"/>
          <w:numId w:val="1"/>
        </w:numPr>
        <w:spacing w:after="80"/>
      </w:pPr>
      <w:r>
        <w:t xml:space="preserve">Sprouts News — unrelated Godrej Green Vistas (Mahalunge) delay coverage, cited only to distinguish it from this project.</w:t>
      </w:r>
    </w:p>
    <w:p>
      <w:pPr>
        <w:pStyle w:val="ListParagraph"/>
        <w:numPr>
          <w:ilvl w:val="0"/>
          <w:numId w:val="1"/>
        </w:numPr>
        <w:spacing w:after="80"/>
      </w:pPr>
      <w:r>
        <w:t xml:space="preserve">Google Maps — live driving-route distances/times, retrieved 2026-07-17.</w:t>
      </w:r>
    </w:p>
    <w:p>
      <w:pPr>
        <w:pStyle w:val="ListParagraph"/>
        <w:numPr>
          <w:ilvl w:val="0"/>
          <w:numId w:val="1"/>
        </w:numPr>
        <w:spacing w:after="80"/>
      </w:pPr>
      <w:r>
        <w:t xml:space="preserve">99acres / Square Yards / NoBroker — Yashada Dreamsong pricing and unit-mix listings.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6"/>
        <w:szCs w:val="16"/>
      </w:rPr>
      <w:t xml:space="preserve">Internal — Integrow Asset Management  |  Page </w:t>
    </w:r>
    <w:r>
      <w:rPr>
        <w:color w:val="606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16"/>
        <w:szCs w:val="16"/>
      </w:rPr>
      <w:t xml:space="preserve">INTEGROW ASSET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2026-07-27T09:00:09.654Z</dcterms:created>
  <dcterms:modified xsi:type="dcterms:W3CDTF">2026-07-27T09:00:09.654Z</dcterms:modified>
</cp:coreProperties>
</file>

<file path=docProps/custom.xml><?xml version="1.0" encoding="utf-8"?>
<Properties xmlns="http://schemas.openxmlformats.org/officeDocument/2006/custom-properties" xmlns:vt="http://schemas.openxmlformats.org/officeDocument/2006/docPropsVTypes"/>
</file>