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COMPANY CHARTER — RESTRUCTURING RECOMMENDATIONS</w:t>
      </w:r>
    </w:p>
    <w:p>
      <w:pPr>
        <w:spacing w:after="60"/>
        <w:jc w:val="center"/>
      </w:pPr>
      <w:r>
        <w:rPr>
          <w:b/>
          <w:bCs/>
          <w:sz w:val="24"/>
          <w:szCs w:val="24"/>
        </w:rPr>
        <w:t xml:space="preserve">For the Investment Team — how to read a Charter in under 60 seconds</w:t>
      </w:r>
    </w:p>
    <w:p>
      <w:pPr>
        <w:spacing w:after="400"/>
        <w:jc w:val="center"/>
      </w:pPr>
      <w:r>
        <w:rPr>
          <w:i/>
          <w:iCs/>
          <w:color w:val="606060"/>
          <w:sz w:val="20"/>
          <w:szCs w:val="20"/>
        </w:rPr>
        <w:t xml:space="preserve">Prepared July 2026 · Internal working memo, not a client deliverable</w:t>
      </w:r>
    </w:p>
    <w:p>
      <w:pPr>
        <w:pStyle w:val="Heading1"/>
        <w:spacing w:after="140" w:before="280"/>
      </w:pPr>
      <w:r>
        <w:t xml:space="preserve">0. Purpose of this memo</w:t>
      </w:r>
    </w:p>
    <w:p>
      <w:pPr>
        <w:spacing w:after="160"/>
      </w:pPr>
      <w:r>
        <w:t xml:space="preserve">This is a written recommendation, not a code change. It proposes how the automatically-generated Company Charter (built by company_charter.py) should be restructured so an investment team member can open the document, understand the deal and its red flags within a minute, and only then read the supporting detail. Nothing in the current pipeline needs to change for this memo to exist — the goal is to get sign-off on the target structure first, then implement it in the template and generator code as a follow-up.</w:t>
      </w:r>
    </w:p>
    <w:p>
      <w:pPr>
        <w:pStyle w:val="Heading1"/>
        <w:spacing w:after="140" w:before="280"/>
      </w:pPr>
      <w:r>
        <w:t xml:space="preserve">1. How the automation works today</w:t>
      </w:r>
    </w:p>
    <w:p>
      <w:pPr>
        <w:spacing w:after="160"/>
      </w:pPr>
      <w:r>
        <w:t xml:space="preserve">The pipeline runs in three stages, all wrapped by app.py (Streamlit) or main.py (CLI), and none of it needs to change for this proposal:</w:t>
      </w:r>
    </w:p>
    <w:p>
      <w:pPr>
        <w:pStyle w:val="ListParagraph"/>
        <w:numPr>
          <w:ilvl w:val="0"/>
          <w:numId w:val="1"/>
        </w:numPr>
        <w:spacing w:after="80"/>
      </w:pPr>
      <w:r>
        <w:t xml:space="preserve">Scrape (main.py → resolver.py → session_auth.py → api_client.py): resolves a project by RERA number or name, opens a real browser only when a CAPTCHA-gated session is needed (session cached ~90 minutes), and pulls 9 MahaRERA categories — projects, complaints, spocs, professionals, partners, past_experiences, sro_details, documents, appeals — plus builds a promoter portfolio across every project tied to the same promoter.</w:t>
      </w:r>
    </w:p>
    <w:p>
      <w:pPr>
        <w:pStyle w:val="ListParagraph"/>
        <w:numPr>
          <w:ilvl w:val="0"/>
          <w:numId w:val="1"/>
        </w:numPr>
        <w:spacing w:after="80"/>
      </w:pPr>
      <w:r>
        <w:t xml:space="preserve">Deep research (deep_research.py): an agentic web-research pass for macro/micro market context and the promoter's external reputation — the parts no single API covers.</w:t>
      </w:r>
    </w:p>
    <w:p>
      <w:pPr>
        <w:pStyle w:val="ListParagraph"/>
        <w:numPr>
          <w:ilvl w:val="0"/>
          <w:numId w:val="1"/>
        </w:numPr>
        <w:spacing w:after="80"/>
      </w:pPr>
      <w:r>
        <w:t xml:space="preserve">Company Charter (company_charter.py, ~3,300 lines): assembles a "facts" object via an LLM pass over the scraped + researched data, then runs five external checks concurrently — ICRA/Infomerics credit rating, IBBI insolvency status, ZaubaCorp company profile, ZaubaCorp group-company crosswalk, and MahaRERA appeal-judgment matching — plus Google Maps distance verification and a cross-corroboration pass that flags any material claim resting on a single source. It also code-computes (never model-authored) a document library index, a complaint-outcomes breakdown, a mortgage-lender change note (diffed against the prior run for the same project), and a documentation confidence score. All of this is then poured into a fixed .docx template, one paragraph/table cell at a time.</w:t>
      </w:r>
    </w:p>
    <w:p>
      <w:pPr>
        <w:spacing w:after="160"/>
      </w:pPr>
      <w:r>
        <w:rPr>
          <w:i/>
          <w:iCs/>
        </w:rPr>
        <w:t xml:space="preserve">The important thing for this memo: almost everything an investment team would call a "red flag" is already being computed automatically somewhere in this pipeline. The problem is not missing data — it's where that data currently sits in the document.</w:t>
      </w:r>
    </w:p>
    <w:p>
      <w:pPr>
        <w:pStyle w:val="Heading1"/>
        <w:spacing w:after="140" w:before="280"/>
      </w:pPr>
      <w:r>
        <w:t xml:space="preserve">2. The problem with today's structure</w:t>
      </w:r>
    </w:p>
    <w:p>
      <w:pPr>
        <w:spacing w:after="160"/>
      </w:pPr>
      <w:r>
        <w:t xml:space="preserve">The Charter currently reads in this order: Title → Methodology → Executive Summary → Company/Land Identity (CTS + CIN) → Location Map → FSI → Rules &amp; RERA Compliance → Area Intelligence (market) → RERA Core Fields → Document Library → Gaps → Sources — and only then, appended at the very end: Complaint Outcomes, Credit Rating, IBBI Insolvency Check, Company Profile, Group Companies, CTS Land Record, Appeal Judgments, Review Authenticity, and the Documentation Confidence Score page.</w:t>
      </w:r>
    </w:p>
    <w:p>
      <w:pPr>
        <w:spacing w:after="160"/>
      </w:pPr>
      <w:r>
        <w:t xml:space="preserve">Concretely, on the Godrej Park Greens charter already generated in output/company_charters/, the reader has to get past 10+ sections before reaching: 67 live complaint filings and 18 appeals against the project, whether the promoter shows up in IBBI's insolvency database, whether a credit rating exists at all, and a documentation confidence score that tells you how much of the rest of the document to trust. That is backwards for an investment reviewer who needs to make a fast pass/hold/dig-deeper call before spending time on FSI tables and location maps.</w:t>
      </w:r>
    </w:p>
    <w:p>
      <w:pPr>
        <w:pStyle w:val="Heading1"/>
        <w:spacing w:after="140" w:before="280"/>
      </w:pPr>
      <w:r>
        <w:t xml:space="preserve">3. Recommended document flow</w:t>
      </w:r>
    </w:p>
    <w:p>
      <w:pPr>
        <w:spacing w:after="160"/>
      </w:pPr>
      <w:r>
        <w:t xml:space="preserve">Think of the flow the way an analyst actually works a deal, not the way the data happens to get computed. The first question is always "is there a reason to stop reading right now?" — not "what is the FSI?" So the document should walk outward in expanding circles of commitment:</w:t>
      </w:r>
    </w:p>
    <w:p>
      <w:pPr>
        <w:pStyle w:val="ListParagraph"/>
        <w:numPr>
          <w:ilvl w:val="0"/>
          <w:numId w:val="1"/>
        </w:numPr>
        <w:spacing w:after="80"/>
      </w:pPr>
      <w:r>
        <w:rPr>
          <w:b/>
          <w:bCs/>
        </w:rPr>
        <w:t xml:space="preserve">Overview &amp; Red Flags (new, front page) — can I say pass/hold/proceed in 60 seconds?</w:t>
      </w:r>
    </w:p>
    <w:p>
      <w:pPr>
        <w:pStyle w:val="ListParagraph"/>
        <w:numPr>
          <w:ilvl w:val="0"/>
          <w:numId w:val="1"/>
        </w:numPr>
        <w:spacing w:after="80"/>
      </w:pPr>
      <w:r>
        <w:rPr>
          <w:b/>
          <w:bCs/>
        </w:rPr>
        <w:t xml:space="preserve">Who is the counterparty? — promoter/company identity, corporate registry standing, credit rating, insolvency status, group entities.</w:t>
      </w:r>
    </w:p>
    <w:p>
      <w:pPr>
        <w:pStyle w:val="ListParagraph"/>
        <w:numPr>
          <w:ilvl w:val="0"/>
          <w:numId w:val="1"/>
        </w:numPr>
        <w:spacing w:after="80"/>
      </w:pPr>
      <w:r>
        <w:rPr>
          <w:b/>
          <w:bCs/>
        </w:rPr>
        <w:t xml:space="preserve">What is the asset? — land identification, location, FSI, connectivity, neighbourhood.</w:t>
      </w:r>
    </w:p>
    <w:p>
      <w:pPr>
        <w:pStyle w:val="ListParagraph"/>
        <w:numPr>
          <w:ilvl w:val="0"/>
          <w:numId w:val="1"/>
        </w:numPr>
        <w:spacing w:after="80"/>
      </w:pPr>
      <w:r>
        <w:rPr>
          <w:b/>
          <w:bCs/>
        </w:rPr>
        <w:t xml:space="preserve">Is it compliant? — statutory rules, RERA compliance detail, litigation/complaint/appeal detail (the full version of what the Overview already flagged).</w:t>
      </w:r>
    </w:p>
    <w:p>
      <w:pPr>
        <w:pStyle w:val="ListParagraph"/>
        <w:numPr>
          <w:ilvl w:val="0"/>
          <w:numId w:val="1"/>
        </w:numPr>
        <w:spacing w:after="80"/>
      </w:pPr>
      <w:r>
        <w:rPr>
          <w:b/>
          <w:bCs/>
        </w:rPr>
        <w:t xml:space="preserve">Is it commercially sound? — market/area intelligence, comparables, pricing trend.</w:t>
      </w:r>
    </w:p>
    <w:p>
      <w:pPr>
        <w:pStyle w:val="ListParagraph"/>
        <w:numPr>
          <w:ilvl w:val="0"/>
          <w:numId w:val="1"/>
        </w:numPr>
        <w:spacing w:after="80"/>
      </w:pPr>
      <w:r>
        <w:rPr>
          <w:b/>
          <w:bCs/>
        </w:rPr>
        <w:t xml:space="preserve">Show your work — the detailed RERA data tables, document library, every diligence-check appendix (credit rating detail, IBBI detail, ZaubaCorp detail, land record, appeal judgments, review authenticity), gaps, and sources — for anyone who wants to audit a claim made earlier in the document.</w:t>
      </w:r>
    </w:p>
    <w:p>
      <w:pPr>
        <w:spacing w:after="160"/>
      </w:pPr>
      <w:r>
        <w:t xml:space="preserve">In plain terms: red flags first, then "who am I dealing with," then "what am I buying," then "is it legally clean," then "is it commercially viable," then the full evidence locker at the back for verification. Nothing is deleted — every section that exists today still exists, most of them just move earlier or later, and the checks currently bolted on at the end (credit rating, IBBI, group companies, land record, appeal judgments, review authenticity, confidence score) get pulled forward into the sections they actually belong to, with only the full back-up detail left in an appendix.</w:t>
      </w:r>
    </w:p>
    <w:p>
      <w:pPr>
        <w:pStyle w:val="Heading1"/>
        <w:spacing w:after="140" w:before="280"/>
      </w:pPr>
      <w:r>
        <w:t xml:space="preserve">4. Proposed target section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50"/>
      </w:tblGrid>
      <w:tr>
        <w:tc>
          <w:tcPr>
            <w:tcW w:type="dxa" w:w="700"/>
            <w:shd w:fill="D9E2F3" w:val="clear"/>
            <w:tcMar>
              <w:top w:type="dxa" w:w="60"/>
              <w:left w:type="dxa" w:w="100"/>
              <w:bottom w:type="dxa" w:w="60"/>
              <w:right w:type="dxa" w:w="100"/>
            </w:tcMar>
            <w:vAlign w:val="center"/>
          </w:tcPr>
          <w:p>
            <w:pPr>
              <w:jc w:val="left"/>
            </w:pPr>
            <w:r>
              <w:rPr>
                <w:b/>
                <w:bCs/>
                <w:sz w:val="20"/>
                <w:szCs w:val="20"/>
              </w:rPr>
              <w:t xml:space="preserve">#</w:t>
            </w:r>
          </w:p>
        </w:tc>
        <w:tc>
          <w:tcPr>
            <w:tcW w:type="dxa" w:w="3200"/>
            <w:shd w:fill="D9E2F3" w:val="clear"/>
            <w:tcMar>
              <w:top w:type="dxa" w:w="60"/>
              <w:left w:type="dxa" w:w="100"/>
              <w:bottom w:type="dxa" w:w="60"/>
              <w:right w:type="dxa" w:w="100"/>
            </w:tcMar>
            <w:vAlign w:val="center"/>
          </w:tcPr>
          <w:p>
            <w:pPr>
              <w:jc w:val="left"/>
            </w:pPr>
            <w:r>
              <w:rPr>
                <w:b/>
                <w:bCs/>
                <w:sz w:val="20"/>
                <w:szCs w:val="20"/>
              </w:rPr>
              <w:t xml:space="preserve">Section</w:t>
            </w:r>
          </w:p>
        </w:tc>
        <w:tc>
          <w:tcPr>
            <w:tcW w:type="dxa" w:w="5450"/>
            <w:shd w:fill="D9E2F3" w:val="clear"/>
            <w:tcMar>
              <w:top w:type="dxa" w:w="60"/>
              <w:left w:type="dxa" w:w="100"/>
              <w:bottom w:type="dxa" w:w="60"/>
              <w:right w:type="dxa" w:w="100"/>
            </w:tcMar>
            <w:vAlign w:val="center"/>
          </w:tcPr>
          <w:p>
            <w:pPr>
              <w:jc w:val="left"/>
            </w:pPr>
            <w:r>
              <w:rPr>
                <w:b/>
                <w:bCs/>
                <w:sz w:val="20"/>
                <w:szCs w:val="20"/>
              </w:rPr>
              <w:t xml:space="preserve">What moves here / why</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w:t>
            </w:r>
          </w:p>
        </w:tc>
        <w:tc>
          <w:tcPr>
            <w:tcW w:type="dxa" w:w="3200"/>
            <w:tcMar>
              <w:top w:type="dxa" w:w="60"/>
              <w:left w:type="dxa" w:w="100"/>
              <w:bottom w:type="dxa" w:w="60"/>
              <w:right w:type="dxa" w:w="100"/>
            </w:tcMar>
            <w:vAlign w:val="center"/>
          </w:tcPr>
          <w:p>
            <w:pPr>
              <w:jc w:val="left"/>
            </w:pPr>
            <w:r>
              <w:rPr>
                <w:b/>
                <w:bCs/>
                <w:sz w:val="20"/>
                <w:szCs w:val="20"/>
              </w:rPr>
              <w:t xml:space="preserve">Overview &amp; Red Flags</w:t>
            </w:r>
          </w:p>
        </w:tc>
        <w:tc>
          <w:tcPr>
            <w:tcW w:type="dxa" w:w="5450"/>
            <w:tcMar>
              <w:top w:type="dxa" w:w="60"/>
              <w:left w:type="dxa" w:w="100"/>
              <w:bottom w:type="dxa" w:w="60"/>
              <w:right w:type="dxa" w:w="100"/>
            </w:tcMar>
            <w:vAlign w:val="center"/>
          </w:tcPr>
          <w:p>
            <w:pPr>
              <w:jc w:val="left"/>
            </w:pPr>
            <w:r>
              <w:rPr>
                <w:b w:val="false"/>
                <w:bCs w:val="false"/>
                <w:sz w:val="20"/>
                <w:szCs w:val="20"/>
              </w:rPr>
              <w:t xml:space="preserve">NEW. One page. Snapshot table + red-flag matrix (Section 5) + a one-line "what to read next" pointer.</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2</w:t>
            </w:r>
          </w:p>
        </w:tc>
        <w:tc>
          <w:tcPr>
            <w:tcW w:type="dxa" w:w="3200"/>
            <w:tcMar>
              <w:top w:type="dxa" w:w="60"/>
              <w:left w:type="dxa" w:w="100"/>
              <w:bottom w:type="dxa" w:w="60"/>
              <w:right w:type="dxa" w:w="100"/>
            </w:tcMar>
            <w:vAlign w:val="center"/>
          </w:tcPr>
          <w:p>
            <w:pPr>
              <w:jc w:val="left"/>
            </w:pPr>
            <w:r>
              <w:rPr>
                <w:b w:val="false"/>
                <w:bCs w:val="false"/>
                <w:sz w:val="20"/>
                <w:szCs w:val="20"/>
              </w:rPr>
              <w:t xml:space="preserve">Executive Summary</w:t>
            </w:r>
          </w:p>
        </w:tc>
        <w:tc>
          <w:tcPr>
            <w:tcW w:type="dxa" w:w="5450"/>
            <w:tcMar>
              <w:top w:type="dxa" w:w="60"/>
              <w:left w:type="dxa" w:w="100"/>
              <w:bottom w:type="dxa" w:w="60"/>
              <w:right w:type="dxa" w:w="100"/>
            </w:tcMar>
            <w:vAlign w:val="center"/>
          </w:tcPr>
          <w:p>
            <w:pPr>
              <w:jc w:val="left"/>
            </w:pPr>
            <w:r>
              <w:rPr>
                <w:b w:val="false"/>
                <w:bCs w:val="false"/>
                <w:sz w:val="20"/>
                <w:szCs w:val="20"/>
              </w:rPr>
              <w:t xml:space="preserve">Kept, shortened — the narrative version of the Overview's facts.</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3</w:t>
            </w:r>
          </w:p>
        </w:tc>
        <w:tc>
          <w:tcPr>
            <w:tcW w:type="dxa" w:w="3200"/>
            <w:tcMar>
              <w:top w:type="dxa" w:w="60"/>
              <w:left w:type="dxa" w:w="100"/>
              <w:bottom w:type="dxa" w:w="60"/>
              <w:right w:type="dxa" w:w="100"/>
            </w:tcMar>
            <w:vAlign w:val="center"/>
          </w:tcPr>
          <w:p>
            <w:pPr>
              <w:jc w:val="left"/>
            </w:pPr>
            <w:r>
              <w:rPr>
                <w:b w:val="false"/>
                <w:bCs w:val="false"/>
                <w:sz w:val="20"/>
                <w:szCs w:val="20"/>
              </w:rPr>
              <w:t xml:space="preserve">Counterparty: Corporate Identity &amp; Standing</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CTS+CIN identity section, merged with Credit Rating, IBBI Insolvency, Company Profile and Group Companies (currently appended at the end) — these are all "who am I dealing with" facts.</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4</w:t>
            </w:r>
          </w:p>
        </w:tc>
        <w:tc>
          <w:tcPr>
            <w:tcW w:type="dxa" w:w="3200"/>
            <w:tcMar>
              <w:top w:type="dxa" w:w="60"/>
              <w:left w:type="dxa" w:w="100"/>
              <w:bottom w:type="dxa" w:w="60"/>
              <w:right w:type="dxa" w:w="100"/>
            </w:tcMar>
            <w:vAlign w:val="center"/>
          </w:tcPr>
          <w:p>
            <w:pPr>
              <w:jc w:val="left"/>
            </w:pPr>
            <w:r>
              <w:rPr>
                <w:b w:val="false"/>
                <w:bCs w:val="false"/>
                <w:sz w:val="20"/>
                <w:szCs w:val="20"/>
              </w:rPr>
              <w:t xml:space="preserve">The Asset: Land, Location &amp; FSI</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Location Map + FSI sections, unchanged in content, just re-sequenced after the counterparty section.</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5</w:t>
            </w:r>
          </w:p>
        </w:tc>
        <w:tc>
          <w:tcPr>
            <w:tcW w:type="dxa" w:w="3200"/>
            <w:tcMar>
              <w:top w:type="dxa" w:w="60"/>
              <w:left w:type="dxa" w:w="100"/>
              <w:bottom w:type="dxa" w:w="60"/>
              <w:right w:type="dxa" w:w="100"/>
            </w:tcMar>
            <w:vAlign w:val="center"/>
          </w:tcPr>
          <w:p>
            <w:pPr>
              <w:jc w:val="left"/>
            </w:pPr>
            <w:r>
              <w:rPr>
                <w:b w:val="false"/>
                <w:bCs w:val="false"/>
                <w:sz w:val="20"/>
                <w:szCs w:val="20"/>
              </w:rPr>
              <w:t xml:space="preserve">Compliance &amp; Legal Detail</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Rules/RERA Compliance section, plus the full litigation/complaint/appeal narrative and the Appeal Judgments section (currently at the end) — the Overview already gave the headline numbers; this is the full story behind them.</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6</w:t>
            </w:r>
          </w:p>
        </w:tc>
        <w:tc>
          <w:tcPr>
            <w:tcW w:type="dxa" w:w="3200"/>
            <w:tcMar>
              <w:top w:type="dxa" w:w="60"/>
              <w:left w:type="dxa" w:w="100"/>
              <w:bottom w:type="dxa" w:w="60"/>
              <w:right w:type="dxa" w:w="100"/>
            </w:tcMar>
            <w:vAlign w:val="center"/>
          </w:tcPr>
          <w:p>
            <w:pPr>
              <w:jc w:val="left"/>
            </w:pPr>
            <w:r>
              <w:rPr>
                <w:b w:val="false"/>
                <w:bCs w:val="false"/>
                <w:sz w:val="20"/>
                <w:szCs w:val="20"/>
              </w:rPr>
              <w:t xml:space="preserve">Market &amp; Area Intelligence</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 content, re-sequenced.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7</w:t>
            </w:r>
          </w:p>
        </w:tc>
        <w:tc>
          <w:tcPr>
            <w:tcW w:type="dxa" w:w="3200"/>
            <w:tcMar>
              <w:top w:type="dxa" w:w="60"/>
              <w:left w:type="dxa" w:w="100"/>
              <w:bottom w:type="dxa" w:w="60"/>
              <w:right w:type="dxa" w:w="100"/>
            </w:tcMar>
            <w:vAlign w:val="center"/>
          </w:tcPr>
          <w:p>
            <w:pPr>
              <w:jc w:val="left"/>
            </w:pPr>
            <w:r>
              <w:rPr>
                <w:b w:val="false"/>
                <w:bCs w:val="false"/>
                <w:sz w:val="20"/>
                <w:szCs w:val="20"/>
              </w:rPr>
              <w:t xml:space="preserve">RERA Core Data Tables</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core-fields and unit/block tables — reference data, not narrative.</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8</w:t>
            </w:r>
          </w:p>
        </w:tc>
        <w:tc>
          <w:tcPr>
            <w:tcW w:type="dxa" w:w="3200"/>
            <w:tcMar>
              <w:top w:type="dxa" w:w="60"/>
              <w:left w:type="dxa" w:w="100"/>
              <w:bottom w:type="dxa" w:w="60"/>
              <w:right w:type="dxa" w:w="100"/>
            </w:tcMar>
            <w:vAlign w:val="center"/>
          </w:tcPr>
          <w:p>
            <w:pPr>
              <w:jc w:val="left"/>
            </w:pPr>
            <w:r>
              <w:rPr>
                <w:b w:val="false"/>
                <w:bCs w:val="false"/>
                <w:sz w:val="20"/>
                <w:szCs w:val="20"/>
              </w:rPr>
              <w:t xml:space="preserve">Diligence Appendix</w:t>
            </w:r>
          </w:p>
        </w:tc>
        <w:tc>
          <w:tcPr>
            <w:tcW w:type="dxa" w:w="5450"/>
            <w:tcMar>
              <w:top w:type="dxa" w:w="60"/>
              <w:left w:type="dxa" w:w="100"/>
              <w:bottom w:type="dxa" w:w="60"/>
              <w:right w:type="dxa" w:w="100"/>
            </w:tcMar>
            <w:vAlign w:val="center"/>
          </w:tcPr>
          <w:p>
            <w:pPr>
              <w:jc w:val="left"/>
            </w:pPr>
            <w:r>
              <w:rPr>
                <w:b w:val="false"/>
                <w:bCs w:val="false"/>
                <w:sz w:val="20"/>
                <w:szCs w:val="20"/>
              </w:rPr>
              <w:t xml:space="preserve">Document Library, Complaint Outcomes detail, CTS Land Record detail, Review Authenticity — full back-up detail for anything summarised earlier.</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9</w:t>
            </w:r>
          </w:p>
        </w:tc>
        <w:tc>
          <w:tcPr>
            <w:tcW w:type="dxa" w:w="3200"/>
            <w:tcMar>
              <w:top w:type="dxa" w:w="60"/>
              <w:left w:type="dxa" w:w="100"/>
              <w:bottom w:type="dxa" w:w="60"/>
              <w:right w:type="dxa" w:w="100"/>
            </w:tcMar>
            <w:vAlign w:val="center"/>
          </w:tcPr>
          <w:p>
            <w:pPr>
              <w:jc w:val="left"/>
            </w:pPr>
            <w:r>
              <w:rPr>
                <w:b w:val="false"/>
                <w:bCs w:val="false"/>
                <w:sz w:val="20"/>
                <w:szCs w:val="20"/>
              </w:rPr>
              <w:t xml:space="preserve">Gaps &amp; Limitations</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 — but every gap that was promoted into the Overview's red-flag matrix should say so explicitly ("see Overview, item 3") rather than repeating cold.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10</w:t>
            </w:r>
          </w:p>
        </w:tc>
        <w:tc>
          <w:tcPr>
            <w:tcW w:type="dxa" w:w="3200"/>
            <w:tcMar>
              <w:top w:type="dxa" w:w="60"/>
              <w:left w:type="dxa" w:w="100"/>
              <w:bottom w:type="dxa" w:w="60"/>
              <w:right w:type="dxa" w:w="100"/>
            </w:tcMar>
            <w:vAlign w:val="center"/>
          </w:tcPr>
          <w:p>
            <w:pPr>
              <w:jc w:val="left"/>
            </w:pPr>
            <w:r>
              <w:rPr>
                <w:b w:val="false"/>
                <w:bCs w:val="false"/>
                <w:sz w:val="20"/>
                <w:szCs w:val="20"/>
              </w:rPr>
              <w:t xml:space="preserve">Sources</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11</w:t>
            </w:r>
          </w:p>
        </w:tc>
        <w:tc>
          <w:tcPr>
            <w:tcW w:type="dxa" w:w="3200"/>
            <w:tcMar>
              <w:top w:type="dxa" w:w="60"/>
              <w:left w:type="dxa" w:w="100"/>
              <w:bottom w:type="dxa" w:w="60"/>
              <w:right w:type="dxa" w:w="100"/>
            </w:tcMar>
            <w:vAlign w:val="center"/>
          </w:tcPr>
          <w:p>
            <w:pPr>
              <w:jc w:val="left"/>
            </w:pPr>
            <w:r>
              <w:rPr>
                <w:b w:val="false"/>
                <w:bCs w:val="false"/>
                <w:sz w:val="20"/>
                <w:szCs w:val="20"/>
              </w:rPr>
              <w:t xml:space="preserve">Documentation Confidence Score</w:t>
            </w:r>
          </w:p>
        </w:tc>
        <w:tc>
          <w:tcPr>
            <w:tcW w:type="dxa" w:w="5450"/>
            <w:tcMar>
              <w:top w:type="dxa" w:w="60"/>
              <w:left w:type="dxa" w:w="100"/>
              <w:bottom w:type="dxa" w:w="60"/>
              <w:right w:type="dxa" w:w="100"/>
            </w:tcMar>
            <w:vAlign w:val="center"/>
          </w:tcPr>
          <w:p>
            <w:pPr>
              <w:jc w:val="left"/>
            </w:pPr>
            <w:r>
              <w:rPr>
                <w:b w:val="false"/>
                <w:bCs w:val="false"/>
                <w:sz w:val="20"/>
                <w:szCs w:val="20"/>
              </w:rPr>
              <w:t xml:space="preserve">Kept as a closing methodology page — but its headline number is pulled forward into the Overview (Section 5) too, since "how much should I trust this document" is itself a red flag, not an afterthought.</w:t>
            </w:r>
          </w:p>
        </w:tc>
      </w:tr>
    </w:tbl>
    <w:p>
      <w:r>
        <w:br w:type="page"/>
      </w:r>
    </w:p>
    <w:p>
      <w:pPr>
        <w:pStyle w:val="Heading1"/>
        <w:spacing w:after="140" w:before="280"/>
      </w:pPr>
      <w:r>
        <w:t xml:space="preserve">5. Overview &amp; Red Flags — page design</w:t>
      </w:r>
    </w:p>
    <w:p>
      <w:pPr>
        <w:spacing w:after="160"/>
      </w:pPr>
      <w:r>
        <w:t xml:space="preserve">This is the single most important addition. It should fit on one page, use a traffic-light convention (green/amber/red) the reader can scan without reading prose, and every line should be computed from data the pipeline already produces — no new scraping required.</w:t>
      </w:r>
    </w:p>
    <w:p>
      <w:pPr>
        <w:pStyle w:val="Heading2"/>
        <w:spacing w:after="140" w:before="280"/>
      </w:pPr>
      <w:r>
        <w:t xml:space="preserve">5.1 Deal snapshot (top of page)</w:t>
      </w:r>
    </w:p>
    <w:p>
      <w:pPr>
        <w:spacing w:after="160"/>
      </w:pPr>
      <w:r>
        <w:t xml:space="preserve">A compact table, six rows: Project name, Promoter/Entity, MahaRERA registration number, Project status, Location, Report confidence band (from the Documentation Confidence Score). All six fields already exist in facts — this is pure re-arrangement.</w:t>
      </w:r>
    </w:p>
    <w:p>
      <w:pPr>
        <w:pStyle w:val="Heading2"/>
        <w:spacing w:after="140" w:before="280"/>
      </w:pPr>
      <w:r>
        <w:t xml:space="preserve">5.2 Red-flag matrix — proposed criteria</w:t>
      </w:r>
    </w:p>
    <w:p>
      <w:pPr>
        <w:spacing w:after="160"/>
      </w:pPr>
      <w:r>
        <w:t xml:space="preserve">Grouped into four categories, matching how an investment reviewer actually triages a deal. Each row: the signal, the trigger threshold, the facts.json field(s) it reads from, and the severity it should render as.</w:t>
      </w:r>
    </w:p>
    <w:p>
      <w:pPr>
        <w:spacing w:after="160"/>
      </w:pPr>
      <w:r>
        <w:rPr>
          <w:b/>
          <w:bCs/>
        </w:rPr>
        <w:t xml:space="preserve">A. Identity / registration red flags — "can I even verify who I'm dealing with?"</w:t>
      </w:r>
    </w:p>
    <w:p>
      <w:pPr>
        <w:pStyle w:val="ListParagraph"/>
        <w:numPr>
          <w:ilvl w:val="0"/>
          <w:numId w:val="1"/>
        </w:numPr>
        <w:spacing w:after="80"/>
      </w:pPr>
      <w:r>
        <w:t xml:space="preserve">No MahaRERA registration number resolvable → RED. Field: rera_core_fields.registration_number empty/unresolved.</w:t>
      </w:r>
    </w:p>
    <w:p>
      <w:pPr>
        <w:pStyle w:val="ListParagraph"/>
        <w:numPr>
          <w:ilvl w:val="0"/>
          <w:numId w:val="1"/>
        </w:numPr>
        <w:spacing w:after="80"/>
      </w:pPr>
      <w:r>
        <w:t xml:space="preserve">No CTS/survey/plot number confirmed → AMBER if the project is otherwise identifiable, RED if it blocks land verification entirely. Field: land_identification.survey_cts_plot_numbers.</w:t>
      </w:r>
    </w:p>
    <w:p>
      <w:pPr>
        <w:pStyle w:val="ListParagraph"/>
        <w:numPr>
          <w:ilvl w:val="0"/>
          <w:numId w:val="1"/>
        </w:numPr>
        <w:spacing w:after="80"/>
      </w:pPr>
      <w:r>
        <w:t xml:space="preserve">No CIN/LLPIN found in any public registry mirror for the promoter entity → RED (this is the single most common "can't verify the counterparty at all" signal). Field: corporate_identity.cin_llpin, cross-checked against company_profile_check.found.</w:t>
      </w:r>
    </w:p>
    <w:p>
      <w:pPr>
        <w:pStyle w:val="ListParagraph"/>
        <w:numPr>
          <w:ilvl w:val="0"/>
          <w:numId w:val="1"/>
        </w:numPr>
        <w:spacing w:after="80"/>
      </w:pPr>
      <w:r>
        <w:t xml:space="preserve">Promoter/RERA record name mismatch against the MCA/ZaubaCorp mirror (e.g. spelling, entity-type, or a different registered entity entirely) → AMBER. Field: corporate_registry_cross_check.</w:t>
      </w:r>
    </w:p>
    <w:p>
      <w:pPr>
        <w:spacing w:after="160"/>
      </w:pPr>
      <w:r>
        <w:rPr>
          <w:b/>
          <w:bCs/>
        </w:rPr>
        <w:t xml:space="preserve">B. Legal / regulatory red flags — "is this promoter in trouble, or is this project in trouble?"</w:t>
      </w:r>
    </w:p>
    <w:p>
      <w:pPr>
        <w:pStyle w:val="ListParagraph"/>
        <w:numPr>
          <w:ilvl w:val="0"/>
          <w:numId w:val="1"/>
        </w:numPr>
        <w:spacing w:after="80"/>
      </w:pPr>
      <w:r>
        <w:t xml:space="preserve">IBBI insolvency proceeding found against the promoter entity → RED, always, regardless of anything else on the page. Field: ibbi_insolvency_check.found_process.</w:t>
      </w:r>
    </w:p>
    <w:p>
      <w:pPr>
        <w:pStyle w:val="ListParagraph"/>
        <w:numPr>
          <w:ilvl w:val="0"/>
          <w:numId w:val="1"/>
        </w:numPr>
        <w:spacing w:after="80"/>
      </w:pPr>
      <w:r>
        <w:t xml:space="preserve">THIS PROJECT's complaint count above a defined threshold (proposed: &gt;15 complaint-category filings = AMBER, &gt;40 = RED — calibrated against the 67-complaint Godrej Park Greens example already in this repo's output) drives the flag colour. Field: complaint_outcomes_summary / litigation_status, scoped to this reg. no. only.</w:t>
      </w:r>
    </w:p>
    <w:p>
      <w:pPr>
        <w:pStyle w:val="ListParagraph"/>
        <w:numPr>
          <w:ilvl w:val="0"/>
          <w:numId w:val="1"/>
        </w:numPr>
        <w:spacing w:after="80"/>
      </w:pPr>
      <w:r>
        <w:t xml:space="preserve">THIS PROJECT's appeal count above threshold (proposed: &gt;5 = AMBER, &gt;15 = RED), and separately whether any appeal judgment was found in the promoter's favour vs. against, drives the flag colour. Field: appeal_judgments_found, litigation_status, scoped to this reg. no. only.</w:t>
      </w:r>
    </w:p>
    <w:p>
      <w:pPr>
        <w:pStyle w:val="ListParagraph"/>
        <w:numPr>
          <w:ilvl w:val="0"/>
          <w:numId w:val="1"/>
        </w:numPr>
        <w:spacing w:after="80"/>
      </w:pPr>
      <w:r>
        <w:t xml:space="preserve">PROMOTER portfolio-wide total (complaints/appeals aggregated across every project tied to the same promoter, already computed by main.py's Promoter Profile step) is shown directly under the project figure as plain reference text — e.g. "promoter total: 210 complaints across 12 registered projects" — with NO colour of its own. See the note below on why.</w:t>
      </w:r>
    </w:p>
    <w:p>
      <w:pPr>
        <w:pStyle w:val="ListParagraph"/>
        <w:numPr>
          <w:ilvl w:val="0"/>
          <w:numId w:val="1"/>
        </w:numPr>
        <w:spacing w:after="80"/>
      </w:pPr>
      <w:r>
        <w:t xml:space="preserve">Unresolved land-title litigation (as distinct from consumer complaints — the pipeline already keeps these separate, which the Overview should preserve rather than blending into one score) → RED if present, GREEN if a due-diligence report affirmatively clears it. Field: litigation_status.</w:t>
      </w:r>
    </w:p>
    <w:p>
      <w:pPr>
        <w:pStyle w:val="ListParagraph"/>
        <w:numPr>
          <w:ilvl w:val="0"/>
          <w:numId w:val="1"/>
        </w:numPr>
        <w:spacing w:after="80"/>
      </w:pPr>
      <w:r>
        <w:t xml:space="preserve">Project status flag itself (e.g. "Lapsed"/"Revoked"/extended-beyond-original-completion-date) → RED/AMBER. Field: rera_core_fields.project_status, proposed_completion_date vs approved_date.</w:t>
      </w:r>
    </w:p>
    <w:p>
      <w:pPr>
        <w:spacing w:after="160"/>
      </w:pPr>
      <w:r>
        <w:rPr>
          <w:i/>
          <w:iCs/>
        </w:rPr>
        <w:t xml:space="preserve">Why the promoter total gets no colour of its own: a raw aggregate scales with how many projects and how many years the promoter has operated — a developer with 25 live projects will rack up more absolute complaints than one with 3, independent of whether they're actually a worse builder or worse at resolving disputes. Colour-coding a raw total would flag every large, prolific developer red and every small/new one green regardless of real quality — that's noise, not signal. It's shown for context because an investment reviewer should still see it, but only the project-specific count decides the flag's colour. If a promoter-level flag is wanted later, the honest version is a normalized metric (complaints per registered project, or a year-over-year trend) — flagged here as a possible future enhancement, not built now.</w:t>
      </w:r>
    </w:p>
    <w:p>
      <w:pPr>
        <w:spacing w:after="160"/>
      </w:pPr>
      <w:r>
        <w:rPr>
          <w:b/>
          <w:bCs/>
        </w:rPr>
        <w:t xml:space="preserve">C. Financial / credit red flags — "can this promoter actually finish and fund this?"</w:t>
      </w:r>
    </w:p>
    <w:p>
      <w:pPr>
        <w:pStyle w:val="ListParagraph"/>
        <w:numPr>
          <w:ilvl w:val="0"/>
          <w:numId w:val="1"/>
        </w:numPr>
        <w:spacing w:after="80"/>
      </w:pPr>
      <w:r>
        <w:t xml:space="preserve">No credit rating found from either agency checked → AMBER (absence of a rating is itself informative, not neutral — most large listed developers do have one). Field: credit_rating_check.</w:t>
      </w:r>
    </w:p>
    <w:p>
      <w:pPr>
        <w:pStyle w:val="ListParagraph"/>
        <w:numPr>
          <w:ilvl w:val="0"/>
          <w:numId w:val="1"/>
        </w:numPr>
        <w:spacing w:after="80"/>
      </w:pPr>
      <w:r>
        <w:t xml:space="preserve">Credit rating found but below investment grade, or a downgrade vs. a prior run → RED. Field: credit_rating_check.promoter.ratings[].</w:t>
      </w:r>
    </w:p>
    <w:p>
      <w:pPr>
        <w:pStyle w:val="ListParagraph"/>
        <w:numPr>
          <w:ilvl w:val="0"/>
          <w:numId w:val="1"/>
        </w:numPr>
        <w:spacing w:after="80"/>
      </w:pPr>
      <w:r>
        <w:t xml:space="preserve">Mortgage lender changed since the last Charter run for the same project → AMBER (an undisclosed refinancing or lender substitution is exactly the kind of thing a diligence process should catch early). Field: mortgage_lender_history_note.</w:t>
      </w:r>
    </w:p>
    <w:p>
      <w:pPr>
        <w:pStyle w:val="ListParagraph"/>
        <w:numPr>
          <w:ilvl w:val="0"/>
          <w:numId w:val="1"/>
        </w:numPr>
        <w:spacing w:after="80"/>
      </w:pPr>
      <w:r>
        <w:t xml:space="preserve">Escrow/collection-account disclosure not confirmed from any document opened → AMBER (this is a core RERA obligation; its absence from the record is a gap worth flagging, not just noting in small print at the end). Field: rera_compliance.collection_account / gaps.</w:t>
      </w:r>
    </w:p>
    <w:p>
      <w:pPr>
        <w:spacing w:after="160"/>
      </w:pPr>
      <w:r>
        <w:rPr>
          <w:b/>
          <w:bCs/>
        </w:rPr>
        <w:t xml:space="preserve">D. Data-confidence red flags — "how much of this document should I actually trust?"</w:t>
      </w:r>
    </w:p>
    <w:p>
      <w:pPr>
        <w:pStyle w:val="ListParagraph"/>
        <w:numPr>
          <w:ilvl w:val="0"/>
          <w:numId w:val="1"/>
        </w:numPr>
        <w:spacing w:after="80"/>
      </w:pPr>
      <w:r>
        <w:t xml:space="preserve">Documentation Confidence Score below the "High" band → AMBER/RED depending on band, always shown as a number, not just a qualitative label. Field: documentation_confidence_score.</w:t>
      </w:r>
    </w:p>
    <w:p>
      <w:pPr>
        <w:pStyle w:val="ListParagraph"/>
        <w:numPr>
          <w:ilvl w:val="0"/>
          <w:numId w:val="1"/>
        </w:numPr>
        <w:spacing w:after="80"/>
      </w:pPr>
      <w:r>
        <w:t xml:space="preserve">Any material claim flagged as single-sourced with a failed second-source attempt → AMBER, with a count ("3 claims corroborated by only one source"). Field: _verification_stats / cross-corroboration output.</w:t>
      </w:r>
    </w:p>
    <w:p>
      <w:pPr>
        <w:pStyle w:val="ListParagraph"/>
        <w:numPr>
          <w:ilvl w:val="0"/>
          <w:numId w:val="1"/>
        </w:numPr>
        <w:spacing w:after="80"/>
      </w:pPr>
      <w:r>
        <w:t xml:space="preserve">FSI, area or unit-count figures present in the Gaps list (i.e. not confirmed from any document opened this pass) → AMBER, since these are usually the numbers an investment case is actually built on. Field: gaps, cross-referenced against fsi_metrics.</w:t>
      </w:r>
    </w:p>
    <w:p>
      <w:pPr>
        <w:pStyle w:val="Heading2"/>
        <w:spacing w:after="140" w:before="280"/>
      </w:pPr>
      <w:r>
        <w:t xml:space="preserve">5.3 "What to read next" pointer</w:t>
      </w:r>
    </w:p>
    <w:p>
      <w:pPr>
        <w:spacing w:after="160"/>
      </w:pPr>
      <w:r>
        <w:t xml:space="preserve">One closing line under the matrix: e.g. "3 RED and 2 AMBER flags — see Section 5 (Compliance &amp; Legal Detail, p.X) and Section 3 (Counterparty, p.Y) before proceeding." This should be generated mechanically from which categories actually triggered a flag, not hand-written.</w:t>
      </w:r>
    </w:p>
    <w:p>
      <w:r>
        <w:br w:type="page"/>
      </w:r>
    </w:p>
    <w:p>
      <w:pPr>
        <w:pStyle w:val="Heading1"/>
        <w:spacing w:after="140" w:before="280"/>
      </w:pPr>
      <w:r>
        <w:t xml:space="preserve">6. Implementation notes (for when you're ready to build this)</w:t>
      </w:r>
    </w:p>
    <w:p>
      <w:pPr>
        <w:spacing w:after="160"/>
      </w:pPr>
      <w:r>
        <w:t xml:space="preserve">Since this pass is recommendation-only, here is what implementing it would actually touch, so scoping a follow-up is easy:</w:t>
      </w:r>
    </w:p>
    <w:p>
      <w:pPr>
        <w:pStyle w:val="ListParagraph"/>
        <w:numPr>
          <w:ilvl w:val="0"/>
          <w:numId w:val="1"/>
        </w:numPr>
        <w:spacing w:after="80"/>
      </w:pPr>
      <w:r>
        <w:t xml:space="preserve">Template (output/company_charters/_inspect/template_xml or the source .docx template): needs a new front page with the snapshot table + red-flag matrix inserted right after the title block, before the current Methodology Note.</w:t>
      </w:r>
    </w:p>
    <w:p>
      <w:pPr>
        <w:pStyle w:val="ListParagraph"/>
        <w:numPr>
          <w:ilvl w:val="0"/>
          <w:numId w:val="1"/>
        </w:numPr>
        <w:spacing w:after="80"/>
      </w:pPr>
      <w:r>
        <w:t xml:space="preserve">company_charter.py — _fill_template(): needs a new _append_overview_section() (or equivalent) that runs first, reads the same facts dict already assembled, and applies the threshold logic in Section 5.2 above to decide each flag's colour. No new external calls — every input already exists by the time _fill_template runs.</w:t>
      </w:r>
    </w:p>
    <w:p>
      <w:pPr>
        <w:pStyle w:val="ListParagraph"/>
        <w:numPr>
          <w:ilvl w:val="0"/>
          <w:numId w:val="1"/>
        </w:numPr>
        <w:spacing w:after="80"/>
      </w:pPr>
      <w:r>
        <w:t xml:space="preserve">company_charter.py — section ordering: the calls to _append_credit_rating_section, _append_ibbi_check_section, _append_company_profile_section and _append_group_companies_section would move to sit right after the corporate-identity section instead of at the end; _append_appeal_judgments_section would move into the compliance/legal section.</w:t>
      </w:r>
    </w:p>
    <w:p>
      <w:pPr>
        <w:pStyle w:val="ListParagraph"/>
        <w:numPr>
          <w:ilvl w:val="0"/>
          <w:numId w:val="1"/>
        </w:numPr>
        <w:spacing w:after="80"/>
      </w:pPr>
      <w:r>
        <w:t xml:space="preserve">Threshold constants (complaint/appeal counts, confidence-score bands) should live as named constants near the top of company_charter.py, not hard-coded inline, so the investment team can tune them without touching logic.</w:t>
      </w:r>
    </w:p>
    <w:p>
      <w:pPr>
        <w:pStyle w:val="ListParagraph"/>
        <w:numPr>
          <w:ilvl w:val="0"/>
          <w:numId w:val="1"/>
        </w:numPr>
        <w:spacing w:after="80"/>
      </w:pPr>
      <w:r>
        <w:t xml:space="preserve">Nothing in main.py, deep_research.py, resolver.py, api_client.py or app.py needs to change — this is purely a company_charter.py + template restructuring.</w:t>
      </w:r>
    </w:p>
    <w:p>
      <w:pPr>
        <w:pStyle w:val="Heading1"/>
        <w:spacing w:after="140" w:before="280"/>
      </w:pPr>
      <w:r>
        <w:t xml:space="preserve">7. Decisions locked in for this scope</w:t>
      </w:r>
    </w:p>
    <w:p>
      <w:pPr>
        <w:pStyle w:val="ListParagraph"/>
        <w:numPr>
          <w:ilvl w:val="0"/>
          <w:numId w:val="1"/>
        </w:numPr>
        <w:spacing w:after="80"/>
      </w:pPr>
      <w:r>
        <w:t xml:space="preserve">Complaint/appeal counts are tracked at two separate levels: the PROJECT this Charter is for (drives the flag colour, using the fixed thresholds in Section 5.2) and the PROMOTER's portfolio-wide total (shown as reference text only, no colour — see the italicised note in Section 5.2 for why a raw aggregate isn't given its own severity).</w:t>
      </w:r>
    </w:p>
    <w:p>
      <w:pPr>
        <w:pStyle w:val="ListParagraph"/>
        <w:numPr>
          <w:ilvl w:val="0"/>
          <w:numId w:val="1"/>
        </w:numPr>
        <w:spacing w:after="80"/>
      </w:pPr>
      <w:r>
        <w:t xml:space="preserve">Thresholds are fixed numbers, not scaled to promoter portfolio size, for this first version.</w:t>
      </w:r>
    </w:p>
    <w:p>
      <w:pPr>
        <w:spacing w:after="160"/>
      </w:pPr>
      <w:r>
        <w:t xml:space="preserve">Next step, whenever you're ready: turn this memo into an implementation ticket against company_charter.py + the template, using Section 6 above as the scope.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2026-07-27T06:26:46.925Z</dcterms:created>
  <dcterms:modified xsi:type="dcterms:W3CDTF">2026-07-27T06:26:46.926Z</dcterms:modified>
</cp:coreProperties>
</file>

<file path=docProps/custom.xml><?xml version="1.0" encoding="utf-8"?>
<Properties xmlns="http://schemas.openxmlformats.org/officeDocument/2006/custom-properties" xmlns:vt="http://schemas.openxmlformats.org/officeDocument/2006/docPropsVTypes"/>
</file>