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v3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what new pages/documents should be added, and how flags should be classified — so an investment team member can open a document, understand the deal and its red flags within a minute, and only then read the supporting detail. Nothing in the current pipeline needs to change for this memo to exist — the goal is to get sign-off on the target design first, then implement it as a follow-up.</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sits, and how bluntly it's labelled.</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 Developer Scoring page.</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Data Authenticity page,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the 3-tier flag matrix (Section 6)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Standing &amp; Developer Scoring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Group Companies (currently appended at the end), plus the NEW Developer Scoring page (Section 7)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promoted into the Overview's 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Data Authenticity (refined 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refined per Section 8 — its headline band is pulled forward into the Overview too, since "how much should I trust this document" is itself a flag, not an afterthought.</w:t>
            </w:r>
          </w:p>
        </w:tc>
      </w:tr>
    </w:tbl>
    <w:p>
      <w:r>
        <w:br w:type="page"/>
      </w:r>
    </w:p>
    <w:p>
      <w:pPr>
        <w:pStyle w:val="Heading1"/>
        <w:spacing w:after="140" w:before="280"/>
      </w:pPr>
      <w:r>
        <w:t xml:space="preserve">5. Flag taxonomy — three tiers, and how they relate to the two documents</w:t>
      </w:r>
    </w:p>
    <w:p>
      <w:pPr>
        <w:spacing w:after="160"/>
      </w:pPr>
      <w:r>
        <w:t xml:space="preserve">Not every red flag is the same kind of problem, and treating them all as one undifferentiated "red flag" list (as a simple amber/red scheme would) hides that difference. Three tiers, matching how the investment team actually needs to act on each:</w:t>
      </w:r>
    </w:p>
    <w:p>
      <w:pPr>
        <w:spacing w:after="160"/>
      </w:pPr>
      <w:r>
        <w:rPr>
          <w:b/>
          <w:bCs/>
        </w:rPr>
        <w:t xml:space="preserve">Imminent Red Flag — deal-blocking, needs action now.</w:t>
      </w:r>
    </w:p>
    <w:p>
      <w:pPr>
        <w:spacing w:after="160"/>
      </w:pPr>
      <w:r>
        <w:t xml:space="preserve">A fact severe enough, on its own, to justify pausing or escalating before doing anything else — insolvency proceedings, a project that can't even be verified as RERA-registered, unresolved land-title litigation, a credit rating downgrade, or a complaint/appeal count so high it's already a live, material problem (not a future risk). These get RED in the Overview.</w:t>
      </w:r>
    </w:p>
    <w:p>
      <w:pPr>
        <w:spacing w:after="160"/>
      </w:pPr>
      <w:r>
        <w:rPr>
          <w:b/>
          <w:bCs/>
        </w:rPr>
        <w:t xml:space="preserve">Structural Flag — a standing characteristic, not a one-off event.</w:t>
      </w:r>
    </w:p>
    <w:p>
      <w:pPr>
        <w:spacing w:after="160"/>
      </w:pPr>
      <w:r>
        <w:t xml:space="preserve">Something that's true about this promoter or project as a matter of fact, doesn't change on its own over time, and isn't blocking by itself — but should shape how the deal is priced, structured, or covenanted. No credit rating ever found, no CIN/LLPIN locatable in any public registry, the standing partnership-split/net-worth gap that is permanently non-public, or a promoter's portfolio-wide complaint total shown for context. These get their own distinct marker in the Overview — not red, not simply ignored.</w:t>
      </w:r>
    </w:p>
    <w:p>
      <w:pPr>
        <w:spacing w:after="160"/>
      </w:pPr>
      <w:r>
        <w:rPr>
          <w:b/>
          <w:bCs/>
        </w:rPr>
        <w:t xml:space="preserve">Monitor Flag — tied to a date or a trend, needs re-checking.</w:t>
      </w:r>
    </w:p>
    <w:p>
      <w:pPr>
        <w:spacing w:after="160"/>
      </w:pPr>
      <w:r>
        <w:t xml:space="preserve">Not a problem today, but something that could become one, or that is scheduled to resolve/renew/mature at a known or estimable point — an appeal awaiting a hearing date, a RERA completion deadline approaching, a mortgage due for renewal, or a complaint/appeal count sitting below the Imminent threshold but trending up. These get AMBER in the Overview, and are exactly the list the Deal Charter (Section 9) re-checks before cashflow moves.</w:t>
      </w:r>
    </w:p>
    <w:p>
      <w:pPr>
        <w:spacing w:after="160"/>
      </w:pPr>
      <w:r>
        <w:rPr>
          <w:b/>
          <w:bCs/>
        </w:rPr>
        <w:t xml:space="preserve">The same underlying fact can change tier depending on which document is reading it and when. "No credit rating ever found" is Structural at the Company Charter (research/screening) stage — informative, but not itself a reason to stop researching. If it's still true, unresolved, at the point the Deal Charter is generated — i.e. money is about to move — the same fact should read as Imminent, because now there's nothing left to research; there's only a decision to make with money on the table. This is the honest answer to "how do we separate flags from imminent flags": tier is a function of (severity of the fact) × (how close you are to committing cashflow against it), not of the fact alone.</w:t>
      </w:r>
    </w:p>
    <w:p>
      <w:r>
        <w:br w:type="page"/>
      </w:r>
    </w:p>
    <w:p>
      <w:pPr>
        <w:pStyle w:val="Heading1"/>
        <w:spacing w:after="140" w:before="280"/>
      </w:pPr>
      <w:r>
        <w:t xml:space="preserve">6. Overview &amp; Flags — page design</w:t>
      </w:r>
    </w:p>
    <w:p>
      <w:pPr>
        <w:spacing w:after="160"/>
      </w:pPr>
      <w:r>
        <w:t xml:space="preserve">One page, at the very front of the Company Charter. Every line computed from data the pipeline already produces — no new scraping required.</w:t>
      </w:r>
    </w:p>
    <w:p>
      <w:pPr>
        <w:pStyle w:val="Heading2"/>
        <w:spacing w:after="140" w:before="280"/>
      </w:pPr>
      <w:r>
        <w:t xml:space="preserve">6.1 Deal snapshot (top of page)</w:t>
      </w:r>
    </w:p>
    <w:p>
      <w:pPr>
        <w:spacing w:after="160"/>
      </w:pPr>
      <w:r>
        <w:t xml:space="preserve">A compact table: Project name, Promoter/Entity, MahaRERA registration number, Project status, Location, Developer Scoring grade (Section 7), Data Authenticity band (Section 8). All fields already exist in facts — this is pure re-arrangement plus the two new pages' headline outputs.</w:t>
      </w:r>
    </w:p>
    <w:p>
      <w:pPr>
        <w:pStyle w:val="Heading2"/>
        <w:spacing w:after="140" w:before="280"/>
      </w:pPr>
      <w:r>
        <w:t xml:space="preserve">6.2 Flag matrix — mapped to the three tiers</w:t>
      </w:r>
    </w:p>
    <w:p>
      <w:pPr>
        <w:spacing w:after="160"/>
      </w:pPr>
      <w:r>
        <w:t xml:space="preserve">Same four categories as before, now tagged by tier instead of a flat amber/red scale.</w:t>
      </w:r>
    </w:p>
    <w:p>
      <w:pPr>
        <w:spacing w:after="160"/>
      </w:pPr>
      <w:r>
        <w:rPr>
          <w:b/>
          <w:bCs/>
        </w:rPr>
        <w:t xml:space="preserve">A. Identity / registration</w:t>
      </w:r>
    </w:p>
    <w:p>
      <w:pPr>
        <w:pStyle w:val="ListParagraph"/>
        <w:numPr>
          <w:ilvl w:val="0"/>
          <w:numId w:val="1"/>
        </w:numPr>
        <w:spacing w:after="80"/>
      </w:pPr>
      <w:r>
        <w:t xml:space="preserve">No MahaRERA registration number resolvable → IMMINENT RED FLAG. Field: rera_core_fields.registration_number.</w:t>
      </w:r>
    </w:p>
    <w:p>
      <w:pPr>
        <w:pStyle w:val="ListParagraph"/>
        <w:numPr>
          <w:ilvl w:val="0"/>
          <w:numId w:val="1"/>
        </w:numPr>
        <w:spacing w:after="80"/>
      </w:pPr>
      <w:r>
        <w:t xml:space="preserve">No CTS/survey/plot number confirmed → IMMINENT RED FLAG if it blocks land verification entirely, else STRUCTURAL FLAG. Field: land_identification.survey_cts_plot_numbers.</w:t>
      </w:r>
    </w:p>
    <w:p>
      <w:pPr>
        <w:pStyle w:val="ListParagraph"/>
        <w:numPr>
          <w:ilvl w:val="0"/>
          <w:numId w:val="1"/>
        </w:numPr>
        <w:spacing w:after="80"/>
      </w:pPr>
      <w:r>
        <w:t xml:space="preserve">No CIN/LLPIN found in any public registry mirror → STRUCTURAL FLAG at Company Charter stage; escalates to IMMINENT if still unresolved at Deal Charter stage. Field: corporate_identity.cin_llpin, company_profile_check.found.</w:t>
      </w:r>
    </w:p>
    <w:p>
      <w:pPr>
        <w:pStyle w:val="ListParagraph"/>
        <w:numPr>
          <w:ilvl w:val="0"/>
          <w:numId w:val="1"/>
        </w:numPr>
        <w:spacing w:after="80"/>
      </w:pPr>
      <w:r>
        <w:t xml:space="preserve">Promoter/RERA record name mismatch vs. the MCA/ZaubaCorp mirror → STRUCTURAL FLAG. Field: corporate_registry_cross_check.</w:t>
      </w:r>
    </w:p>
    <w:p>
      <w:pPr>
        <w:spacing w:after="160"/>
      </w:pPr>
      <w:r>
        <w:rPr>
          <w:b/>
          <w:bCs/>
        </w:rPr>
        <w:t xml:space="preserve">B. Legal / regulatory</w:t>
      </w:r>
    </w:p>
    <w:p>
      <w:pPr>
        <w:pStyle w:val="ListParagraph"/>
        <w:numPr>
          <w:ilvl w:val="0"/>
          <w:numId w:val="1"/>
        </w:numPr>
        <w:spacing w:after="80"/>
      </w:pPr>
      <w:r>
        <w:t xml:space="preserve">IBBI insolvency proceeding found against the promoter → IMMINENT RED FLAG, always, at any stage. Field: ibbi_insolvency_check.found_process.</w:t>
      </w:r>
    </w:p>
    <w:p>
      <w:pPr>
        <w:pStyle w:val="ListParagraph"/>
        <w:numPr>
          <w:ilvl w:val="0"/>
          <w:numId w:val="1"/>
        </w:numPr>
        <w:spacing w:after="80"/>
      </w:pPr>
      <w:r>
        <w:t xml:space="preserve">THIS PROJECT's complaint count: &gt;40 → IMMINENT RED FLAG; 15–40 → MONITOR FLAG (re-check on next run / at Deal Charter stage). Field: complaint_outcomes_summary, scoped to this reg. no.</w:t>
      </w:r>
    </w:p>
    <w:p>
      <w:pPr>
        <w:pStyle w:val="ListParagraph"/>
        <w:numPr>
          <w:ilvl w:val="0"/>
          <w:numId w:val="1"/>
        </w:numPr>
        <w:spacing w:after="80"/>
      </w:pPr>
      <w:r>
        <w:t xml:space="preserve">THIS PROJECT's appeal count: &gt;15 → IMMINENT RED FLAG; 5–15 → MONITOR FLAG; any appeal with a pending hearing date → MONITOR FLAG by definition. Field: appeal_judgments_found, litigation_status.</w:t>
      </w:r>
    </w:p>
    <w:p>
      <w:pPr>
        <w:pStyle w:val="ListParagraph"/>
        <w:numPr>
          <w:ilvl w:val="0"/>
          <w:numId w:val="1"/>
        </w:numPr>
        <w:spacing w:after="80"/>
      </w:pPr>
      <w:r>
        <w:t xml:space="preserve">PROMOTER portfolio-wide complaint/appeal total (aggregated across every project tied to the same promoter) → STRUCTURAL FLAG, shown as plain reference text, no colour — see the note below on why it is never itself coloured.</w:t>
      </w:r>
    </w:p>
    <w:p>
      <w:pPr>
        <w:pStyle w:val="ListParagraph"/>
        <w:numPr>
          <w:ilvl w:val="0"/>
          <w:numId w:val="1"/>
        </w:numPr>
        <w:spacing w:after="80"/>
      </w:pPr>
      <w:r>
        <w:t xml:space="preserve">Unresolved land-title litigation → IMMINENT RED FLAG; a due-diligence report affirmatively clearing it → no flag. Field: litigation_status.</w:t>
      </w:r>
    </w:p>
    <w:p>
      <w:pPr>
        <w:pStyle w:val="ListParagraph"/>
        <w:numPr>
          <w:ilvl w:val="0"/>
          <w:numId w:val="1"/>
        </w:numPr>
        <w:spacing w:after="80"/>
      </w:pPr>
      <w:r>
        <w:t xml:space="preserve">Project status "Lapsed"/"Revoked" → IMMINENT RED FLAG; extended past original completion date without revocation → MONITOR FLAG. Field: rera_core_fields.project_status.</w:t>
      </w:r>
    </w:p>
    <w:p>
      <w:pPr>
        <w:spacing w:after="160"/>
      </w:pPr>
      <w:r>
        <w:rPr>
          <w:i/>
          <w:iCs/>
        </w:rPr>
        <w:t xml:space="preserve">Why the promoter total is Structural, never coloured on its own: a raw aggregate scales with how many projects and years the promoter has operated — a developer with 25 live projects will rack up more absolute complaints than one with 3, independent of actual quality. Colour-coding it would flag every large, prolific developer red and every small one green regardless of real quality — noise, not signal. It's shown because a reviewer should still see it; only the project-specific count decides colour. A normalized version (complaints per registered project, or a trend) would be the honest way to eventually give it its own severity — not built now.</w:t>
      </w:r>
    </w:p>
    <w:p>
      <w:pPr>
        <w:spacing w:after="160"/>
      </w:pPr>
      <w:r>
        <w:rPr>
          <w:b/>
          <w:bCs/>
        </w:rPr>
        <w:t xml:space="preserve">C. Financial / credit</w:t>
      </w:r>
    </w:p>
    <w:p>
      <w:pPr>
        <w:pStyle w:val="ListParagraph"/>
        <w:numPr>
          <w:ilvl w:val="0"/>
          <w:numId w:val="1"/>
        </w:numPr>
        <w:spacing w:after="80"/>
      </w:pPr>
      <w:r>
        <w:t xml:space="preserve">No credit rating ever found from either agency checked → STRUCTURAL FLAG at Company Charter stage; escalates to IMMINENT if still unresolved at Deal Charter stage. Field: credit_rating_check.</w:t>
      </w:r>
    </w:p>
    <w:p>
      <w:pPr>
        <w:pStyle w:val="ListParagraph"/>
        <w:numPr>
          <w:ilvl w:val="0"/>
          <w:numId w:val="1"/>
        </w:numPr>
        <w:spacing w:after="80"/>
      </w:pPr>
      <w:r>
        <w:t xml:space="preserve">Credit rating found but below investment grade, or downgraded since a prior run → IMMINENT RED FLAG. Field: credit_rating_check.promoter.ratings[].</w:t>
      </w:r>
    </w:p>
    <w:p>
      <w:pPr>
        <w:pStyle w:val="ListParagraph"/>
        <w:numPr>
          <w:ilvl w:val="0"/>
          <w:numId w:val="1"/>
        </w:numPr>
        <w:spacing w:after="80"/>
      </w:pPr>
      <w:r>
        <w:t xml:space="preserve">Mortgage lender changed since the last Charter run → MONITOR FLAG by default; escalates to IMMINENT if the new lender itself carries other flags (e.g. a distressed-lending NBFC) or if confirmed at the Deal Charter stage. Field: mortgage_lender_history_note.</w:t>
      </w:r>
    </w:p>
    <w:p>
      <w:pPr>
        <w:pStyle w:val="ListParagraph"/>
        <w:numPr>
          <w:ilvl w:val="0"/>
          <w:numId w:val="1"/>
        </w:numPr>
        <w:spacing w:after="80"/>
      </w:pPr>
      <w:r>
        <w:t xml:space="preserve">Escrow/collection-account disclosure not confirmed from any document opened → STRUCTURAL FLAG at Company Charter stage (a research gap); IMMINENT RED FLAG at Deal Charter stage, since by disbursement time this account must be verifiable and live. Field: rera_compliance.collection_account / gaps.</w:t>
      </w:r>
    </w:p>
    <w:p>
      <w:pPr>
        <w:spacing w:after="160"/>
      </w:pPr>
      <w:r>
        <w:rPr>
          <w:b/>
          <w:bCs/>
        </w:rPr>
        <w:t xml:space="preserve">D. Data-confidence</w:t>
      </w:r>
    </w:p>
    <w:p>
      <w:pPr>
        <w:pStyle w:val="ListParagraph"/>
        <w:numPr>
          <w:ilvl w:val="0"/>
          <w:numId w:val="1"/>
        </w:numPr>
        <w:spacing w:after="80"/>
      </w:pPr>
      <w:r>
        <w:t xml:space="preserve">Data Authenticity band below "High" (Section 8) → STRUCTURAL FLAG if driven by inherent source scarcity for this project; MONITOR FLAG if driven by claims that could plausibly be re-verified on a future pass. Field: documentation_confidence_score (renamed/refined, see Section 8).</w:t>
      </w:r>
    </w:p>
    <w:p>
      <w:pPr>
        <w:pStyle w:val="ListParagraph"/>
        <w:numPr>
          <w:ilvl w:val="0"/>
          <w:numId w:val="1"/>
        </w:numPr>
        <w:spacing w:after="80"/>
      </w:pPr>
      <w:r>
        <w:t xml:space="preserve">Any material claim single-sourced with a failed second-source attempt → MONITOR FLAG (worth another verification attempt next run). Field: _verification_stats / cross-corroboration output.</w:t>
      </w:r>
    </w:p>
    <w:p>
      <w:pPr>
        <w:pStyle w:val="ListParagraph"/>
        <w:numPr>
          <w:ilvl w:val="0"/>
          <w:numId w:val="1"/>
        </w:numPr>
        <w:spacing w:after="80"/>
      </w:pPr>
      <w:r>
        <w:t xml:space="preserve">FSI, area, or unit-count figures left in the Gaps list → IMMINENT RED FLAG — these are usually the exact numbers an investment case is built on, so an unconfirmed figure here is a today problem, not a someday one. Field: gaps, cross-referenced against fsi_metrics.</w:t>
      </w:r>
    </w:p>
    <w:p>
      <w:pPr>
        <w:pStyle w:val="Heading2"/>
        <w:spacing w:after="140" w:before="280"/>
      </w:pPr>
      <w:r>
        <w:t xml:space="preserve">6.3 "What to read next" pointer</w:t>
      </w:r>
    </w:p>
    <w:p>
      <w:pPr>
        <w:spacing w:after="160"/>
      </w:pPr>
      <w:r>
        <w:t xml:space="preserve">One closing line, generated mechanically from which flags actually triggered: e.g. "2 Imminent Red Flags, 1 Structural Flag, 3 Monitor Flags — see Section 5 (Compliance &amp; Legal Detail) before proceeding; re-run as a Deal Charter before any disbursement."</w:t>
      </w:r>
    </w:p>
    <w:p>
      <w:r>
        <w:br w:type="page"/>
      </w:r>
    </w:p>
    <w:p>
      <w:pPr>
        <w:pStyle w:val="Heading1"/>
        <w:spacing w:after="140" w:before="280"/>
      </w:pPr>
      <w:r>
        <w:t xml:space="preserve">7. Developer Scoring page (NEW)</w:t>
      </w:r>
    </w:p>
    <w:p>
      <w:pPr>
        <w:spacing w:after="160"/>
      </w:pPr>
      <w:r>
        <w:t xml:space="preserve">A single composite grade for the PROMOTER — not the project. Sits in the Counterparty section (Section 4 of Section 3's table), right after Corporate Identity &amp; Standing.</w:t>
      </w:r>
    </w:p>
    <w:p>
      <w:pPr>
        <w:pStyle w:val="Heading2"/>
        <w:spacing w:after="140" w:before="280"/>
      </w:pPr>
      <w:r>
        <w:t xml:space="preserve">7.1 What it scores and how it's weighted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c>
          <w:tcPr>
            <w:tcW w:type="dxa" w:w="26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200"/>
            <w:shd w:fill="D9E2F3" w:val="clear"/>
            <w:tcMar>
              <w:top w:type="dxa" w:w="60"/>
              <w:left w:type="dxa" w:w="100"/>
              <w:bottom w:type="dxa" w:w="60"/>
              <w:right w:type="dxa" w:w="100"/>
            </w:tcMar>
            <w:vAlign w:val="center"/>
          </w:tcPr>
          <w:p>
            <w:pPr>
              <w:jc w:val="left"/>
            </w:pPr>
            <w:r>
              <w:rPr>
                <w:b/>
                <w:bCs/>
                <w:sz w:val="20"/>
                <w:szCs w:val="20"/>
              </w:rPr>
              <w:t xml:space="preserve">Weight</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Inputs (already computed)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Financial Strength</w:t>
            </w:r>
          </w:p>
        </w:tc>
        <w:tc>
          <w:tcPr>
            <w:tcW w:type="dxa" w:w="1200"/>
            <w:tcMar>
              <w:top w:type="dxa" w:w="60"/>
              <w:left w:type="dxa" w:w="100"/>
              <w:bottom w:type="dxa" w:w="60"/>
              <w:right w:type="dxa" w:w="100"/>
            </w:tcMar>
            <w:vAlign w:val="center"/>
          </w:tcPr>
          <w:p>
            <w:pPr>
              <w:jc w:val="left"/>
            </w:pPr>
            <w:r>
              <w:rPr>
                <w:b w:val="false"/>
                <w:bCs w:val="false"/>
                <w:sz w:val="20"/>
                <w:szCs w:val="20"/>
              </w:rPr>
              <w:t xml:space="preserve">40%</w:t>
            </w:r>
          </w:p>
        </w:tc>
        <w:tc>
          <w:tcPr>
            <w:tcW w:type="dxa" w:w="5550"/>
            <w:tcMar>
              <w:top w:type="dxa" w:w="60"/>
              <w:left w:type="dxa" w:w="100"/>
              <w:bottom w:type="dxa" w:w="60"/>
              <w:right w:type="dxa" w:w="100"/>
            </w:tcMar>
            <w:vAlign w:val="center"/>
          </w:tcPr>
          <w:p>
            <w:pPr>
              <w:jc w:val="left"/>
            </w:pPr>
            <w:r>
              <w:rPr>
                <w:b w:val="false"/>
                <w:bCs w:val="false"/>
                <w:sz w:val="20"/>
                <w:szCs w:val="20"/>
              </w:rPr>
              <w:t xml:space="preserve">Credit rating tier from credit_rating_check (mapped to 0–100); IBBI insolvency status as a hard override — any open proceeding caps this pillar at ~10 regardless of rating; mortgage/lender stability from mortgage_lender_history_note.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Legal &amp; Compliance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30%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This project's litigation/complaint/appeal status, RERA compliance completeness (escrow/quarterly disclosure), and project status flag.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Delivery Track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20%</w:t>
            </w:r>
          </w:p>
        </w:tc>
        <w:tc>
          <w:tcPr>
            <w:tcW w:type="dxa" w:w="5550"/>
            <w:tcMar>
              <w:top w:type="dxa" w:w="60"/>
              <w:left w:type="dxa" w:w="100"/>
              <w:bottom w:type="dxa" w:w="60"/>
              <w:right w:type="dxa" w:w="100"/>
            </w:tcMar>
            <w:vAlign w:val="center"/>
          </w:tcPr>
          <w:p>
            <w:pPr>
              <w:jc w:val="left"/>
            </w:pPr>
            <w:r>
              <w:rPr>
                <w:b w:val="false"/>
                <w:bCs w:val="false"/>
                <w:sz w:val="20"/>
                <w:szCs w:val="20"/>
              </w:rPr>
              <w:t xml:space="preserve">From the promoter's RERA-native portfolio (main.py's Promoter Profile step) — proposed vs. actual completion dates across every project tied to the same promoter, i.e. how often they deliver on time.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Data Confidence</w:t>
            </w:r>
          </w:p>
        </w:tc>
        <w:tc>
          <w:tcPr>
            <w:tcW w:type="dxa" w:w="1200"/>
            <w:tcMar>
              <w:top w:type="dxa" w:w="60"/>
              <w:left w:type="dxa" w:w="100"/>
              <w:bottom w:type="dxa" w:w="60"/>
              <w:right w:type="dxa" w:w="100"/>
            </w:tcMar>
            <w:vAlign w:val="center"/>
          </w:tcPr>
          <w:p>
            <w:pPr>
              <w:jc w:val="left"/>
            </w:pPr>
            <w:r>
              <w:rPr>
                <w:b w:val="false"/>
                <w:bCs w:val="false"/>
                <w:sz w:val="20"/>
                <w:szCs w:val="20"/>
              </w:rPr>
              <w:t xml:space="preserve">10%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The refined Data Authenticity score (Section 8) for this Charter — a promoter we can't verify well is itself informative, even at a small weight.</w:t>
            </w:r>
          </w:p>
        </w:tc>
      </w:tr>
    </w:tbl>
    <w:p>
      <w:pPr>
        <w:pStyle w:val="Heading2"/>
        <w:spacing w:after="140" w:before="280"/>
      </w:pPr>
      <w:r>
        <w:t xml:space="preserve">7.2 Grade bands and the hard override</w:t>
      </w:r>
    </w:p>
    <w:p>
      <w:pPr>
        <w:spacing w:after="160"/>
      </w:pPr>
      <w:r>
        <w:t xml:space="preserve">Composite 85–100 → A (Strong). 70–84 → B (Adequate). 50–69 → C (Weak). Below 50 → D (High Risk). But the composite math never gets the final say: if any Imminent Red Flag (Section 6) is present anywhere in the Charter, the grade is capped at C regardless of what the weighted average says — no combination of a good credit rating and a clean delivery record should be able to paper over an active insolvency proceeding or unresolved title litigation.</w:t>
      </w:r>
    </w:p>
    <w:p>
      <w:pPr>
        <w:pStyle w:val="Heading2"/>
        <w:spacing w:after="140" w:before="280"/>
      </w:pPr>
      <w:r>
        <w:t xml:space="preserve">7.3 Why the four pillar scores are still shown, even with one composite grade</w:t>
      </w:r>
    </w:p>
    <w:p>
      <w:pPr>
        <w:spacing w:after="160"/>
      </w:pPr>
      <w:r>
        <w:t xml:space="preserve">You asked for one composite score, and this page delivers one. But a single number can hide which specific dimension is weak — a promoter can score a B overall while being genuinely poor on Legal &amp; Compliance and merely average elsewhere, and a reader who only sees "B" won't know that. So the four pillar sub-scores are printed directly underneath the composite grade on the same page, not buried elsewhere — the grade is the headline, the four numbers are the one-glance explanation of what's driving it.</w:t>
      </w:r>
    </w:p>
    <w:p>
      <w:r>
        <w:br w:type="page"/>
      </w:r>
    </w:p>
    <w:p>
      <w:pPr>
        <w:pStyle w:val="Heading1"/>
        <w:spacing w:after="140" w:before="280"/>
      </w:pPr>
      <w:r>
        <w:t xml:space="preserve">8. Data Authenticity page — refining the Documentation Confidence Score</w:t>
      </w:r>
    </w:p>
    <w:p>
      <w:pPr>
        <w:spacing w:after="160"/>
      </w:pPr>
      <w:r>
        <w:t xml:space="preserve">This is the existing Documentation Confidence Score (_compute_documentation_confidence_score in company_charter.py), kept as the same idea, but reworked so its number is something an investment reviewer can actually trust and act on — not just a green/amber/red label.</w:t>
      </w:r>
    </w:p>
    <w:p>
      <w:pPr>
        <w:pStyle w:val="Heading2"/>
        <w:spacing w:after="140" w:before="280"/>
      </w:pPr>
      <w:r>
        <w:t xml:space="preserve">8.1 What's wrong with today's version</w:t>
      </w:r>
    </w:p>
    <w:p>
      <w:pPr>
        <w:pStyle w:val="ListParagraph"/>
        <w:numPr>
          <w:ilvl w:val="0"/>
          <w:numId w:val="1"/>
        </w:numPr>
        <w:spacing w:after="80"/>
      </w:pPr>
      <w:r>
        <w:t xml:space="preserve">Weighting is backwards for a trust score: today, 50% of the score (source_tier_quality 30% + primary_tier_density 20%) is about WHICH KIND of source was cited, while actual re-verification of a claim (verification_rate) is only 5%. For a document whose whole purpose is "can I trust this," confirming a claim is true should count for more than citing a well-regarded source that was never itself re-checked.</w:t>
      </w:r>
    </w:p>
    <w:p>
      <w:pPr>
        <w:pStyle w:val="ListParagraph"/>
        <w:numPr>
          <w:ilvl w:val="0"/>
          <w:numId w:val="1"/>
        </w:numPr>
        <w:spacing w:after="80"/>
      </w:pPr>
      <w:r>
        <w:t xml:space="preserve">Silent renormalization can hide the exact case you'd most want flagged: if zero claims were independently checkable this pass, verification_rate is dropped from the formula entirely and its weight redistributed to the other five criteria — meaning a document that verified nothing can score exactly as high as one that verified everything, purely because "nothing was checkable." That should read as a warning, not a neutral non-event.</w:t>
      </w:r>
    </w:p>
    <w:p>
      <w:pPr>
        <w:pStyle w:val="ListParagraph"/>
        <w:numPr>
          <w:ilvl w:val="0"/>
          <w:numId w:val="1"/>
        </w:numPr>
        <w:spacing w:after="80"/>
      </w:pPr>
      <w:r>
        <w:t xml:space="preserve">The distinction "this scores the document, not the project" exists only as a code comment today — it never reaches the actual rendered page, so a reader can easily mistake a "High" confidence band for "this is a safe project," when it only means "this document's claims are well-sourced."</w:t>
      </w:r>
    </w:p>
    <w:p>
      <w:pPr>
        <w:pStyle w:val="ListParagraph"/>
        <w:numPr>
          <w:ilvl w:val="0"/>
          <w:numId w:val="1"/>
        </w:numPr>
        <w:spacing w:after="80"/>
      </w:pPr>
      <w:r>
        <w:t xml:space="preserve">Recency is one-size-fits-all (an 18-month window for every source): an 18-month-old credit rating is far less concerning than 18-month-old litigation or complaint data, which can materially change within weeks.</w:t>
      </w:r>
    </w:p>
    <w:p>
      <w:pPr>
        <w:pStyle w:val="ListParagraph"/>
        <w:numPr>
          <w:ilvl w:val="0"/>
          <w:numId w:val="1"/>
        </w:numPr>
        <w:spacing w:after="80"/>
      </w:pPr>
      <w:r>
        <w:t xml:space="preserve">There is no criterion at all for whether the FSI, area, and unit-count figures — the numbers an investment case is actually built on — were confirmed from a primary document versus left as a Gap. That risk is currently invisible inside the generic "completeness_rate" number.</w:t>
      </w:r>
    </w:p>
    <w:p>
      <w:pPr>
        <w:pStyle w:val="Heading2"/>
        <w:spacing w:after="140" w:before="280"/>
      </w:pPr>
      <w:r>
        <w:t xml:space="preserve">8.2 Proposed refinement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50"/>
      </w:tblGrid>
      <w:tr>
        <w:tc>
          <w:tcPr>
            <w:tcW w:type="dxa" w:w="36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Weight (was)</w:t>
            </w:r>
          </w:p>
        </w:tc>
        <w:tc>
          <w:tcPr>
            <w:tcW w:type="dxa" w:w="4350"/>
            <w:shd w:fill="D9E2F3" w:val="clear"/>
            <w:tcMar>
              <w:top w:type="dxa" w:w="60"/>
              <w:left w:type="dxa" w:w="100"/>
              <w:bottom w:type="dxa" w:w="60"/>
              <w:right w:type="dxa" w:w="100"/>
            </w:tcMar>
            <w:vAlign w:val="center"/>
          </w:tcPr>
          <w:p>
            <w:pPr>
              <w:jc w:val="left"/>
            </w:pPr>
            <w:r>
              <w:rPr>
                <w:b/>
                <w:bCs/>
                <w:sz w:val="20"/>
                <w:szCs w:val="20"/>
              </w:rPr>
              <w:t xml:space="preserve">Change</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25% (5%)</w:t>
            </w:r>
          </w:p>
        </w:tc>
        <w:tc>
          <w:tcPr>
            <w:tcW w:type="dxa" w:w="4350"/>
            <w:tcMar>
              <w:top w:type="dxa" w:w="60"/>
              <w:left w:type="dxa" w:w="100"/>
              <w:bottom w:type="dxa" w:w="60"/>
              <w:right w:type="dxa" w:w="100"/>
            </w:tcMar>
            <w:vAlign w:val="center"/>
          </w:tcPr>
          <w:p>
            <w:pPr>
              <w:jc w:val="left"/>
            </w:pPr>
            <w:r>
              <w:rPr>
                <w:b w:val="false"/>
                <w:bCs w:val="false"/>
                <w:sz w:val="20"/>
                <w:szCs w:val="20"/>
              </w:rPr>
              <w:t xml:space="preserve">Raised — actual re-confirmation is the strongest trust signal this score can carry.</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 (30%)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 citation quality without re-checking is a weaker signal than the name suggests.</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same reasoning.</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to make room for the new Financial Figures Confirmed criterion below.</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(15%)</w:t>
            </w:r>
          </w:p>
        </w:tc>
        <w:tc>
          <w:tcPr>
            <w:tcW w:type="dxa" w:w="43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Legal/Regulatory</w:t>
            </w:r>
          </w:p>
        </w:tc>
        <w:tc>
          <w:tcPr>
            <w:tcW w:type="dxa" w:w="1400"/>
            <w:tcMar>
              <w:top w:type="dxa" w:w="60"/>
              <w:left w:type="dxa" w:w="100"/>
              <w:bottom w:type="dxa" w:w="60"/>
              <w:right w:type="dxa" w:w="100"/>
            </w:tcMar>
            <w:vAlign w:val="center"/>
          </w:tcPr>
          <w:p>
            <w:pPr>
              <w:jc w:val="left"/>
            </w:pPr>
            <w:r>
              <w:rPr>
                <w:b w:val="false"/>
                <w:bCs w:val="false"/>
                <w:sz w:val="20"/>
                <w:szCs w:val="20"/>
              </w:rPr>
              <w:t xml:space="preserve">5% (new split)</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split-out: a tight 3-month freshness window, since litigation/complaint status can change fast.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Everything Else</w:t>
            </w:r>
          </w:p>
        </w:tc>
        <w:tc>
          <w:tcPr>
            <w:tcW w:type="dxa" w:w="1400"/>
            <w:tcMar>
              <w:top w:type="dxa" w:w="60"/>
              <w:left w:type="dxa" w:w="100"/>
              <w:bottom w:type="dxa" w:w="60"/>
              <w:right w:type="dxa" w:w="100"/>
            </w:tcMar>
            <w:vAlign w:val="center"/>
          </w:tcPr>
          <w:p>
            <w:pPr>
              <w:jc w:val="left"/>
            </w:pPr>
            <w:r>
              <w:rPr>
                <w:b w:val="false"/>
                <w:bCs w:val="false"/>
                <w:sz w:val="20"/>
                <w:szCs w:val="20"/>
              </w:rPr>
              <w:t xml:space="preserve">5% (part of 10%)</w:t>
            </w:r>
          </w:p>
        </w:tc>
        <w:tc>
          <w:tcPr>
            <w:tcW w:type="dxa" w:w="4350"/>
            <w:tcMar>
              <w:top w:type="dxa" w:w="60"/>
              <w:left w:type="dxa" w:w="100"/>
              <w:bottom w:type="dxa" w:w="60"/>
              <w:right w:type="dxa" w:w="100"/>
            </w:tcMar>
            <w:vAlign w:val="center"/>
          </w:tcPr>
          <w:p>
            <w:pPr>
              <w:jc w:val="left"/>
            </w:pPr>
            <w:r>
              <w:rPr>
                <w:b w:val="false"/>
                <w:bCs w:val="false"/>
                <w:sz w:val="20"/>
                <w:szCs w:val="20"/>
              </w:rPr>
              <w:t xml:space="preserve">Keeps the existing 18-month window for slower-moving facts (corporate registration, FSI, etc.).</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Financial Figures Confirmed</w:t>
            </w:r>
          </w:p>
        </w:tc>
        <w:tc>
          <w:tcPr>
            <w:tcW w:type="dxa" w:w="1400"/>
            <w:tcMar>
              <w:top w:type="dxa" w:w="60"/>
              <w:left w:type="dxa" w:w="100"/>
              <w:bottom w:type="dxa" w:w="60"/>
              <w:right w:type="dxa" w:w="100"/>
            </w:tcMar>
            <w:vAlign w:val="center"/>
          </w:tcPr>
          <w:p>
            <w:pPr>
              <w:jc w:val="left"/>
            </w:pPr>
            <w:r>
              <w:rPr>
                <w:b w:val="false"/>
                <w:bCs w:val="false"/>
                <w:sz w:val="20"/>
                <w:szCs w:val="20"/>
              </w:rPr>
              <w:t xml:space="preserve">NEW</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criterion: % of {FSI, land/built-up area, unit counts, pricing} confirmed from a primary document rather than left in Gaps — the numbers the investment case is actually built on, scored on their own instead of folded into generic completeness.</w:t>
            </w:r>
          </w:p>
        </w:tc>
      </w:tr>
    </w:tbl>
    <w:p>
      <w:pPr>
        <w:pStyle w:val="ListParagraph"/>
        <w:numPr>
          <w:ilvl w:val="0"/>
          <w:numId w:val="1"/>
        </w:numPr>
        <w:spacing w:after="80"/>
      </w:pPr>
      <w:r>
        <w:t xml:space="preserve">Zero-attempted-verification safeguard: if verification_rate has 0 attempted claims, do not renormalize it away silently — instead cap the overall band at "Moderate" at most, and print an explicit line: "0 claims were independently re-checked in this pass."</w:t>
      </w:r>
    </w:p>
    <w:p>
      <w:pPr>
        <w:pStyle w:val="ListParagraph"/>
        <w:numPr>
          <w:ilvl w:val="0"/>
          <w:numId w:val="1"/>
        </w:numPr>
        <w:spacing w:after="80"/>
      </w:pPr>
      <w:r>
        <w:t xml:space="preserve">Prominent relabelling: the page header states, in the same size text as the score itself, "This scores how well-sourced THIS DOCUMENT is — not how safe the underlying project is. See the Developer Scoring and Overview pages for project/promoter risk."</w:t>
      </w:r>
    </w:p>
    <w:p>
      <w:pPr>
        <w:pStyle w:val="ListParagraph"/>
        <w:numPr>
          <w:ilvl w:val="0"/>
          <w:numId w:val="1"/>
        </w:numPr>
        <w:spacing w:after="80"/>
      </w:pPr>
      <w:r>
        <w:t xml:space="preserve">Band thresholds (proposed unchanged at 80/50) are printed on the page itself as "this pipeline's own calibration, not an external or regulatory standard" — already true in the code's comments, just not yet visible to the reader.</w:t>
      </w:r>
    </w:p>
    <w:p>
      <w:r>
        <w:br w:type="page"/>
      </w:r>
    </w:p>
    <w:p>
      <w:pPr>
        <w:pStyle w:val="Heading1"/>
        <w:spacing w:after="140" w:before="280"/>
      </w:pPr>
      <w:r>
        <w:t xml:space="preserve">9. Deal Charter — a separate document for the cashflow/disbursement stage (NEW)</w:t>
      </w:r>
    </w:p>
    <w:p>
      <w:pPr>
        <w:spacing w:after="160"/>
      </w:pPr>
      <w:r>
        <w:t xml:space="preserve">The Company Charter is a research/screening document: it answers "should we keep looking at this deal." The Deal Charter is a different document, generated later, at the point money is actually being structured to move — it answers "is there anything that changed, or was never resolved, that should stop this specific disbursement."</w:t>
      </w:r>
    </w:p>
    <w:p>
      <w:pPr>
        <w:pStyle w:val="Heading2"/>
        <w:spacing w:after="140" w:before="280"/>
      </w:pPr>
      <w:r>
        <w:t xml:space="preserve">9.1 What it reuses vs. what's new</w:t>
      </w:r>
    </w:p>
    <w:p>
      <w:pPr>
        <w:spacing w:after="160"/>
      </w:pPr>
      <w:r>
        <w:t xml:space="preserve">It reuses every check already built in company_charter.py — credit rating, IBBI insolvency, ZaubaCorp company profile, appeal-judgment search — just re-invoked at a later point in time and diffed against the stored facts.json from the last Charter run for the same reg. no. (the mortgage-lender-change logic already in the codebase, run_archive.py + _diff_mortgage_lender, is the existing precedent for exactly this kind of diff).</w:t>
      </w:r>
    </w:p>
    <w:p>
      <w:pPr>
        <w:pStyle w:val="ListParagraph"/>
        <w:numPr>
          <w:ilvl w:val="0"/>
          <w:numId w:val="1"/>
        </w:numPr>
        <w:spacing w:after="80"/>
      </w:pPr>
      <w:r>
        <w:t xml:space="preserve">Re-checked from scratch (things that can change): project status, complaint/appeal counts, IBBI insolvency status, credit rating, mortgage lender.</w:t>
      </w:r>
    </w:p>
    <w:p>
      <w:pPr>
        <w:pStyle w:val="ListParagraph"/>
        <w:numPr>
          <w:ilvl w:val="0"/>
          <w:numId w:val="1"/>
        </w:numPr>
        <w:spacing w:after="80"/>
      </w:pPr>
      <w:r>
        <w:t xml:space="preserve">New, disbursement-specific checks not in the Company Charter: escrow/collection account is live and matches the disclosed bank + IFSC; construction-progress evidence (architect/engineer certificate date) is current, not stale; no new litigation/complaint/appeal filed since the last Charter; signatory KYC/registration validity; fund utilization certificate, if the deal structure requires tranche-based drawdowns.</w:t>
      </w:r>
    </w:p>
    <w:p>
      <w:pPr>
        <w:pStyle w:val="Heading2"/>
        <w:spacing w:after="140" w:before="280"/>
      </w:pPr>
      <w:r>
        <w:t xml:space="preserve">9.2 How it uses the flag taxonomy</w:t>
      </w:r>
    </w:p>
    <w:p>
      <w:pPr>
        <w:spacing w:after="160"/>
      </w:pPr>
      <w:r>
        <w:t xml:space="preserve">The Deal Charter's own Overview page re-states every flag that was open in the last Charter and reclassifies it: a Monitor Flag whose date has now passed, or a Structural Flag still unresolved at the point cashflow is about to move, both escalate to Imminent Red Flag here — per the rule in Section 5. Anything that was Monitor and has since cleared (e.g. an appeal that was decided, a mortgage change that's now explained and disclosed) is shown as resolved, not silently dropped.</w:t>
      </w:r>
    </w:p>
    <w:p>
      <w:pPr>
        <w:pStyle w:val="Heading2"/>
        <w:spacing w:after="140" w:before="280"/>
      </w:pPr>
      <w:r>
        <w:t xml:space="preserve">9.3 Scope note</w:t>
      </w:r>
    </w:p>
    <w:p>
      <w:pPr>
        <w:spacing w:after="160"/>
      </w:pPr>
      <w:r>
        <w:rPr>
          <w:i/>
          <w:iCs/>
        </w:rPr>
        <w:t xml:space="preserve">Nothing in main.py, deep_research.py, resolver.py or api_client.py needs to change for the Deal Charter — it's a new, thinner orchestration on top of the same building blocks in company_charter.py, plus a new template. Scoping its exact template/section list is a follow-up once this design is signed off; this memo only fixes what it must contain and where it sits relative to the Company Charter.</w:t>
      </w:r>
    </w:p>
    <w:p>
      <w:r>
        <w:br w:type="page"/>
      </w:r>
    </w:p>
    <w:p>
      <w:pPr>
        <w:pStyle w:val="Heading1"/>
        <w:spacing w:after="140" w:before="280"/>
      </w:pPr>
      <w:r>
        <w:t xml:space="preserve">10. Implementation notes (for when you're ready to build this)</w:t>
      </w:r>
    </w:p>
    <w:p>
      <w:pPr>
        <w:spacing w:after="160"/>
      </w:pPr>
      <w:r>
        <w:t xml:space="preserve">Since this pass is recommendation-only, here is what implementing it would actually touch:</w:t>
      </w:r>
    </w:p>
    <w:p>
      <w:pPr>
        <w:pStyle w:val="ListParagraph"/>
        <w:numPr>
          <w:ilvl w:val="0"/>
          <w:numId w:val="1"/>
        </w:numPr>
        <w:spacing w:after="80"/>
      </w:pPr>
      <w:r>
        <w:t xml:space="preserve">Template (output/company_charters/_inspect/template_xml or the source .docx template): needs a new front page (Overview &amp; Flags) inserted right after the title block, a Developer Scoring page inserted into the Counterparty section, and the existing Documentation Confidence Score page reworked per Section 8.</w:t>
      </w:r>
    </w:p>
    <w:p>
      <w:pPr>
        <w:pStyle w:val="ListParagraph"/>
        <w:numPr>
          <w:ilvl w:val="0"/>
          <w:numId w:val="1"/>
        </w:numPr>
        <w:spacing w:after="80"/>
      </w:pPr>
      <w:r>
        <w:t xml:space="preserve">company_charter.py — _fill_template(): needs _append_overview_section() (runs first, applies the tier logic in Section 6.2), _append_developer_scoring_section() (Section 7's weighted composite + hard override), and a rework of _compute_documentation_confidence_score() per Section 8.2's weight table and safeguards.</w:t>
      </w:r>
    </w:p>
    <w:p>
      <w:pPr>
        <w:pStyle w:val="ListParagraph"/>
        <w:numPr>
          <w:ilvl w:val="0"/>
          <w:numId w:val="1"/>
        </w:numPr>
        <w:spacing w:after="80"/>
      </w:pPr>
      <w:r>
        <w:t xml:space="preserve">company_charter.py — section ordering: _append_credit_rating_section, _append_ibbi_check_section, _append_company_profile_section, _append_group_companies_section move to sit right after corporate identity (feeding the Developer Scoring page); _append_appeal_judgments_section moves into the compliance/legal section.</w:t>
      </w:r>
    </w:p>
    <w:p>
      <w:pPr>
        <w:pStyle w:val="ListParagraph"/>
        <w:numPr>
          <w:ilvl w:val="0"/>
          <w:numId w:val="1"/>
        </w:numPr>
        <w:spacing w:after="80"/>
      </w:pPr>
      <w:r>
        <w:t xml:space="preserve">New module (proposed deal_charter.py): thin orchestration reusing company_charter.py's existing check functions, diffed against the prior facts.json via run_archive.py, plus the new disbursement-specific checks in Section 9.1 and a new template.</w:t>
      </w:r>
    </w:p>
    <w:p>
      <w:pPr>
        <w:pStyle w:val="ListParagraph"/>
        <w:numPr>
          <w:ilvl w:val="0"/>
          <w:numId w:val="1"/>
        </w:numPr>
        <w:spacing w:after="80"/>
      </w:pPr>
      <w:r>
        <w:t xml:space="preserve">Threshold and weight constants (complaint/appeal counts, confidence-score bands, scoring weights) should live as named constants near the top of their respective modules, not hard-coded inline, so the investment team can tune them without touching logic.</w:t>
      </w:r>
    </w:p>
    <w:p>
      <w:pPr>
        <w:pStyle w:val="Heading1"/>
        <w:spacing w:after="140" w:before="280"/>
      </w:pPr>
      <w:r>
        <w:t xml:space="preserve">11. Decisions locked in for this scope</w:t>
      </w:r>
    </w:p>
    <w:p>
      <w:pPr>
        <w:pStyle w:val="ListParagraph"/>
        <w:numPr>
          <w:ilvl w:val="0"/>
          <w:numId w:val="1"/>
        </w:numPr>
        <w:spacing w:after="80"/>
      </w:pPr>
      <w:r>
        <w:t xml:space="preserve">Complaint/appeal counts are tracked at two separate levels: THIS PROJECT (drives flag tier, using the thresholds in Section 6.2) and the PROMOTER's portfolio-wide total (Structural Flag, reference text only, no colour of its own).</w:t>
      </w:r>
    </w:p>
    <w:p>
      <w:pPr>
        <w:pStyle w:val="ListParagraph"/>
        <w:numPr>
          <w:ilvl w:val="0"/>
          <w:numId w:val="1"/>
        </w:numPr>
        <w:spacing w:after="80"/>
      </w:pPr>
      <w:r>
        <w:t xml:space="preserve">Thresholds are fixed numbers, not scaled to promoter portfolio size, for this first version.</w:t>
      </w:r>
    </w:p>
    <w:p>
      <w:pPr>
        <w:pStyle w:val="ListParagraph"/>
        <w:numPr>
          <w:ilvl w:val="0"/>
          <w:numId w:val="1"/>
        </w:numPr>
        <w:spacing w:after="80"/>
      </w:pPr>
      <w:r>
        <w:t xml:space="preserve">Deal Charter is a separate document from the Company Charter, generated at the disbursement/cashflow-structuring stage, reusing the Company Charter's existing checks.</w:t>
      </w:r>
    </w:p>
    <w:p>
      <w:pPr>
        <w:pStyle w:val="ListParagraph"/>
        <w:numPr>
          <w:ilvl w:val="0"/>
          <w:numId w:val="1"/>
        </w:numPr>
        <w:spacing w:after="80"/>
      </w:pPr>
      <w:r>
        <w:t xml:space="preserve">Developer Scoring is one composite grade (with a hard override for Imminent Red Flags), with the four underlying pillar scores always shown alongside it.</w:t>
      </w:r>
    </w:p>
    <w:p>
      <w:pPr>
        <w:pStyle w:val="ListParagraph"/>
        <w:numPr>
          <w:ilvl w:val="0"/>
          <w:numId w:val="1"/>
        </w:numPr>
        <w:spacing w:after="80"/>
      </w:pPr>
      <w:r>
        <w:t xml:space="preserve">Data Authenticity keeps the existing idea but is reworked per Section 8.2 to weight actual verification more heavily than source-tier citation alone.</w:t>
      </w:r>
    </w:p>
    <w:p>
      <w:pPr>
        <w:pStyle w:val="ListParagraph"/>
        <w:numPr>
          <w:ilvl w:val="0"/>
          <w:numId w:val="1"/>
        </w:numPr>
        <w:spacing w:after="80"/>
      </w:pPr>
      <w:r>
        <w:t xml:space="preserve">Flags are classified into three tiers — Imminent Red Flag, Structural Flag, Monitor Flag — and the same fact can escalate tier between the Company Charter and Deal Charter stages, per the rule in Section 5.</w:t>
      </w:r>
    </w:p>
    <w:p>
      <w:pPr>
        <w:spacing w:after="160"/>
      </w:pPr>
      <w:r>
        <w:t xml:space="preserve">Next step, whenever you're ready: turn this memo into an implementation ticket against company_charter.py, the template(s), and a new deal_charter.py, using Section 10 above as the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2026-07-27T06:37:17.455Z</dcterms:created>
  <dcterms:modified xsi:type="dcterms:W3CDTF">2026-07-27T06:37:17.455Z</dcterms:modified>
</cp:coreProperties>
</file>

<file path=docProps/custom.xml><?xml version="1.0" encoding="utf-8"?>
<Properties xmlns="http://schemas.openxmlformats.org/officeDocument/2006/custom-properties" xmlns:vt="http://schemas.openxmlformats.org/officeDocument/2006/docPropsVTypes"/>
</file>