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56"/>
          <w:szCs w:val="56"/>
        </w:rPr>
        <w:t xml:space="preserve">MahaRERA Project Scraper</w:t>
      </w:r>
    </w:p>
    <w:p>
      <w:pPr>
        <w:spacing w:after="600"/>
        <w:jc w:val="center"/>
      </w:pPr>
      <w:r>
        <w:rPr>
          <w:b/>
          <w:bCs/>
          <w:color w:val="1F4E78"/>
          <w:sz w:val="36"/>
          <w:szCs w:val="36"/>
        </w:rPr>
        <w:t xml:space="preserve">&amp; Due-Diligence Pipeline</w:t>
      </w:r>
    </w:p>
    <w:p>
      <w:pPr>
        <w:spacing w:after="200"/>
        <w:jc w:val="center"/>
      </w:pPr>
      <w:r>
        <w:rPr>
          <w:sz w:val="28"/>
          <w:szCs w:val="28"/>
        </w:rPr>
        <w:t xml:space="preserve">Technical Documentation</w:t>
      </w:r>
    </w:p>
    <w:p>
      <w:pPr>
        <w:spacing w:after="1200"/>
        <w:jc w:val="center"/>
      </w:pPr>
      <w:r>
        <w:rPr>
          <w:i/>
          <w:iCs/>
          <w:color w:val="595959"/>
          <w:sz w:val="24"/>
          <w:szCs w:val="24"/>
        </w:rPr>
        <w:t xml:space="preserve">Architecture, End-to-End Working, and Engagement Summary</w:t>
      </w:r>
    </w:p>
    <w:p>
      <w:pPr>
        <w:spacing w:after="80"/>
        <w:jc w:val="center"/>
      </w:pPr>
      <w:r>
        <w:rPr>
          <w:sz w:val="22"/>
          <w:szCs w:val="22"/>
        </w:rPr>
        <w:t xml:space="preserve">Prepared: July 2026</w:t>
      </w:r>
    </w:p>
    <w:p>
      <w:pPr>
        <w:jc w:val="center"/>
      </w:pPr>
      <w:r>
        <w:rPr>
          <w:color w:val="595959"/>
          <w:sz w:val="20"/>
          <w:szCs w:val="20"/>
        </w:rPr>
        <w:t xml:space="preserve">Scope: Full pipeline (scraping, promoter track record, Claude-powered research, Company Charter, PDF report)</w:t>
      </w:r>
    </w:p>
    <w:p>
      <w:r>
        <w:br w:type="page"/>
      </w:r>
    </w:p>
    <w:p>
      <w:pPr>
        <w:pStyle w:val="Heading1"/>
        <w:spacing w:after="160" w:before="360"/>
      </w:pPr>
      <w:r>
        <w:t xml:space="preserve">1. Overview &amp; Purpose</w:t>
      </w:r>
    </w:p>
    <w:p>
      <w:pPr>
        <w:spacing w:after="140" w:line="276"/>
      </w:pPr>
      <w:r>
        <w:t xml:space="preserve">This system is an end-to-end due-diligence tool for MahaRERA-registered real-estate projects (Maharashtra Real Estate Regulatory Authority). Given a MahaRERA registration number (e.g. P52100019639) or a free-text project name, it:</w:t>
      </w:r>
    </w:p>
    <w:p>
      <w:pPr>
        <w:pStyle w:val="ListParagraph"/>
        <w:numPr>
          <w:ilvl w:val="0"/>
          <w:numId w:val="2"/>
        </w:numPr>
        <w:spacing w:after="80" w:line="276"/>
      </w:pPr>
      <w:r>
        <w:t xml:space="preserve">Resolves the project and scrapes every public and guest-gated data category MahaRERA exposes -- project details, partners/promoter, professionals, points of contact, past experience, SRO details, uploaded documents, complaints, and appeals.</w:t>
      </w:r>
    </w:p>
    <w:p>
      <w:pPr>
        <w:pStyle w:val="ListParagraph"/>
        <w:numPr>
          <w:ilvl w:val="0"/>
          <w:numId w:val="2"/>
        </w:numPr>
        <w:spacing w:after="80" w:line="276"/>
      </w:pPr>
      <w:r>
        <w:t xml:space="preserve">Downloads every uploaded document for the project.</w:t>
      </w:r>
    </w:p>
    <w:p>
      <w:pPr>
        <w:pStyle w:val="ListParagraph"/>
        <w:numPr>
          <w:ilvl w:val="0"/>
          <w:numId w:val="2"/>
        </w:numPr>
        <w:spacing w:after="80" w:line="276"/>
      </w:pPr>
      <w:r>
        <w:t xml:space="preserve">Builds the promoter's full RERA-registered project portfolio and aggregate complaint/appeal track record.</w:t>
      </w:r>
    </w:p>
    <w:p>
      <w:pPr>
        <w:pStyle w:val="ListParagraph"/>
        <w:numPr>
          <w:ilvl w:val="0"/>
          <w:numId w:val="2"/>
        </w:numPr>
        <w:spacing w:after="80" w:line="276"/>
      </w:pPr>
      <w:r>
        <w:t xml:space="preserve">Runs an agentic, citation-disciplined research pass (macro market, micro/locality market, promoter external reputation) using the Claude API.</w:t>
      </w:r>
    </w:p>
    <w:p>
      <w:pPr>
        <w:pStyle w:val="ListParagraph"/>
        <w:numPr>
          <w:ilvl w:val="0"/>
          <w:numId w:val="2"/>
        </w:numPr>
        <w:spacing w:after="80" w:line="276"/>
      </w:pPr>
      <w:r>
        <w:t xml:space="preserve">Fills a real Word template -- a "Company Charter" -- with sourced legal, financial, corporate, and comparable-project facts, also using the Claude API.</w:t>
      </w:r>
    </w:p>
    <w:p>
      <w:pPr>
        <w:pStyle w:val="ListParagraph"/>
        <w:numPr>
          <w:ilvl w:val="0"/>
          <w:numId w:val="2"/>
        </w:numPr>
        <w:spacing w:after="80" w:line="276"/>
      </w:pPr>
      <w:r>
        <w:t xml:space="preserve">Assembles everything into a single structured PDF report per project.</w:t>
      </w:r>
    </w:p>
    <w:p>
      <w:pPr>
        <w:spacing w:after="140" w:line="276"/>
      </w:pPr>
      <w:r>
        <w:t xml:space="preserve">No login or account is required anywhere in the process. A human only solves a CAPTCHA once, in a real browser window, when the categories that need a guest session are requested. Two entry points exist -- a CLI (main.py) and a Streamlit web UI (app.py) -- and they share 100% of the same underlying logic; the UI is presentation only.</w:t>
      </w:r>
    </w:p>
    <w:p>
      <w:pPr>
        <w:spacing w:after="140" w:line="276"/>
      </w:pPr>
      <w:r>
        <w:t xml:space="preserve">The system is available in two functional lanes that can be reasoned about independently:</w:t>
      </w:r>
    </w:p>
    <w:p>
      <w:pPr>
        <w:pStyle w:val="ListParagraph"/>
        <w:numPr>
          <w:ilvl w:val="0"/>
          <w:numId w:val="2"/>
        </w:numPr>
        <w:spacing w:after="80" w:line="276"/>
      </w:pPr>
      <w:r>
        <w:rPr>
          <w:b/>
          <w:bCs/>
        </w:rPr>
        <w:t xml:space="preserve">Lane A -- Deterministic scraping </w:t>
      </w:r>
      <w:r>
        <w:t xml:space="preserve">(no LLM, cannot fail due to a missing API key): resolving, authentication, category fetching, document downloads, promoter portfolio.</w:t>
      </w:r>
    </w:p>
    <w:p>
      <w:pPr>
        <w:pStyle w:val="ListParagraph"/>
        <w:numPr>
          <w:ilvl w:val="0"/>
          <w:numId w:val="2"/>
        </w:numPr>
        <w:spacing w:after="80" w:line="276"/>
      </w:pPr>
      <w:r>
        <w:rPr>
          <w:b/>
          <w:bCs/>
        </w:rPr>
        <w:t xml:space="preserve">Lane B -- Claude-powered analysis </w:t>
      </w:r>
      <w:r>
        <w:t xml:space="preserve">(layered on top of Lane A's output): Deep Research and the Company Charter generator. Both degrade gracefully -- a missing ANTHROPIC_API_KEY, a rate limit, or a bad template never takes down the scrape; that section is simply left unpopulated and is retryable standalone.</w:t>
      </w:r>
    </w:p>
    <w:p>
      <w:pPr>
        <w:pStyle w:val="Heading1"/>
        <w:spacing w:after="160" w:before="360"/>
      </w:pPr>
      <w:r>
        <w:t xml:space="preserve">2. System Architecture</w:t>
      </w:r>
    </w:p>
    <w:p>
      <w:pPr>
        <w:spacing w:after="140" w:line="276"/>
      </w:pPr>
      <w:r>
        <w:t xml:space="preserve">Two entry points share identical orchestration logic:</w:t>
      </w:r>
    </w:p>
    <w:p>
      <w:pPr>
        <w:pStyle w:val="ListParagraph"/>
        <w:numPr>
          <w:ilvl w:val="0"/>
          <w:numId w:val="2"/>
        </w:numPr>
        <w:spacing w:after="80" w:line="276"/>
      </w:pPr>
      <w:r>
        <w:t xml:space="preserve">main.py -- CLI entry point. Usage: python main.py &lt;reg_no or project name&gt; [--verify] [--headed] [--token] [--no-auto-auth] [--captcha-timeout] [--output-dir]</w:t>
      </w:r>
    </w:p>
    <w:p>
      <w:pPr>
        <w:pStyle w:val="ListParagraph"/>
        <w:numPr>
          <w:ilvl w:val="0"/>
          <w:numId w:val="2"/>
        </w:numPr>
        <w:spacing w:after="80" w:line="276"/>
      </w:pPr>
      <w:r>
        <w:t xml:space="preserve">app.py -- Streamlit UI (streamlit run app.py). Wraps the exact same functions main.py's CLI uses; no logic is duplicated. The CAPTCHA step still opens a real, separate Chromium window on the host machine -- Playwright cannot render inside a Streamlit page.</w:t>
      </w:r>
    </w:p>
    <w:p>
      <w:pPr>
        <w:pStyle w:val="Heading2"/>
        <w:spacing w:after="120" w:before="260"/>
      </w:pPr>
      <w:r>
        <w:t xml:space="preserve">2.1 Nine-stage pipeline</w:t>
      </w:r>
    </w:p>
    <w:tbl>
      <w:tblPr>
        <w:tblW w:type="dxa" w:w="1040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4600"/>
        <w:gridCol w:w="3400"/>
        <w:gridCol w:w="1700"/>
      </w:tblGrid>
      <w:tr>
        <w:trPr>
          <w:tblHeader/>
        </w:trPr>
        <w:tc>
          <w:tcPr>
            <w:tcW w:type="dxa" w:w="700"/>
            <w:shd w:fill="D9E2F3" w:val="clear"/>
            <w:tcMar>
              <w:top w:type="dxa" w:w="80"/>
              <w:left w:type="dxa" w:w="100"/>
              <w:bottom w:type="dxa" w:w="80"/>
              <w:right w:type="dxa" w:w="100"/>
            </w:tcMar>
          </w:tcPr>
          <w:p>
            <w:r>
              <w:rPr>
                <w:b/>
                <w:bCs/>
                <w:sz w:val="20"/>
                <w:szCs w:val="20"/>
              </w:rPr>
              <w:t xml:space="preserve">#</w:t>
            </w:r>
          </w:p>
        </w:tc>
        <w:tc>
          <w:tcPr>
            <w:tcW w:type="dxa" w:w="4600"/>
            <w:shd w:fill="D9E2F3" w:val="clear"/>
            <w:tcMar>
              <w:top w:type="dxa" w:w="80"/>
              <w:left w:type="dxa" w:w="100"/>
              <w:bottom w:type="dxa" w:w="80"/>
              <w:right w:type="dxa" w:w="100"/>
            </w:tcMar>
          </w:tcPr>
          <w:p>
            <w:r>
              <w:rPr>
                <w:b/>
                <w:bCs/>
                <w:sz w:val="20"/>
                <w:szCs w:val="20"/>
              </w:rPr>
              <w:t xml:space="preserve">Stage</w:t>
            </w:r>
          </w:p>
        </w:tc>
        <w:tc>
          <w:tcPr>
            <w:tcW w:type="dxa" w:w="3400"/>
            <w:shd w:fill="D9E2F3" w:val="clear"/>
            <w:tcMar>
              <w:top w:type="dxa" w:w="80"/>
              <w:left w:type="dxa" w:w="100"/>
              <w:bottom w:type="dxa" w:w="80"/>
              <w:right w:type="dxa" w:w="100"/>
            </w:tcMar>
          </w:tcPr>
          <w:p>
            <w:r>
              <w:rPr>
                <w:b/>
                <w:bCs/>
                <w:sz w:val="20"/>
                <w:szCs w:val="20"/>
              </w:rPr>
              <w:t xml:space="preserve">Module</w:t>
            </w:r>
          </w:p>
        </w:tc>
        <w:tc>
          <w:tcPr>
            <w:tcW w:type="dxa" w:w="1700"/>
            <w:shd w:fill="D9E2F3" w:val="clear"/>
            <w:tcMar>
              <w:top w:type="dxa" w:w="80"/>
              <w:left w:type="dxa" w:w="100"/>
              <w:bottom w:type="dxa" w:w="80"/>
              <w:right w:type="dxa" w:w="100"/>
            </w:tcMar>
          </w:tcPr>
          <w:p>
            <w:r>
              <w:rPr>
                <w:b/>
                <w:bCs/>
                <w:sz w:val="20"/>
                <w:szCs w:val="20"/>
              </w:rPr>
              <w:t xml:space="preserve">LLM?</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4600"/>
            <w:tcMar>
              <w:top w:type="dxa" w:w="80"/>
              <w:left w:type="dxa" w:w="100"/>
              <w:bottom w:type="dxa" w:w="80"/>
              <w:right w:type="dxa" w:w="100"/>
            </w:tcMar>
          </w:tcPr>
          <w:p>
            <w:r>
              <w:rPr>
                <w:b w:val="false"/>
                <w:bCs w:val="false"/>
                <w:sz w:val="20"/>
                <w:szCs w:val="20"/>
              </w:rPr>
              <w:t xml:space="preserve">Resolve reg. no. / name -&gt; internal project ID</w:t>
            </w:r>
          </w:p>
        </w:tc>
        <w:tc>
          <w:tcPr>
            <w:tcW w:type="dxa" w:w="3400"/>
            <w:tcMar>
              <w:top w:type="dxa" w:w="80"/>
              <w:left w:type="dxa" w:w="100"/>
              <w:bottom w:type="dxa" w:w="80"/>
              <w:right w:type="dxa" w:w="100"/>
            </w:tcMar>
          </w:tcPr>
          <w:p>
            <w:r>
              <w:rPr>
                <w:b w:val="false"/>
                <w:bCs w:val="false"/>
                <w:sz w:val="20"/>
                <w:szCs w:val="20"/>
              </w:rPr>
              <w:t xml:space="preserve">resolver.py</w:t>
            </w:r>
          </w:p>
        </w:tc>
        <w:tc>
          <w:tcPr>
            <w:tcW w:type="dxa" w:w="1700"/>
            <w:tcMar>
              <w:top w:type="dxa" w:w="80"/>
              <w:left w:type="dxa" w:w="100"/>
              <w:bottom w:type="dxa" w:w="80"/>
              <w:right w:type="dxa" w:w="100"/>
            </w:tcMar>
          </w:tcPr>
          <w:p>
            <w:r>
              <w:rPr>
                <w:b w:val="false"/>
                <w:bCs w:val="false"/>
                <w:sz w:val="20"/>
                <w:szCs w:val="20"/>
              </w:rPr>
              <w:t xml:space="preserve">No</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4600"/>
            <w:tcMar>
              <w:top w:type="dxa" w:w="80"/>
              <w:left w:type="dxa" w:w="100"/>
              <w:bottom w:type="dxa" w:w="80"/>
              <w:right w:type="dxa" w:w="100"/>
            </w:tcMar>
          </w:tcPr>
          <w:p>
            <w:r>
              <w:rPr>
                <w:b w:val="false"/>
                <w:bCs w:val="false"/>
                <w:sz w:val="20"/>
                <w:szCs w:val="20"/>
              </w:rPr>
              <w:t xml:space="preserve">Authenticate (CAPTCHA-gated guest session)</w:t>
            </w:r>
          </w:p>
        </w:tc>
        <w:tc>
          <w:tcPr>
            <w:tcW w:type="dxa" w:w="3400"/>
            <w:tcMar>
              <w:top w:type="dxa" w:w="80"/>
              <w:left w:type="dxa" w:w="100"/>
              <w:bottom w:type="dxa" w:w="80"/>
              <w:right w:type="dxa" w:w="100"/>
            </w:tcMar>
          </w:tcPr>
          <w:p>
            <w:r>
              <w:rPr>
                <w:b w:val="false"/>
                <w:bCs w:val="false"/>
                <w:sz w:val="20"/>
                <w:szCs w:val="20"/>
              </w:rPr>
              <w:t xml:space="preserve">session_auth.py, token_cache.py</w:t>
            </w:r>
          </w:p>
        </w:tc>
        <w:tc>
          <w:tcPr>
            <w:tcW w:type="dxa" w:w="1700"/>
            <w:tcMar>
              <w:top w:type="dxa" w:w="80"/>
              <w:left w:type="dxa" w:w="100"/>
              <w:bottom w:type="dxa" w:w="80"/>
              <w:right w:type="dxa" w:w="100"/>
            </w:tcMar>
          </w:tcPr>
          <w:p>
            <w:r>
              <w:rPr>
                <w:b w:val="false"/>
                <w:bCs w:val="false"/>
                <w:sz w:val="20"/>
                <w:szCs w:val="20"/>
              </w:rPr>
              <w:t xml:space="preserve">No</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4600"/>
            <w:tcMar>
              <w:top w:type="dxa" w:w="80"/>
              <w:left w:type="dxa" w:w="100"/>
              <w:bottom w:type="dxa" w:w="80"/>
              <w:right w:type="dxa" w:w="100"/>
            </w:tcMar>
          </w:tcPr>
          <w:p>
            <w:r>
              <w:rPr>
                <w:b w:val="false"/>
                <w:bCs w:val="false"/>
                <w:sz w:val="20"/>
                <w:szCs w:val="20"/>
              </w:rPr>
              <w:t xml:space="preserve">Fetch all 9 data categories</w:t>
            </w:r>
          </w:p>
        </w:tc>
        <w:tc>
          <w:tcPr>
            <w:tcW w:type="dxa" w:w="3400"/>
            <w:tcMar>
              <w:top w:type="dxa" w:w="80"/>
              <w:left w:type="dxa" w:w="100"/>
              <w:bottom w:type="dxa" w:w="80"/>
              <w:right w:type="dxa" w:w="100"/>
            </w:tcMar>
          </w:tcPr>
          <w:p>
            <w:r>
              <w:rPr>
                <w:b w:val="false"/>
                <w:bCs w:val="false"/>
                <w:sz w:val="20"/>
                <w:szCs w:val="20"/>
              </w:rPr>
              <w:t xml:space="preserve">api_client.py, config.py</w:t>
            </w:r>
          </w:p>
        </w:tc>
        <w:tc>
          <w:tcPr>
            <w:tcW w:type="dxa" w:w="1700"/>
            <w:tcMar>
              <w:top w:type="dxa" w:w="80"/>
              <w:left w:type="dxa" w:w="100"/>
              <w:bottom w:type="dxa" w:w="80"/>
              <w:right w:type="dxa" w:w="100"/>
            </w:tcMar>
          </w:tcPr>
          <w:p>
            <w:r>
              <w:rPr>
                <w:b w:val="false"/>
                <w:bCs w:val="false"/>
                <w:sz w:val="20"/>
                <w:szCs w:val="20"/>
              </w:rPr>
              <w:t xml:space="preserve">No</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4600"/>
            <w:tcMar>
              <w:top w:type="dxa" w:w="80"/>
              <w:left w:type="dxa" w:w="100"/>
              <w:bottom w:type="dxa" w:w="80"/>
              <w:right w:type="dxa" w:w="100"/>
            </w:tcMar>
          </w:tcPr>
          <w:p>
            <w:r>
              <w:rPr>
                <w:b w:val="false"/>
                <w:bCs w:val="false"/>
                <w:sz w:val="20"/>
                <w:szCs w:val="20"/>
              </w:rPr>
              <w:t xml:space="preserve">Archive the previous run before overwriting</w:t>
            </w:r>
          </w:p>
        </w:tc>
        <w:tc>
          <w:tcPr>
            <w:tcW w:type="dxa" w:w="3400"/>
            <w:tcMar>
              <w:top w:type="dxa" w:w="80"/>
              <w:left w:type="dxa" w:w="100"/>
              <w:bottom w:type="dxa" w:w="80"/>
              <w:right w:type="dxa" w:w="100"/>
            </w:tcMar>
          </w:tcPr>
          <w:p>
            <w:r>
              <w:rPr>
                <w:b w:val="false"/>
                <w:bCs w:val="false"/>
                <w:sz w:val="20"/>
                <w:szCs w:val="20"/>
              </w:rPr>
              <w:t xml:space="preserve">run_archive.py</w:t>
            </w:r>
          </w:p>
        </w:tc>
        <w:tc>
          <w:tcPr>
            <w:tcW w:type="dxa" w:w="1700"/>
            <w:tcMar>
              <w:top w:type="dxa" w:w="80"/>
              <w:left w:type="dxa" w:w="100"/>
              <w:bottom w:type="dxa" w:w="80"/>
              <w:right w:type="dxa" w:w="100"/>
            </w:tcMar>
          </w:tcPr>
          <w:p>
            <w:r>
              <w:rPr>
                <w:b w:val="false"/>
                <w:bCs w:val="false"/>
                <w:sz w:val="20"/>
                <w:szCs w:val="20"/>
              </w:rPr>
              <w:t xml:space="preserve">No</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4600"/>
            <w:tcMar>
              <w:top w:type="dxa" w:w="80"/>
              <w:left w:type="dxa" w:w="100"/>
              <w:bottom w:type="dxa" w:w="80"/>
              <w:right w:type="dxa" w:w="100"/>
            </w:tcMar>
          </w:tcPr>
          <w:p>
            <w:r>
              <w:rPr>
                <w:b w:val="false"/>
                <w:bCs w:val="false"/>
                <w:sz w:val="20"/>
                <w:szCs w:val="20"/>
              </w:rPr>
              <w:t xml:space="preserve">Download every uploaded document</w:t>
            </w:r>
          </w:p>
        </w:tc>
        <w:tc>
          <w:tcPr>
            <w:tcW w:type="dxa" w:w="3400"/>
            <w:tcMar>
              <w:top w:type="dxa" w:w="80"/>
              <w:left w:type="dxa" w:w="100"/>
              <w:bottom w:type="dxa" w:w="80"/>
              <w:right w:type="dxa" w:w="100"/>
            </w:tcMar>
          </w:tcPr>
          <w:p>
            <w:r>
              <w:rPr>
                <w:b w:val="false"/>
                <w:bCs w:val="false"/>
                <w:sz w:val="20"/>
                <w:szCs w:val="20"/>
              </w:rPr>
              <w:t xml:space="preserve">api_client.py</w:t>
            </w:r>
          </w:p>
        </w:tc>
        <w:tc>
          <w:tcPr>
            <w:tcW w:type="dxa" w:w="1700"/>
            <w:tcMar>
              <w:top w:type="dxa" w:w="80"/>
              <w:left w:type="dxa" w:w="100"/>
              <w:bottom w:type="dxa" w:w="80"/>
              <w:right w:type="dxa" w:w="100"/>
            </w:tcMar>
          </w:tcPr>
          <w:p>
            <w:r>
              <w:rPr>
                <w:b w:val="false"/>
                <w:bCs w:val="false"/>
                <w:sz w:val="20"/>
                <w:szCs w:val="20"/>
              </w:rPr>
              <w:t xml:space="preserve">No</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4600"/>
            <w:tcMar>
              <w:top w:type="dxa" w:w="80"/>
              <w:left w:type="dxa" w:w="100"/>
              <w:bottom w:type="dxa" w:w="80"/>
              <w:right w:type="dxa" w:w="100"/>
            </w:tcMar>
          </w:tcPr>
          <w:p>
            <w:r>
              <w:rPr>
                <w:b w:val="false"/>
                <w:bCs w:val="false"/>
                <w:sz w:val="20"/>
                <w:szCs w:val="20"/>
              </w:rPr>
              <w:t xml:space="preserve">Build the promoter's full project/complaint/appeal track record</w:t>
            </w:r>
          </w:p>
        </w:tc>
        <w:tc>
          <w:tcPr>
            <w:tcW w:type="dxa" w:w="3400"/>
            <w:tcMar>
              <w:top w:type="dxa" w:w="80"/>
              <w:left w:type="dxa" w:w="100"/>
              <w:bottom w:type="dxa" w:w="80"/>
              <w:right w:type="dxa" w:w="100"/>
            </w:tcMar>
          </w:tcPr>
          <w:p>
            <w:r>
              <w:rPr>
                <w:b w:val="false"/>
                <w:bCs w:val="false"/>
                <w:sz w:val="20"/>
                <w:szCs w:val="20"/>
              </w:rPr>
              <w:t xml:space="preserve">promoter_portfolio.py</w:t>
            </w:r>
          </w:p>
        </w:tc>
        <w:tc>
          <w:tcPr>
            <w:tcW w:type="dxa" w:w="1700"/>
            <w:tcMar>
              <w:top w:type="dxa" w:w="80"/>
              <w:left w:type="dxa" w:w="100"/>
              <w:bottom w:type="dxa" w:w="80"/>
              <w:right w:type="dxa" w:w="100"/>
            </w:tcMar>
          </w:tcPr>
          <w:p>
            <w:r>
              <w:rPr>
                <w:b w:val="false"/>
                <w:bCs w:val="false"/>
                <w:sz w:val="20"/>
                <w:szCs w:val="20"/>
              </w:rPr>
              <w:t xml:space="preserve">No</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4600"/>
            <w:tcMar>
              <w:top w:type="dxa" w:w="80"/>
              <w:left w:type="dxa" w:w="100"/>
              <w:bottom w:type="dxa" w:w="80"/>
              <w:right w:type="dxa" w:w="100"/>
            </w:tcMar>
          </w:tcPr>
          <w:p>
            <w:r>
              <w:rPr>
                <w:b w:val="false"/>
                <w:bCs w:val="false"/>
                <w:sz w:val="20"/>
                <w:szCs w:val="20"/>
              </w:rPr>
              <w:t xml:space="preserve">Deep Research: macro market, micro market, promoter reputation</w:t>
            </w:r>
          </w:p>
        </w:tc>
        <w:tc>
          <w:tcPr>
            <w:tcW w:type="dxa" w:w="3400"/>
            <w:tcMar>
              <w:top w:type="dxa" w:w="80"/>
              <w:left w:type="dxa" w:w="100"/>
              <w:bottom w:type="dxa" w:w="80"/>
              <w:right w:type="dxa" w:w="100"/>
            </w:tcMar>
          </w:tcPr>
          <w:p>
            <w:r>
              <w:rPr>
                <w:b w:val="false"/>
                <w:bCs w:val="false"/>
                <w:sz w:val="20"/>
                <w:szCs w:val="20"/>
              </w:rPr>
              <w:t xml:space="preserve">deep_research.py</w:t>
            </w:r>
          </w:p>
        </w:tc>
        <w:tc>
          <w:tcPr>
            <w:tcW w:type="dxa" w:w="1700"/>
            <w:tcMar>
              <w:top w:type="dxa" w:w="80"/>
              <w:left w:type="dxa" w:w="100"/>
              <w:bottom w:type="dxa" w:w="80"/>
              <w:right w:type="dxa" w:w="100"/>
            </w:tcMar>
          </w:tcPr>
          <w:p>
            <w:r>
              <w:rPr>
                <w:b w:val="false"/>
                <w:bCs w:val="false"/>
                <w:sz w:val="20"/>
                <w:szCs w:val="20"/>
              </w:rPr>
              <w:t xml:space="preserve">Yes (Claude API)</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4600"/>
            <w:tcMar>
              <w:top w:type="dxa" w:w="80"/>
              <w:left w:type="dxa" w:w="100"/>
              <w:bottom w:type="dxa" w:w="80"/>
              <w:right w:type="dxa" w:w="100"/>
            </w:tcMar>
          </w:tcPr>
          <w:p>
            <w:r>
              <w:rPr>
                <w:b w:val="false"/>
                <w:bCs w:val="false"/>
                <w:sz w:val="20"/>
                <w:szCs w:val="20"/>
              </w:rPr>
              <w:t xml:space="preserve">Company Charter: legal / financial / corporate / comparables docx</w:t>
            </w:r>
          </w:p>
        </w:tc>
        <w:tc>
          <w:tcPr>
            <w:tcW w:type="dxa" w:w="3400"/>
            <w:tcMar>
              <w:top w:type="dxa" w:w="80"/>
              <w:left w:type="dxa" w:w="100"/>
              <w:bottom w:type="dxa" w:w="80"/>
              <w:right w:type="dxa" w:w="100"/>
            </w:tcMar>
          </w:tcPr>
          <w:p>
            <w:r>
              <w:rPr>
                <w:b w:val="false"/>
                <w:bCs w:val="false"/>
                <w:sz w:val="20"/>
                <w:szCs w:val="20"/>
              </w:rPr>
              <w:t xml:space="preserve">company_charter.py</w:t>
            </w:r>
          </w:p>
        </w:tc>
        <w:tc>
          <w:tcPr>
            <w:tcW w:type="dxa" w:w="1700"/>
            <w:tcMar>
              <w:top w:type="dxa" w:w="80"/>
              <w:left w:type="dxa" w:w="100"/>
              <w:bottom w:type="dxa" w:w="80"/>
              <w:right w:type="dxa" w:w="100"/>
            </w:tcMar>
          </w:tcPr>
          <w:p>
            <w:r>
              <w:rPr>
                <w:b w:val="false"/>
                <w:bCs w:val="false"/>
                <w:sz w:val="20"/>
                <w:szCs w:val="20"/>
              </w:rPr>
              <w:t xml:space="preserve">Yes (Claude API)</w:t>
            </w:r>
          </w:p>
        </w:tc>
      </w:tr>
      <w:tr>
        <w:tc>
          <w:tcPr>
            <w:tcW w:type="dxa" w:w="700"/>
            <w:tcMar>
              <w:top w:type="dxa" w:w="80"/>
              <w:left w:type="dxa" w:w="100"/>
              <w:bottom w:type="dxa" w:w="80"/>
              <w:right w:type="dxa" w:w="100"/>
            </w:tcMar>
          </w:tcPr>
          <w:p>
            <w:r>
              <w:rPr>
                <w:b w:val="false"/>
                <w:bCs w:val="false"/>
                <w:sz w:val="20"/>
                <w:szCs w:val="20"/>
              </w:rPr>
              <w:t xml:space="preserve">9</w:t>
            </w:r>
          </w:p>
        </w:tc>
        <w:tc>
          <w:tcPr>
            <w:tcW w:type="dxa" w:w="4600"/>
            <w:tcMar>
              <w:top w:type="dxa" w:w="80"/>
              <w:left w:type="dxa" w:w="100"/>
              <w:bottom w:type="dxa" w:w="80"/>
              <w:right w:type="dxa" w:w="100"/>
            </w:tcMar>
          </w:tcPr>
          <w:p>
            <w:r>
              <w:rPr>
                <w:b w:val="false"/>
                <w:bCs w:val="false"/>
                <w:sz w:val="20"/>
                <w:szCs w:val="20"/>
              </w:rPr>
              <w:t xml:space="preserve">Assemble the final PDF report</w:t>
            </w:r>
          </w:p>
        </w:tc>
        <w:tc>
          <w:tcPr>
            <w:tcW w:type="dxa" w:w="3400"/>
            <w:tcMar>
              <w:top w:type="dxa" w:w="80"/>
              <w:left w:type="dxa" w:w="100"/>
              <w:bottom w:type="dxa" w:w="80"/>
              <w:right w:type="dxa" w:w="100"/>
            </w:tcMar>
          </w:tcPr>
          <w:p>
            <w:r>
              <w:rPr>
                <w:b w:val="false"/>
                <w:bCs w:val="false"/>
                <w:sz w:val="20"/>
                <w:szCs w:val="20"/>
              </w:rPr>
              <w:t xml:space="preserve">report.py, finalize_report.py</w:t>
            </w:r>
          </w:p>
        </w:tc>
        <w:tc>
          <w:tcPr>
            <w:tcW w:type="dxa" w:w="1700"/>
            <w:tcMar>
              <w:top w:type="dxa" w:w="80"/>
              <w:left w:type="dxa" w:w="100"/>
              <w:bottom w:type="dxa" w:w="80"/>
              <w:right w:type="dxa" w:w="100"/>
            </w:tcMar>
          </w:tcPr>
          <w:p>
            <w:r>
              <w:rPr>
                <w:b w:val="false"/>
                <w:bCs w:val="false"/>
                <w:sz w:val="20"/>
                <w:szCs w:val="20"/>
              </w:rPr>
              <w:t xml:space="preserve">No</w:t>
            </w:r>
          </w:p>
        </w:tc>
      </w:tr>
    </w:tbl>
    <w:p>
      <w:pPr>
        <w:spacing w:after="200"/>
      </w:pPr>
      <w:r>
        <w:rPr>
          <w:i/>
          <w:iCs/>
          <w:color w:val="595959"/>
          <w:sz w:val="20"/>
          <w:szCs w:val="20"/>
        </w:rPr>
        <w:t xml:space="preserve">config.py underlies every stage above: it is the single source of truth for endpoint paths, CSS selectors, category order, and timeouts.</w:t>
      </w:r>
    </w:p>
    <w:p>
      <w:pPr>
        <w:pStyle w:val="Heading2"/>
        <w:spacing w:after="120" w:before="260"/>
      </w:pPr>
      <w:r>
        <w:t xml:space="preserve">2.2 Output layout on disk</w:t>
      </w:r>
    </w:p>
    <w:p>
      <w:pPr>
        <w:spacing w:after="140" w:line="276"/>
      </w:pPr>
      <w:r>
        <w:t xml:space="preserve">Each run writes to output/&lt;reg_no&gt;/, with a parallel archive tree for prior runs:</w:t>
      </w:r>
    </w:p>
    <w:p>
      <w:pPr>
        <w:pStyle w:val="ListParagraph"/>
        <w:numPr>
          <w:ilvl w:val="0"/>
          <w:numId w:val="2"/>
        </w:numPr>
        <w:spacing w:after="80" w:line="276"/>
      </w:pPr>
      <w:r>
        <w:t xml:space="preserve">output/&lt;reg_no&gt;/raw/*.json -- one file per fetched category</w:t>
      </w:r>
    </w:p>
    <w:p>
      <w:pPr>
        <w:pStyle w:val="ListParagraph"/>
        <w:numPr>
          <w:ilvl w:val="0"/>
          <w:numId w:val="2"/>
        </w:numPr>
        <w:spacing w:after="80" w:line="276"/>
      </w:pPr>
      <w:r>
        <w:t xml:space="preserve">output/&lt;reg_no&gt;/documents/ -- every downloaded document, de-duplicated by filename</w:t>
      </w:r>
    </w:p>
    <w:p>
      <w:pPr>
        <w:pStyle w:val="ListParagraph"/>
        <w:numPr>
          <w:ilvl w:val="0"/>
          <w:numId w:val="2"/>
        </w:numPr>
        <w:spacing w:after="80" w:line="276"/>
      </w:pPr>
      <w:r>
        <w:t xml:space="preserve">output/&lt;reg_no&gt;/documents_manifest.json -- per-document status (downloaded / reused / failed)</w:t>
      </w:r>
    </w:p>
    <w:p>
      <w:pPr>
        <w:pStyle w:val="ListParagraph"/>
        <w:numPr>
          <w:ilvl w:val="0"/>
          <w:numId w:val="2"/>
        </w:numPr>
        <w:spacing w:after="80" w:line="276"/>
      </w:pPr>
      <w:r>
        <w:t xml:space="preserve">output/&lt;reg_no&gt;/promoter/portfolio.json -- the promoter's aggregate track record</w:t>
      </w:r>
    </w:p>
    <w:p>
      <w:pPr>
        <w:pStyle w:val="ListParagraph"/>
        <w:numPr>
          <w:ilvl w:val="0"/>
          <w:numId w:val="2"/>
        </w:numPr>
        <w:spacing w:after="80" w:line="276"/>
      </w:pPr>
      <w:r>
        <w:t xml:space="preserve">output/&lt;reg_no&gt;/research/deep_research.json -- the Deep Research output</w:t>
      </w:r>
    </w:p>
    <w:p>
      <w:pPr>
        <w:pStyle w:val="ListParagraph"/>
        <w:numPr>
          <w:ilvl w:val="0"/>
          <w:numId w:val="2"/>
        </w:numPr>
        <w:spacing w:after="80" w:line="276"/>
      </w:pPr>
      <w:r>
        <w:t xml:space="preserve">output/&lt;reg_no&gt;/run_meta.json -- auth source, promoter name, charter path, generation timestamp</w:t>
      </w:r>
    </w:p>
    <w:p>
      <w:pPr>
        <w:pStyle w:val="ListParagraph"/>
        <w:numPr>
          <w:ilvl w:val="0"/>
          <w:numId w:val="2"/>
        </w:numPr>
        <w:spacing w:after="80" w:line="276"/>
      </w:pPr>
      <w:r>
        <w:t xml:space="preserve">output/&lt;reg_no&gt;/&lt;reg_no&gt;_summary.pdf -- the final assembled report</w:t>
      </w:r>
    </w:p>
    <w:p>
      <w:pPr>
        <w:pStyle w:val="ListParagraph"/>
        <w:numPr>
          <w:ilvl w:val="0"/>
          <w:numId w:val="2"/>
        </w:numPr>
        <w:spacing w:after="80" w:line="276"/>
      </w:pPr>
      <w:r>
        <w:t xml:space="preserve">output/company_charters/Company_Charter_&lt;Project&gt;_&lt;reg_no&gt;.docx (+ .facts.json) -- the generated Company Charter</w:t>
      </w:r>
    </w:p>
    <w:p>
      <w:pPr>
        <w:pStyle w:val="ListParagraph"/>
        <w:numPr>
          <w:ilvl w:val="0"/>
          <w:numId w:val="2"/>
        </w:numPr>
        <w:spacing w:after="80" w:line="276"/>
      </w:pPr>
      <w:r>
        <w:t xml:space="preserve">output/_history/&lt;reg_no&gt;/&lt;timestamp&gt;/ -- a full snapshot of the previous run, moved here (never deleted) before a fresh run starts</w:t>
      </w:r>
    </w:p>
    <w:p>
      <w:pPr>
        <w:pStyle w:val="Heading2"/>
        <w:spacing w:after="120" w:before="260"/>
      </w:pPr>
      <w:r>
        <w:t xml:space="preserve">2.3 Reliability boundary</w:t>
      </w:r>
    </w:p>
    <w:p>
      <w:pPr>
        <w:spacing w:after="140" w:line="276"/>
      </w:pPr>
      <w:r>
        <w:t xml:space="preserve">Stages 1-6 are deterministic and cannot be affected by Claude API availability. Stages 7-8 are wrapped in broad exception handling in main.py / app.py: a missing ANTHROPIC_API_KEY, a rate limit, a network hiccup, or a template mismatch is caught, logged as a warning, and never aborts the run. The affected section is simply left unpopulated and can be regenerated standalone later (python deep_research.py &lt;REG_NO&gt; or python company_charter.py &lt;REG_NO&gt;).</w:t>
      </w:r>
    </w:p>
    <w:p>
      <w:r>
        <w:br w:type="page"/>
      </w:r>
    </w:p>
    <w:p>
      <w:pPr>
        <w:pStyle w:val="Heading1"/>
        <w:spacing w:after="160" w:before="360"/>
      </w:pPr>
      <w:r>
        <w:t xml:space="preserve">3. Module-by-Module Reference</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2000"/>
        <w:gridCol w:w="900"/>
        <w:gridCol w:w="6500"/>
      </w:tblGrid>
      <w:tr>
        <w:trPr>
          <w:tblHeader/>
        </w:trPr>
        <w:tc>
          <w:tcPr>
            <w:tcW w:type="dxa" w:w="2000"/>
            <w:shd w:fill="D9E2F3" w:val="clear"/>
            <w:tcMar>
              <w:top w:type="dxa" w:w="80"/>
              <w:left w:type="dxa" w:w="100"/>
              <w:bottom w:type="dxa" w:w="80"/>
              <w:right w:type="dxa" w:w="100"/>
            </w:tcMar>
          </w:tcPr>
          <w:p>
            <w:r>
              <w:rPr>
                <w:b/>
                <w:bCs/>
                <w:sz w:val="20"/>
                <w:szCs w:val="20"/>
              </w:rPr>
              <w:t xml:space="preserve">Module</w:t>
            </w:r>
          </w:p>
        </w:tc>
        <w:tc>
          <w:tcPr>
            <w:tcW w:type="dxa" w:w="900"/>
            <w:shd w:fill="D9E2F3" w:val="clear"/>
            <w:tcMar>
              <w:top w:type="dxa" w:w="80"/>
              <w:left w:type="dxa" w:w="100"/>
              <w:bottom w:type="dxa" w:w="80"/>
              <w:right w:type="dxa" w:w="100"/>
            </w:tcMar>
          </w:tcPr>
          <w:p>
            <w:r>
              <w:rPr>
                <w:b/>
                <w:bCs/>
                <w:sz w:val="20"/>
                <w:szCs w:val="20"/>
              </w:rPr>
              <w:t xml:space="preserve">Lines</w:t>
            </w:r>
          </w:p>
        </w:tc>
        <w:tc>
          <w:tcPr>
            <w:tcW w:type="dxa" w:w="6500"/>
            <w:shd w:fill="D9E2F3" w:val="clear"/>
            <w:tcMar>
              <w:top w:type="dxa" w:w="80"/>
              <w:left w:type="dxa" w:w="100"/>
              <w:bottom w:type="dxa" w:w="80"/>
              <w:right w:type="dxa" w:w="100"/>
            </w:tcMar>
          </w:tcPr>
          <w:p>
            <w:r>
              <w:rPr>
                <w:b/>
                <w:bCs/>
                <w:sz w:val="20"/>
                <w:szCs w:val="20"/>
              </w:rPr>
              <w:t xml:space="preserve">Responsibility</w:t>
            </w:r>
          </w:p>
        </w:tc>
      </w:tr>
      <w:tr>
        <w:tc>
          <w:tcPr>
            <w:tcW w:type="dxa" w:w="2000"/>
            <w:tcMar>
              <w:top w:type="dxa" w:w="80"/>
              <w:left w:type="dxa" w:w="100"/>
              <w:bottom w:type="dxa" w:w="80"/>
              <w:right w:type="dxa" w:w="100"/>
            </w:tcMar>
          </w:tcPr>
          <w:p>
            <w:r>
              <w:rPr>
                <w:b w:val="false"/>
                <w:bCs w:val="false"/>
                <w:sz w:val="20"/>
                <w:szCs w:val="20"/>
              </w:rPr>
              <w:t xml:space="preserve">config.py</w:t>
            </w:r>
          </w:p>
        </w:tc>
        <w:tc>
          <w:tcPr>
            <w:tcW w:type="dxa" w:w="900"/>
            <w:tcMar>
              <w:top w:type="dxa" w:w="80"/>
              <w:left w:type="dxa" w:w="100"/>
              <w:bottom w:type="dxa" w:w="80"/>
              <w:right w:type="dxa" w:w="100"/>
            </w:tcMar>
          </w:tcPr>
          <w:p>
            <w:r>
              <w:rPr>
                <w:b w:val="false"/>
                <w:bCs w:val="false"/>
                <w:sz w:val="20"/>
                <w:szCs w:val="20"/>
              </w:rPr>
              <w:t xml:space="preserve">136</w:t>
            </w:r>
          </w:p>
        </w:tc>
        <w:tc>
          <w:tcPr>
            <w:tcW w:type="dxa" w:w="6500"/>
            <w:tcMar>
              <w:top w:type="dxa" w:w="80"/>
              <w:left w:type="dxa" w:w="100"/>
              <w:bottom w:type="dxa" w:w="80"/>
              <w:right w:type="dxa" w:w="100"/>
            </w:tcMar>
          </w:tcPr>
          <w:p>
            <w:r>
              <w:rPr>
                <w:b w:val="false"/>
                <w:bCs w:val="false"/>
                <w:sz w:val="20"/>
                <w:szCs w:val="20"/>
              </w:rPr>
              <w:t xml:space="preserve">Central configuration: endpoint paths, CSS selectors, category order, timeouts, promoter project limit. Documents which endpoints are individually confirmed vs merely observed on live traffic.</w:t>
            </w:r>
          </w:p>
        </w:tc>
      </w:tr>
      <w:tr>
        <w:tc>
          <w:tcPr>
            <w:tcW w:type="dxa" w:w="2000"/>
            <w:tcMar>
              <w:top w:type="dxa" w:w="80"/>
              <w:left w:type="dxa" w:w="100"/>
              <w:bottom w:type="dxa" w:w="80"/>
              <w:right w:type="dxa" w:w="100"/>
            </w:tcMar>
          </w:tcPr>
          <w:p>
            <w:r>
              <w:rPr>
                <w:b w:val="false"/>
                <w:bCs w:val="false"/>
                <w:sz w:val="20"/>
                <w:szCs w:val="20"/>
              </w:rPr>
              <w:t xml:space="preserve">resolver.py</w:t>
            </w:r>
          </w:p>
        </w:tc>
        <w:tc>
          <w:tcPr>
            <w:tcW w:type="dxa" w:w="900"/>
            <w:tcMar>
              <w:top w:type="dxa" w:w="80"/>
              <w:left w:type="dxa" w:w="100"/>
              <w:bottom w:type="dxa" w:w="80"/>
              <w:right w:type="dxa" w:w="100"/>
            </w:tcMar>
          </w:tcPr>
          <w:p>
            <w:r>
              <w:rPr>
                <w:b w:val="false"/>
                <w:bCs w:val="false"/>
                <w:sz w:val="20"/>
                <w:szCs w:val="20"/>
              </w:rPr>
              <w:t xml:space="preserve">213</w:t>
            </w:r>
          </w:p>
        </w:tc>
        <w:tc>
          <w:tcPr>
            <w:tcW w:type="dxa" w:w="6500"/>
            <w:tcMar>
              <w:top w:type="dxa" w:w="80"/>
              <w:left w:type="dxa" w:w="100"/>
              <w:bottom w:type="dxa" w:w="80"/>
              <w:right w:type="dxa" w:w="100"/>
            </w:tcMar>
          </w:tcPr>
          <w:p>
            <w:r>
              <w:rPr>
                <w:b w:val="false"/>
                <w:bCs w:val="false"/>
                <w:sz w:val="20"/>
                <w:szCs w:val="20"/>
              </w:rPr>
              <w:t xml:space="preserve">Resolves a registration number or free-text project name to MahaRERA's internal numeric project ID via the fully public 'Search Project' box -- no login, no CAPTCHA. Reads the 'View Details' link's href directly, without clicking it, to avoid triggering the site's leave-this-site confirm dialog and the CAPTCHA-gated detail page.</w:t>
            </w:r>
          </w:p>
        </w:tc>
      </w:tr>
      <w:tr>
        <w:tc>
          <w:tcPr>
            <w:tcW w:type="dxa" w:w="2000"/>
            <w:tcMar>
              <w:top w:type="dxa" w:w="80"/>
              <w:left w:type="dxa" w:w="100"/>
              <w:bottom w:type="dxa" w:w="80"/>
              <w:right w:type="dxa" w:w="100"/>
            </w:tcMar>
          </w:tcPr>
          <w:p>
            <w:r>
              <w:rPr>
                <w:b w:val="false"/>
                <w:bCs w:val="false"/>
                <w:sz w:val="20"/>
                <w:szCs w:val="20"/>
              </w:rPr>
              <w:t xml:space="preserve">session_auth.py</w:t>
            </w:r>
          </w:p>
        </w:tc>
        <w:tc>
          <w:tcPr>
            <w:tcW w:type="dxa" w:w="900"/>
            <w:tcMar>
              <w:top w:type="dxa" w:w="80"/>
              <w:left w:type="dxa" w:w="100"/>
              <w:bottom w:type="dxa" w:w="80"/>
              <w:right w:type="dxa" w:w="100"/>
            </w:tcMar>
          </w:tcPr>
          <w:p>
            <w:r>
              <w:rPr>
                <w:b w:val="false"/>
                <w:bCs w:val="false"/>
                <w:sz w:val="20"/>
                <w:szCs w:val="20"/>
              </w:rPr>
              <w:t xml:space="preserve">113</w:t>
            </w:r>
          </w:p>
        </w:tc>
        <w:tc>
          <w:tcPr>
            <w:tcW w:type="dxa" w:w="6500"/>
            <w:tcMar>
              <w:top w:type="dxa" w:w="80"/>
              <w:left w:type="dxa" w:w="100"/>
              <w:bottom w:type="dxa" w:w="80"/>
              <w:right w:type="dxa" w:w="100"/>
            </w:tcMar>
          </w:tcPr>
          <w:p>
            <w:r>
              <w:rPr>
                <w:b w:val="false"/>
                <w:bCs w:val="false"/>
                <w:sz w:val="20"/>
                <w:szCs w:val="20"/>
              </w:rPr>
              <w:t xml:space="preserve">Opens a real, visible browser on the project detail page and waits for a human to solve MahaRERA's homegrown text CAPTCHA. Reads the resulting guest accessToken out of sessionStorage once granted and hands it to token_cache.</w:t>
            </w:r>
          </w:p>
        </w:tc>
      </w:tr>
      <w:tr>
        <w:tc>
          <w:tcPr>
            <w:tcW w:type="dxa" w:w="2000"/>
            <w:tcMar>
              <w:top w:type="dxa" w:w="80"/>
              <w:left w:type="dxa" w:w="100"/>
              <w:bottom w:type="dxa" w:w="80"/>
              <w:right w:type="dxa" w:w="100"/>
            </w:tcMar>
          </w:tcPr>
          <w:p>
            <w:r>
              <w:rPr>
                <w:b w:val="false"/>
                <w:bCs w:val="false"/>
                <w:sz w:val="20"/>
                <w:szCs w:val="20"/>
              </w:rPr>
              <w:t xml:space="preserve">token_cache.py</w:t>
            </w:r>
          </w:p>
        </w:tc>
        <w:tc>
          <w:tcPr>
            <w:tcW w:type="dxa" w:w="900"/>
            <w:tcMar>
              <w:top w:type="dxa" w:w="80"/>
              <w:left w:type="dxa" w:w="100"/>
              <w:bottom w:type="dxa" w:w="80"/>
              <w:right w:type="dxa" w:w="100"/>
            </w:tcMar>
          </w:tcPr>
          <w:p>
            <w:r>
              <w:rPr>
                <w:b w:val="false"/>
                <w:bCs w:val="false"/>
                <w:sz w:val="20"/>
                <w:szCs w:val="20"/>
              </w:rPr>
              <w:t xml:space="preserve">97</w:t>
            </w:r>
          </w:p>
        </w:tc>
        <w:tc>
          <w:tcPr>
            <w:tcW w:type="dxa" w:w="6500"/>
            <w:tcMar>
              <w:top w:type="dxa" w:w="80"/>
              <w:left w:type="dxa" w:w="100"/>
              <w:bottom w:type="dxa" w:w="80"/>
              <w:right w:type="dxa" w:w="100"/>
            </w:tcMar>
          </w:tcPr>
          <w:p>
            <w:r>
              <w:rPr>
                <w:b w:val="false"/>
                <w:bCs w:val="false"/>
                <w:sz w:val="20"/>
                <w:szCs w:val="20"/>
              </w:rPr>
              <w:t xml:space="preserve">Persists the guest token with a timestamp; reuses it for up to ~90 minutes (safety margin under the real ~100 minute token lifetime) so the CAPTCHA is not re-solved for every project lookup in a session.</w:t>
            </w:r>
          </w:p>
        </w:tc>
      </w:tr>
      <w:tr>
        <w:tc>
          <w:tcPr>
            <w:tcW w:type="dxa" w:w="2000"/>
            <w:tcMar>
              <w:top w:type="dxa" w:w="80"/>
              <w:left w:type="dxa" w:w="100"/>
              <w:bottom w:type="dxa" w:w="80"/>
              <w:right w:type="dxa" w:w="100"/>
            </w:tcMar>
          </w:tcPr>
          <w:p>
            <w:r>
              <w:rPr>
                <w:b w:val="false"/>
                <w:bCs w:val="false"/>
                <w:sz w:val="20"/>
                <w:szCs w:val="20"/>
              </w:rPr>
              <w:t xml:space="preserve">api_client.py</w:t>
            </w:r>
          </w:p>
        </w:tc>
        <w:tc>
          <w:tcPr>
            <w:tcW w:type="dxa" w:w="900"/>
            <w:tcMar>
              <w:top w:type="dxa" w:w="80"/>
              <w:left w:type="dxa" w:w="100"/>
              <w:bottom w:type="dxa" w:w="80"/>
              <w:right w:type="dxa" w:w="100"/>
            </w:tcMar>
          </w:tcPr>
          <w:p>
            <w:r>
              <w:rPr>
                <w:b w:val="false"/>
                <w:bCs w:val="false"/>
                <w:sz w:val="20"/>
                <w:szCs w:val="20"/>
              </w:rPr>
              <w:t xml:space="preserve">420</w:t>
            </w:r>
          </w:p>
        </w:tc>
        <w:tc>
          <w:tcPr>
            <w:tcW w:type="dxa" w:w="6500"/>
            <w:tcMar>
              <w:top w:type="dxa" w:w="80"/>
              <w:left w:type="dxa" w:w="100"/>
              <w:bottom w:type="dxa" w:w="80"/>
              <w:right w:type="dxa" w:w="100"/>
            </w:tcMar>
          </w:tcPr>
          <w:p>
            <w:r>
              <w:rPr>
                <w:b w:val="false"/>
                <w:bCs w:val="false"/>
                <w:sz w:val="20"/>
                <w:szCs w:val="20"/>
              </w:rPr>
              <w:t xml:space="preserve">Talks to MahaRERA's public data API. Fetches all 9 categories as POST {projectId}. Downloads documents via the real DMS POST-download mechanism with a direct-URL fallback. De-duplicates filenames so two distinct documents can never silently overwrite each other on disk.</w:t>
            </w:r>
          </w:p>
        </w:tc>
      </w:tr>
      <w:tr>
        <w:tc>
          <w:tcPr>
            <w:tcW w:type="dxa" w:w="2000"/>
            <w:tcMar>
              <w:top w:type="dxa" w:w="80"/>
              <w:left w:type="dxa" w:w="100"/>
              <w:bottom w:type="dxa" w:w="80"/>
              <w:right w:type="dxa" w:w="100"/>
            </w:tcMar>
          </w:tcPr>
          <w:p>
            <w:r>
              <w:rPr>
                <w:b w:val="false"/>
                <w:bCs w:val="false"/>
                <w:sz w:val="20"/>
                <w:szCs w:val="20"/>
              </w:rPr>
              <w:t xml:space="preserve">discover.py</w:t>
            </w:r>
          </w:p>
        </w:tc>
        <w:tc>
          <w:tcPr>
            <w:tcW w:type="dxa" w:w="900"/>
            <w:tcMar>
              <w:top w:type="dxa" w:w="80"/>
              <w:left w:type="dxa" w:w="100"/>
              <w:bottom w:type="dxa" w:w="80"/>
              <w:right w:type="dxa" w:w="100"/>
            </w:tcMar>
          </w:tcPr>
          <w:p>
            <w:r>
              <w:rPr>
                <w:b w:val="false"/>
                <w:bCs w:val="false"/>
                <w:sz w:val="20"/>
                <w:szCs w:val="20"/>
              </w:rPr>
              <w:t xml:space="preserve">49</w:t>
            </w:r>
          </w:p>
        </w:tc>
        <w:tc>
          <w:tcPr>
            <w:tcW w:type="dxa" w:w="6500"/>
            <w:tcMar>
              <w:top w:type="dxa" w:w="80"/>
              <w:left w:type="dxa" w:w="100"/>
              <w:bottom w:type="dxa" w:w="80"/>
              <w:right w:type="dxa" w:w="100"/>
            </w:tcMar>
          </w:tcPr>
          <w:p>
            <w:r>
              <w:rPr>
                <w:b w:val="false"/>
                <w:bCs w:val="false"/>
                <w:sz w:val="20"/>
                <w:szCs w:val="20"/>
              </w:rPr>
              <w:t xml:space="preserve">--verify mode: sanity-checks every configured category endpoint against a real project and reports whether each actually returns usable data.</w:t>
            </w:r>
          </w:p>
        </w:tc>
      </w:tr>
      <w:tr>
        <w:tc>
          <w:tcPr>
            <w:tcW w:type="dxa" w:w="2000"/>
            <w:tcMar>
              <w:top w:type="dxa" w:w="80"/>
              <w:left w:type="dxa" w:w="100"/>
              <w:bottom w:type="dxa" w:w="80"/>
              <w:right w:type="dxa" w:w="100"/>
            </w:tcMar>
          </w:tcPr>
          <w:p>
            <w:r>
              <w:rPr>
                <w:b w:val="false"/>
                <w:bCs w:val="false"/>
                <w:sz w:val="20"/>
                <w:szCs w:val="20"/>
              </w:rPr>
              <w:t xml:space="preserve">run_archive.py</w:t>
            </w:r>
          </w:p>
        </w:tc>
        <w:tc>
          <w:tcPr>
            <w:tcW w:type="dxa" w:w="900"/>
            <w:tcMar>
              <w:top w:type="dxa" w:w="80"/>
              <w:left w:type="dxa" w:w="100"/>
              <w:bottom w:type="dxa" w:w="80"/>
              <w:right w:type="dxa" w:w="100"/>
            </w:tcMar>
          </w:tcPr>
          <w:p>
            <w:r>
              <w:rPr>
                <w:b w:val="false"/>
                <w:bCs w:val="false"/>
                <w:sz w:val="20"/>
                <w:szCs w:val="20"/>
              </w:rPr>
              <w:t xml:space="preserve">78</w:t>
            </w:r>
          </w:p>
        </w:tc>
        <w:tc>
          <w:tcPr>
            <w:tcW w:type="dxa" w:w="6500"/>
            <w:tcMar>
              <w:top w:type="dxa" w:w="80"/>
              <w:left w:type="dxa" w:w="100"/>
              <w:bottom w:type="dxa" w:w="80"/>
              <w:right w:type="dxa" w:w="100"/>
            </w:tcMar>
          </w:tcPr>
          <w:p>
            <w:r>
              <w:rPr>
                <w:b w:val="false"/>
                <w:bCs w:val="false"/>
                <w:sz w:val="20"/>
                <w:szCs w:val="20"/>
              </w:rPr>
              <w:t xml:space="preserve">Archives output/&lt;reg_no&gt;/ to output/_history/&lt;reg_no&gt;/&lt;timestamp&gt;/ before a fresh run overwrites it, and hands back the prior run's research/documents so they can be reused instead of redone from zero.</w:t>
            </w:r>
          </w:p>
        </w:tc>
      </w:tr>
      <w:tr>
        <w:tc>
          <w:tcPr>
            <w:tcW w:type="dxa" w:w="2000"/>
            <w:tcMar>
              <w:top w:type="dxa" w:w="80"/>
              <w:left w:type="dxa" w:w="100"/>
              <w:bottom w:type="dxa" w:w="80"/>
              <w:right w:type="dxa" w:w="100"/>
            </w:tcMar>
          </w:tcPr>
          <w:p>
            <w:r>
              <w:rPr>
                <w:b w:val="false"/>
                <w:bCs w:val="false"/>
                <w:sz w:val="20"/>
                <w:szCs w:val="20"/>
              </w:rPr>
              <w:t xml:space="preserve">promoter_portfolio.py</w:t>
            </w:r>
          </w:p>
        </w:tc>
        <w:tc>
          <w:tcPr>
            <w:tcW w:type="dxa" w:w="900"/>
            <w:tcMar>
              <w:top w:type="dxa" w:w="80"/>
              <w:left w:type="dxa" w:w="100"/>
              <w:bottom w:type="dxa" w:w="80"/>
              <w:right w:type="dxa" w:w="100"/>
            </w:tcMar>
          </w:tcPr>
          <w:p>
            <w:r>
              <w:rPr>
                <w:b w:val="false"/>
                <w:bCs w:val="false"/>
                <w:sz w:val="20"/>
                <w:szCs w:val="20"/>
              </w:rPr>
              <w:t xml:space="preserve">177</w:t>
            </w:r>
          </w:p>
        </w:tc>
        <w:tc>
          <w:tcPr>
            <w:tcW w:type="dxa" w:w="6500"/>
            <w:tcMar>
              <w:top w:type="dxa" w:w="80"/>
              <w:left w:type="dxa" w:w="100"/>
              <w:bottom w:type="dxa" w:w="80"/>
              <w:right w:type="dxa" w:w="100"/>
            </w:tcMar>
          </w:tcPr>
          <w:p>
            <w:r>
              <w:rPr>
                <w:b w:val="false"/>
                <w:bCs w:val="false"/>
                <w:sz w:val="20"/>
                <w:szCs w:val="20"/>
              </w:rPr>
              <w:t xml:space="preserve">Deterministic (no LLM) half of the promoter deep-research feature: searches MahaRERA's own Promoters tab and aggregates that promoter's full project count, complaint count, and appeal count.</w:t>
            </w:r>
          </w:p>
        </w:tc>
      </w:tr>
      <w:tr>
        <w:tc>
          <w:tcPr>
            <w:tcW w:type="dxa" w:w="2000"/>
            <w:tcMar>
              <w:top w:type="dxa" w:w="80"/>
              <w:left w:type="dxa" w:w="100"/>
              <w:bottom w:type="dxa" w:w="80"/>
              <w:right w:type="dxa" w:w="100"/>
            </w:tcMar>
          </w:tcPr>
          <w:p>
            <w:r>
              <w:rPr>
                <w:b w:val="false"/>
                <w:bCs w:val="false"/>
                <w:sz w:val="20"/>
                <w:szCs w:val="20"/>
              </w:rPr>
              <w:t xml:space="preserve">deep_research.py</w:t>
            </w:r>
          </w:p>
        </w:tc>
        <w:tc>
          <w:tcPr>
            <w:tcW w:type="dxa" w:w="900"/>
            <w:tcMar>
              <w:top w:type="dxa" w:w="80"/>
              <w:left w:type="dxa" w:w="100"/>
              <w:bottom w:type="dxa" w:w="80"/>
              <w:right w:type="dxa" w:w="100"/>
            </w:tcMar>
          </w:tcPr>
          <w:p>
            <w:r>
              <w:rPr>
                <w:b w:val="false"/>
                <w:bCs w:val="false"/>
                <w:sz w:val="20"/>
                <w:szCs w:val="20"/>
              </w:rPr>
              <w:t xml:space="preserve">348</w:t>
            </w:r>
          </w:p>
        </w:tc>
        <w:tc>
          <w:tcPr>
            <w:tcW w:type="dxa" w:w="6500"/>
            <w:tcMar>
              <w:top w:type="dxa" w:w="80"/>
              <w:left w:type="dxa" w:w="100"/>
              <w:bottom w:type="dxa" w:w="80"/>
              <w:right w:type="dxa" w:w="100"/>
            </w:tcMar>
          </w:tcPr>
          <w:p>
            <w:r>
              <w:rPr>
                <w:b w:val="false"/>
                <w:bCs w:val="false"/>
                <w:sz w:val="20"/>
                <w:szCs w:val="20"/>
              </w:rPr>
              <w:t xml:space="preserve">Agentic Claude API research pass. Produces macro_market, micro_market, and promoter_external blocks, each independently verified and gap-retried. See Section 5.</w:t>
            </w:r>
          </w:p>
        </w:tc>
      </w:tr>
      <w:tr>
        <w:tc>
          <w:tcPr>
            <w:tcW w:type="dxa" w:w="2000"/>
            <w:tcMar>
              <w:top w:type="dxa" w:w="80"/>
              <w:left w:type="dxa" w:w="100"/>
              <w:bottom w:type="dxa" w:w="80"/>
              <w:right w:type="dxa" w:w="100"/>
            </w:tcMar>
          </w:tcPr>
          <w:p>
            <w:r>
              <w:rPr>
                <w:b w:val="false"/>
                <w:bCs w:val="false"/>
                <w:sz w:val="20"/>
                <w:szCs w:val="20"/>
              </w:rPr>
              <w:t xml:space="preserve">company_charter.py</w:t>
            </w:r>
          </w:p>
        </w:tc>
        <w:tc>
          <w:tcPr>
            <w:tcW w:type="dxa" w:w="900"/>
            <w:tcMar>
              <w:top w:type="dxa" w:w="80"/>
              <w:left w:type="dxa" w:w="100"/>
              <w:bottom w:type="dxa" w:w="80"/>
              <w:right w:type="dxa" w:w="100"/>
            </w:tcMar>
          </w:tcPr>
          <w:p>
            <w:r>
              <w:rPr>
                <w:b w:val="false"/>
                <w:bCs w:val="false"/>
                <w:sz w:val="20"/>
                <w:szCs w:val="20"/>
              </w:rPr>
              <w:t xml:space="preserve">840</w:t>
            </w:r>
          </w:p>
        </w:tc>
        <w:tc>
          <w:tcPr>
            <w:tcW w:type="dxa" w:w="6500"/>
            <w:tcMar>
              <w:top w:type="dxa" w:w="80"/>
              <w:left w:type="dxa" w:w="100"/>
              <w:bottom w:type="dxa" w:w="80"/>
              <w:right w:type="dxa" w:w="100"/>
            </w:tcMar>
          </w:tcPr>
          <w:p>
            <w:r>
              <w:rPr>
                <w:b w:val="false"/>
                <w:bCs w:val="false"/>
                <w:sz w:val="20"/>
                <w:szCs w:val="20"/>
              </w:rPr>
              <w:t xml:space="preserve">Agentic Claude API pass that fills a real Word template in place with sourced legal / financial / corporate / comparable-project facts. Includes OCR for scanned documents, an optional live Google Maps distance refinement, and the computed Data Authenticity page. See Section 5.</w:t>
            </w:r>
          </w:p>
        </w:tc>
      </w:tr>
      <w:tr>
        <w:tc>
          <w:tcPr>
            <w:tcW w:type="dxa" w:w="2000"/>
            <w:tcMar>
              <w:top w:type="dxa" w:w="80"/>
              <w:left w:type="dxa" w:w="100"/>
              <w:bottom w:type="dxa" w:w="80"/>
              <w:right w:type="dxa" w:w="100"/>
            </w:tcMar>
          </w:tcPr>
          <w:p>
            <w:r>
              <w:rPr>
                <w:b w:val="false"/>
                <w:bCs w:val="false"/>
                <w:sz w:val="20"/>
                <w:szCs w:val="20"/>
              </w:rPr>
              <w:t xml:space="preserve">report.py</w:t>
            </w:r>
          </w:p>
        </w:tc>
        <w:tc>
          <w:tcPr>
            <w:tcW w:type="dxa" w:w="900"/>
            <w:tcMar>
              <w:top w:type="dxa" w:w="80"/>
              <w:left w:type="dxa" w:w="100"/>
              <w:bottom w:type="dxa" w:w="80"/>
              <w:right w:type="dxa" w:w="100"/>
            </w:tcMar>
          </w:tcPr>
          <w:p>
            <w:r>
              <w:rPr>
                <w:b w:val="false"/>
                <w:bCs w:val="false"/>
                <w:sz w:val="20"/>
                <w:szCs w:val="20"/>
              </w:rPr>
              <w:t xml:space="preserve">500</w:t>
            </w:r>
          </w:p>
        </w:tc>
        <w:tc>
          <w:tcPr>
            <w:tcW w:type="dxa" w:w="6500"/>
            <w:tcMar>
              <w:top w:type="dxa" w:w="80"/>
              <w:left w:type="dxa" w:w="100"/>
              <w:bottom w:type="dxa" w:w="80"/>
              <w:right w:type="dxa" w:w="100"/>
            </w:tcMar>
          </w:tcPr>
          <w:p>
            <w:r>
              <w:rPr>
                <w:b w:val="false"/>
                <w:bCs w:val="false"/>
                <w:sz w:val="20"/>
                <w:szCs w:val="20"/>
              </w:rPr>
              <w:t xml:space="preserve">Builds the single structured summary PDF from all fetched/generated data, using ReportLab (pure Python, no native dependencies).</w:t>
            </w:r>
          </w:p>
        </w:tc>
      </w:tr>
      <w:tr>
        <w:tc>
          <w:tcPr>
            <w:tcW w:type="dxa" w:w="2000"/>
            <w:tcMar>
              <w:top w:type="dxa" w:w="80"/>
              <w:left w:type="dxa" w:w="100"/>
              <w:bottom w:type="dxa" w:w="80"/>
              <w:right w:type="dxa" w:w="100"/>
            </w:tcMar>
          </w:tcPr>
          <w:p>
            <w:r>
              <w:rPr>
                <w:b w:val="false"/>
                <w:bCs w:val="false"/>
                <w:sz w:val="20"/>
                <w:szCs w:val="20"/>
              </w:rPr>
              <w:t xml:space="preserve">finalize_report.py</w:t>
            </w:r>
          </w:p>
        </w:tc>
        <w:tc>
          <w:tcPr>
            <w:tcW w:type="dxa" w:w="900"/>
            <w:tcMar>
              <w:top w:type="dxa" w:w="80"/>
              <w:left w:type="dxa" w:w="100"/>
              <w:bottom w:type="dxa" w:w="80"/>
              <w:right w:type="dxa" w:w="100"/>
            </w:tcMar>
          </w:tcPr>
          <w:p>
            <w:r>
              <w:rPr>
                <w:b w:val="false"/>
                <w:bCs w:val="false"/>
                <w:sz w:val="20"/>
                <w:szCs w:val="20"/>
              </w:rPr>
              <w:t xml:space="preserve">100</w:t>
            </w:r>
          </w:p>
        </w:tc>
        <w:tc>
          <w:tcPr>
            <w:tcW w:type="dxa" w:w="6500"/>
            <w:tcMar>
              <w:top w:type="dxa" w:w="80"/>
              <w:left w:type="dxa" w:w="100"/>
              <w:bottom w:type="dxa" w:w="80"/>
              <w:right w:type="dxa" w:w="100"/>
            </w:tcMar>
          </w:tcPr>
          <w:p>
            <w:r>
              <w:rPr>
                <w:b w:val="false"/>
                <w:bCs w:val="false"/>
                <w:sz w:val="20"/>
                <w:szCs w:val="20"/>
              </w:rPr>
              <w:t xml:space="preserve">Rebuilds &lt;reg_no&gt;_summary.pdf entirely from what is already saved on disk -- zero network calls, no Playwright, no CAPTCHA. Used to pick up new sections or layout changes without re-scraping.</w:t>
            </w:r>
          </w:p>
        </w:tc>
      </w:tr>
      <w:tr>
        <w:tc>
          <w:tcPr>
            <w:tcW w:type="dxa" w:w="2000"/>
            <w:tcMar>
              <w:top w:type="dxa" w:w="80"/>
              <w:left w:type="dxa" w:w="100"/>
              <w:bottom w:type="dxa" w:w="80"/>
              <w:right w:type="dxa" w:w="100"/>
            </w:tcMar>
          </w:tcPr>
          <w:p>
            <w:r>
              <w:rPr>
                <w:b w:val="false"/>
                <w:bCs w:val="false"/>
                <w:sz w:val="20"/>
                <w:szCs w:val="20"/>
              </w:rPr>
              <w:t xml:space="preserve">main.py</w:t>
            </w:r>
          </w:p>
        </w:tc>
        <w:tc>
          <w:tcPr>
            <w:tcW w:type="dxa" w:w="900"/>
            <w:tcMar>
              <w:top w:type="dxa" w:w="80"/>
              <w:left w:type="dxa" w:w="100"/>
              <w:bottom w:type="dxa" w:w="80"/>
              <w:right w:type="dxa" w:w="100"/>
            </w:tcMar>
          </w:tcPr>
          <w:p>
            <w:r>
              <w:rPr>
                <w:b w:val="false"/>
                <w:bCs w:val="false"/>
                <w:sz w:val="20"/>
                <w:szCs w:val="20"/>
              </w:rPr>
              <w:t xml:space="preserve">408</w:t>
            </w:r>
          </w:p>
        </w:tc>
        <w:tc>
          <w:tcPr>
            <w:tcW w:type="dxa" w:w="6500"/>
            <w:tcMar>
              <w:top w:type="dxa" w:w="80"/>
              <w:left w:type="dxa" w:w="100"/>
              <w:bottom w:type="dxa" w:w="80"/>
              <w:right w:type="dxa" w:w="100"/>
            </w:tcMar>
          </w:tcPr>
          <w:p>
            <w:r>
              <w:rPr>
                <w:b w:val="false"/>
                <w:bCs w:val="false"/>
                <w:sz w:val="20"/>
                <w:szCs w:val="20"/>
              </w:rPr>
              <w:t xml:space="preserve">CLI entry point: orchestrates all nine stages in order and prints a run summary.</w:t>
            </w:r>
          </w:p>
        </w:tc>
      </w:tr>
      <w:tr>
        <w:tc>
          <w:tcPr>
            <w:tcW w:type="dxa" w:w="2000"/>
            <w:tcMar>
              <w:top w:type="dxa" w:w="80"/>
              <w:left w:type="dxa" w:w="100"/>
              <w:bottom w:type="dxa" w:w="80"/>
              <w:right w:type="dxa" w:w="100"/>
            </w:tcMar>
          </w:tcPr>
          <w:p>
            <w:r>
              <w:rPr>
                <w:b w:val="false"/>
                <w:bCs w:val="false"/>
                <w:sz w:val="20"/>
                <w:szCs w:val="20"/>
              </w:rPr>
              <w:t xml:space="preserve">app.py</w:t>
            </w:r>
          </w:p>
        </w:tc>
        <w:tc>
          <w:tcPr>
            <w:tcW w:type="dxa" w:w="900"/>
            <w:tcMar>
              <w:top w:type="dxa" w:w="80"/>
              <w:left w:type="dxa" w:w="100"/>
              <w:bottom w:type="dxa" w:w="80"/>
              <w:right w:type="dxa" w:w="100"/>
            </w:tcMar>
          </w:tcPr>
          <w:p>
            <w:r>
              <w:rPr>
                <w:b w:val="false"/>
                <w:bCs w:val="false"/>
                <w:sz w:val="20"/>
                <w:szCs w:val="20"/>
              </w:rPr>
              <w:t xml:space="preserve">466</w:t>
            </w:r>
          </w:p>
        </w:tc>
        <w:tc>
          <w:tcPr>
            <w:tcW w:type="dxa" w:w="6500"/>
            <w:tcMar>
              <w:top w:type="dxa" w:w="80"/>
              <w:left w:type="dxa" w:w="100"/>
              <w:bottom w:type="dxa" w:w="80"/>
              <w:right w:type="dxa" w:w="100"/>
            </w:tcMar>
          </w:tcPr>
          <w:p>
            <w:r>
              <w:rPr>
                <w:b w:val="false"/>
                <w:bCs w:val="false"/>
                <w:sz w:val="20"/>
                <w:szCs w:val="20"/>
              </w:rPr>
              <w:t xml:space="preserve">Streamlit UI: identical orchestration to main.py, presented as a web page with a sidebar of options and per-category status.</w:t>
            </w:r>
          </w:p>
        </w:tc>
      </w:tr>
    </w:tbl>
    <w:p>
      <w:r>
        <w:br w:type="page"/>
      </w:r>
    </w:p>
    <w:p>
      <w:pPr>
        <w:pStyle w:val="Heading1"/>
        <w:spacing w:after="160" w:before="360"/>
      </w:pPr>
      <w:r>
        <w:t xml:space="preserve">4. Detailed Pipeline Walkthrough</w:t>
      </w:r>
    </w:p>
    <w:p>
      <w:pPr>
        <w:spacing w:after="140" w:line="276"/>
      </w:pPr>
      <w:r>
        <w:t xml:space="preserve">This section describes exactly what happens, in order, for a single run -- e.g. python main.py P52100019639.</w:t>
      </w:r>
    </w:p>
    <w:p>
      <w:pPr>
        <w:pStyle w:val="Heading2"/>
        <w:spacing w:after="120" w:before="260"/>
      </w:pPr>
      <w:r>
        <w:t xml:space="preserve">4.1 Resolve</w:t>
      </w:r>
    </w:p>
    <w:p>
      <w:pPr>
        <w:spacing w:after="140" w:line="276"/>
      </w:pPr>
      <w:r>
        <w:t xml:space="preserve">The query is checked against ^P\d{11}$ to decide whether it's a registration number or a free-text name. Either way, resolver.py drives a headless Chromium browser against MahaRERA's public Drupal site (maharera.maharashtra.gov.in), fills the Search Project box, and reads every 'View Details' link's href on the results page -- without clicking any of them. For an exact registration number this returns exactly one match; a free-text name may return several, in which case the CLI lists them and prompts for a choice (or the UI shows a picker).</w:t>
      </w:r>
    </w:p>
    <w:p>
      <w:pPr>
        <w:pStyle w:val="Heading2"/>
        <w:spacing w:after="120" w:before="260"/>
      </w:pPr>
      <w:r>
        <w:t xml:space="preserve">4.2 Authenticate</w:t>
      </w:r>
    </w:p>
    <w:p>
      <w:pPr>
        <w:spacing w:after="140" w:line="276"/>
      </w:pPr>
      <w:r>
        <w:t xml:space="preserve">Two of the nine categories (projects, complaints) require no authentication at all. The remaining seven need a short-lived guest access token, which MahaRERA only issues after a human solves a homegrown text CAPTCHA on the project's public detail page. ensure_token() checks, in order: an explicitly supplied token, a still-valid cached token (token_cache, ~90 minute reuse window), or -- failing both -- opens a real, visible browser via session_auth.acquire_token_via_browser() and polls sessionStorage until the token appears (up to a configurable timeout, default 300s) or the window is closed. Failure here is never fatal: the run continues with only the two free categories.</w:t>
      </w:r>
    </w:p>
    <w:p>
      <w:pPr>
        <w:pStyle w:val="Heading2"/>
        <w:spacing w:after="120" w:before="260"/>
      </w:pPr>
      <w:r>
        <w:t xml:space="preserve">4.3 Fetch categories</w:t>
      </w:r>
    </w:p>
    <w:p>
      <w:pPr>
        <w:spacing w:after="140" w:line="276"/>
      </w:pPr>
      <w:r>
        <w:t xml:space="preserve">api_client.fetch_all_categories() calls each of the 9 configured endpoints as POST {projectId}, unwraps MahaRERA's inconsistent response envelopes, and records per-category successes and failures. If any gated category comes back 401/403 despite a session being supplied, main.py invalidates the cached token, forces a fresh CAPTCHA solve, and retries just the failed categories once.</w:t>
      </w:r>
    </w:p>
    <w:p>
      <w:pPr>
        <w:pStyle w:val="Heading2"/>
        <w:spacing w:after="120" w:before="260"/>
      </w:pPr>
      <w:r>
        <w:t xml:space="preserve">4.4 Archive the previous run</w:t>
      </w:r>
    </w:p>
    <w:p>
      <w:pPr>
        <w:spacing w:after="140" w:line="276"/>
      </w:pPr>
      <w:r>
        <w:t xml:space="preserve">Before anything is overwritten, run_archive.load_prior_research() reads back any existing research/deep_research.json for this project, then archive_previous_run() moves the entire existing output/&lt;reg_no&gt;/ folder to output/_history/&lt;reg_no&gt;/&lt;timestamp&gt;/. Nothing is ever silently clobbered -- two runs of the same project can always be diffed. The archived folder's documents_manifest.json and documents/ are also read back, so a re-run can reuse already-downloaded documents and already-confirmed research instead of redoing them from zero.</w:t>
      </w:r>
    </w:p>
    <w:p>
      <w:pPr>
        <w:pStyle w:val="Heading2"/>
        <w:spacing w:after="120" w:before="260"/>
      </w:pPr>
      <w:r>
        <w:t xml:space="preserve">4.5 Download documents</w:t>
      </w:r>
    </w:p>
    <w:p>
      <w:pPr>
        <w:spacing w:after="140" w:line="276"/>
      </w:pPr>
      <w:r>
        <w:t xml:space="preserve">For each entry in the documents category, api_client.download_documents() first tries the real DMS POST-download mechanism (POST {fileName, documentId} with the bearer token), then falls back to any direct URL found in the payload. A _dedupe_filename() helper appends a numeric suffix (' (2)', ' (3)', ...) whenever two genuinely different documents would otherwise share a saved filename, preventing silent data loss on disk. Documents already present in the archived prior run are reused rather than re-downloaded where possible.</w:t>
      </w:r>
    </w:p>
    <w:p>
      <w:pPr>
        <w:pStyle w:val="Heading2"/>
        <w:spacing w:after="120" w:before="260"/>
      </w:pPr>
      <w:r>
        <w:t xml:space="preserve">4.6 Promoter portfolio</w:t>
      </w:r>
    </w:p>
    <w:p>
      <w:pPr>
        <w:spacing w:after="140" w:line="276"/>
      </w:pPr>
      <w:r>
        <w:t xml:space="preserve">The real promoter name is read from partners.promoterDetails.promoterName (projects.promoterName is null in practice on every project observed). promoter_portfolio.build_promoter_portfolio() searches MahaRERA's Promoters tab for every project registered under that name (capped at PROMOTER_PROJECT_LIMIT = 25, never silently -- a truncated flag and note are recorded), then fetches each one's status/complaints/appeals to build aggregate totals: total projects, total complaints, total appeals, how many are lapsed/revoked. This entire step is deterministic -- no LLM involved -- and any single project's fetch failure is recorded per-row rather than sinking the whole portfolio.</w:t>
      </w:r>
    </w:p>
    <w:p>
      <w:pPr>
        <w:pStyle w:val="Heading2"/>
        <w:spacing w:after="120" w:before="260"/>
      </w:pPr>
      <w:r>
        <w:t xml:space="preserve">4.7 Deep Research (Claude API)</w:t>
      </w:r>
    </w:p>
    <w:p>
      <w:pPr>
        <w:spacing w:after="140" w:line="276"/>
      </w:pPr>
      <w:r>
        <w:t xml:space="preserve">See Section 5.1 for the full mechanism. In short: one agentic pass produces macro_market, micro_market, and promoter_external research blocks together; every cited source is then independently re-verified; any claim that fails verification is demoted to an explicit gap and retried with a different search strategy, up to a bounded number of attempts. A same-day rerun reuses already-confirmed sources from the prior run and only spends new API calls on gaps that were still open.</w:t>
      </w:r>
    </w:p>
    <w:p>
      <w:pPr>
        <w:pStyle w:val="Heading2"/>
        <w:spacing w:after="120" w:before="260"/>
      </w:pPr>
      <w:r>
        <w:t xml:space="preserve">4.8 Company Charter (Claude API)</w:t>
      </w:r>
    </w:p>
    <w:p>
      <w:pPr>
        <w:spacing w:after="140" w:line="276"/>
      </w:pPr>
      <w:r>
        <w:t xml:space="preserve">See Section 5.2. In short: a single larger agentic pass produces a structured facts object matching the charter's schema (land identification, corporate identity, FSI, RERA compliance, comparables, distances, litigation, etc.), reusing whatever Deep Research already confirmed rather than re-researching it. The facts are used to fill a real Word template in place with python-docx, preserving every style already baked into the template. Land-identification claims sourced from a live URL are independently re-verified before being trusted; unconfirmed claims move to gaps rather than staying asserted.</w:t>
      </w:r>
    </w:p>
    <w:p>
      <w:pPr>
        <w:pStyle w:val="Heading2"/>
        <w:spacing w:after="120" w:before="260"/>
      </w:pPr>
      <w:r>
        <w:t xml:space="preserve">4.9 PDF report</w:t>
      </w:r>
    </w:p>
    <w:p>
      <w:pPr>
        <w:spacing w:after="140" w:line="276"/>
      </w:pPr>
      <w:r>
        <w:t xml:space="preserve">report.build_pdf() assembles every category, the promoter portfolio, and the Deep Research blocks into a single ReportLab-generated PDF (pure Python, no native dependencies -- deploys cleanly if this is ever hosted as a service). finalize_report.py can rebuild this same PDF entirely from what is already saved on disk, with zero network calls -- useful after adding a new section or tweaking layout, without re-scraping or re-authenticating.</w:t>
      </w:r>
    </w:p>
    <w:p>
      <w:r>
        <w:br w:type="page"/>
      </w:r>
    </w:p>
    <w:p>
      <w:pPr>
        <w:pStyle w:val="Heading1"/>
        <w:spacing w:after="160" w:before="360"/>
      </w:pPr>
      <w:r>
        <w:t xml:space="preserve">5. Claude API Integration -- Guardrails</w:t>
      </w:r>
    </w:p>
    <w:p>
      <w:pPr>
        <w:spacing w:after="140" w:line="276"/>
      </w:pPr>
      <w:r>
        <w:t xml:space="preserve">Both Claude-powered stages share the same underlying design philosophy: a model's own claim is never trusted at face value. Every guardrail below is enforced in code, not left to prompting alone.</w:t>
      </w:r>
    </w:p>
    <w:p>
      <w:pPr>
        <w:pStyle w:val="Heading2"/>
        <w:spacing w:after="120" w:before="260"/>
      </w:pPr>
      <w:r>
        <w:t xml:space="preserve">5.1 Deep Research (deep_research.py)</w:t>
      </w:r>
    </w:p>
    <w:p>
      <w:pPr>
        <w:spacing w:after="140" w:line="276"/>
      </w:pPr>
      <w:r>
        <w:t xml:space="preserve">Model: claude-sonnet-5, via client.beta.messages.tool_runner() with the hosted web_search tool. Pipeline:</w:t>
      </w:r>
    </w:p>
    <w:p>
      <w:pPr>
        <w:pStyle w:val="ListParagraph"/>
        <w:numPr>
          <w:ilvl w:val="0"/>
          <w:numId w:val="2"/>
        </w:numPr>
        <w:spacing w:after="80" w:line="276"/>
      </w:pPr>
      <w:r>
        <w:rPr>
          <w:b/>
          <w:bCs/>
        </w:rPr>
        <w:t xml:space="preserve">1. Generate -- </w:t>
      </w:r>
      <w:r>
        <w:t xml:space="preserve">one agentic pass produces macro_market, micro_market, and promoter_external blocks together. Every factual sentence must carry an inline citation marker (e.g. [S1]) resolving to a matching entry in that block's sources array. The model's final turn must be a single raw JSON object matching a schema embedded directly in the system prompt -- no separate 'submit' tool call is used, since a custom tool-forcing pattern was found not to auto-execute reliably (see Section 6).</w:t>
      </w:r>
    </w:p>
    <w:p>
      <w:pPr>
        <w:pStyle w:val="ListParagraph"/>
        <w:numPr>
          <w:ilvl w:val="0"/>
          <w:numId w:val="2"/>
        </w:numPr>
        <w:spacing w:after="80" w:line="276"/>
      </w:pPr>
      <w:r>
        <w:rPr>
          <w:b/>
          <w:bCs/>
        </w:rPr>
        <w:t xml:space="preserve">2. Verify -- </w:t>
      </w:r>
      <w:r>
        <w:t xml:space="preserve">_verify_block() independently re-checks every cited source with its own fresh agentic pass, actually fetching/searching to confirm the source supports the claim as stated -- not just that the source exists. Anything not confirmed is demoted into gaps, never dropped silently.</w:t>
      </w:r>
    </w:p>
    <w:p>
      <w:pPr>
        <w:pStyle w:val="ListParagraph"/>
        <w:numPr>
          <w:ilvl w:val="0"/>
          <w:numId w:val="2"/>
        </w:numPr>
        <w:spacing w:after="80" w:line="276"/>
      </w:pPr>
      <w:r>
        <w:rPr>
          <w:b/>
          <w:bCs/>
        </w:rPr>
        <w:t xml:space="preserve">3. Gap-retry -- </w:t>
      </w:r>
      <w:r>
        <w:t xml:space="preserve">_resolve_gaps() retries each remaining gap up to MAX_GAP_RETRY_ATTEMPTS (2) times, each attempt explicitly required to use a different search angle than the last (a regulatory/registry filing instead of general web search, then a related-party angle). A gap that survives every attempt stays a gap, annotated with what was tried -- never fabricated away to shorten the list.</w:t>
      </w:r>
    </w:p>
    <w:p>
      <w:pPr>
        <w:pStyle w:val="ListParagraph"/>
        <w:numPr>
          <w:ilvl w:val="0"/>
          <w:numId w:val="2"/>
        </w:numPr>
        <w:spacing w:after="80" w:line="276"/>
      </w:pPr>
      <w:r>
        <w:rPr>
          <w:b/>
          <w:bCs/>
        </w:rPr>
        <w:t xml:space="preserve">4. Reuse window -- </w:t>
      </w:r>
      <w:r>
        <w:t xml:space="preserve">a rerun within RESEARCH_REUSE_WINDOW_HOURS (24h) trusts the prior pass's already-confirmed sources as-is and only spends new API calls on gaps that were still open; a block with zero gaps last time carries forward untouched, at zero cost. Older or missing prior research is redone in full.</w:t>
      </w:r>
    </w:p>
    <w:p>
      <w:pPr>
        <w:pStyle w:val="Heading2"/>
        <w:spacing w:after="120" w:before="260"/>
      </w:pPr>
      <w:r>
        <w:t xml:space="preserve">5.2 Company Charter (company_charter.py)</w:t>
      </w:r>
    </w:p>
    <w:p>
      <w:pPr>
        <w:spacing w:after="140" w:line="276"/>
      </w:pPr>
      <w:r>
        <w:t xml:space="preserve">Model: the same claude-sonnet-5 (deep_research.MODEL, reused directly). Pipeline:</w:t>
      </w:r>
    </w:p>
    <w:p>
      <w:pPr>
        <w:pStyle w:val="ListParagraph"/>
        <w:numPr>
          <w:ilvl w:val="0"/>
          <w:numId w:val="2"/>
        </w:numPr>
        <w:spacing w:after="80" w:line="276"/>
      </w:pPr>
      <w:r>
        <w:rPr>
          <w:b/>
          <w:bCs/>
        </w:rPr>
        <w:t xml:space="preserve">1. Single agentic pass -- </w:t>
      </w:r>
      <w:r>
        <w:t xml:space="preserve">produces a structured facts object matching _CHARTER_FACTS_SCHEMA (land identification, corporate identity, FSI metrics, RERA compliance, comparables, distances, litigation, blocks/units, gaps, sources). Reuses whatever the project's own Deep Research already confirmed rather than re-researching macro/micro market or promoter reputation from scratch.</w:t>
      </w:r>
    </w:p>
    <w:p>
      <w:pPr>
        <w:pStyle w:val="ListParagraph"/>
        <w:numPr>
          <w:ilvl w:val="0"/>
          <w:numId w:val="2"/>
        </w:numPr>
        <w:spacing w:after="80" w:line="276"/>
      </w:pPr>
      <w:r>
        <w:rPr>
          <w:b/>
          <w:bCs/>
        </w:rPr>
        <w:t xml:space="preserve">2. Document reading -- </w:t>
      </w:r>
      <w:r>
        <w:t xml:space="preserve">every downloaded document is opened directly (PyMuPDF for text-layer PDFs, pytesseract OCR as a fallback for scanned/no-text documents -- a plain '[OCR unavailable]' marker is used per-document if Tesseract isn't installed, rather than failing the whole run).</w:t>
      </w:r>
    </w:p>
    <w:p>
      <w:pPr>
        <w:pStyle w:val="ListParagraph"/>
        <w:numPr>
          <w:ilvl w:val="0"/>
          <w:numId w:val="2"/>
        </w:numPr>
        <w:spacing w:after="80" w:line="276"/>
      </w:pPr>
      <w:r>
        <w:rPr>
          <w:b/>
          <w:bCs/>
        </w:rPr>
        <w:t xml:space="preserve">3. Material-claim verification -- </w:t>
      </w:r>
      <w:r>
        <w:t xml:space="preserve">_verify_material_claims() independently re-checks any land-identification field whose source is a live URL, reusing deep_research._verify_claim(). Unconfirmed fields are replaced with 'Not independently confirmed -- see gaps' and added to the gaps list rather than staying asserted.</w:t>
      </w:r>
    </w:p>
    <w:p>
      <w:pPr>
        <w:pStyle w:val="ListParagraph"/>
        <w:numPr>
          <w:ilvl w:val="0"/>
          <w:numId w:val="2"/>
        </w:numPr>
        <w:spacing w:after="80" w:line="276"/>
      </w:pPr>
      <w:r>
        <w:rPr>
          <w:b/>
          <w:bCs/>
        </w:rPr>
        <w:t xml:space="preserve">4. Optional live Maps refinement -- </w:t>
      </w:r>
      <w:r>
        <w:t xml:space="preserve">with COMPANY_CHARTER_USE_MAPS_SCRAPE=1, _refine_distances_with_maps() launches a headless Playwright browser per landmark, explicitly selects the Driving travel mode (the default 'Best' mode can silently pick Two-wheeler or Transit instead), and extracts the real route via a regex anchored on the page's literal 'Copy link' text -- found to be far more reliable than CSS/role selectors across live testing. A _destination_plausibly_resolved() sanity check (token-overlap &gt;= 50% between the requested and the resolved destination text) guards against Google Maps silently resolving a bad destination to an unrelated real address; on any failure the model's own web_search estimate is kept instead. Off by default: this scrapes Google's consumer UI rather than their paid Routes API, so it may not comply with Google's Terms of Service and can break without warning if Google changes the page.</w:t>
      </w:r>
    </w:p>
    <w:p>
      <w:pPr>
        <w:pStyle w:val="ListParagraph"/>
        <w:numPr>
          <w:ilvl w:val="0"/>
          <w:numId w:val="2"/>
        </w:numPr>
        <w:spacing w:after="80" w:line="276"/>
      </w:pPr>
      <w:r>
        <w:rPr>
          <w:b/>
          <w:bCs/>
        </w:rPr>
        <w:t xml:space="preserve">5. Template fill -- </w:t>
      </w:r>
      <w:r>
        <w:t xml:space="preserve">python-docx fills Company_Charter_TEMPLATE_WebSourced.docx in place, preserving every style already baked into the template. Two template-specific styling issues were found and fixed: the template was built with docx-js rather than Word, so python-docx's add_heading() and named 'Table Grid' style lookups both raise KeyError even though reading an existing paragraph reports a valid style name. The fix reuses an existing heading paragraph's actual style object directly, and builds table borders via raw OOXML (w:tblBorders) instead of a named style.</w:t>
      </w:r>
    </w:p>
    <w:p>
      <w:pPr>
        <w:pStyle w:val="ListParagraph"/>
        <w:numPr>
          <w:ilvl w:val="0"/>
          <w:numId w:val="2"/>
        </w:numPr>
        <w:spacing w:after="80" w:line="276"/>
      </w:pPr>
      <w:r>
        <w:rPr>
          <w:b/>
          <w:bCs/>
        </w:rPr>
        <w:t xml:space="preserve">6. Data Authenticity &amp; Confidence page -- </w:t>
      </w:r>
      <w:r>
        <w:t xml:space="preserve">appended last. This is computed directly from the same sources/gaps already in the document, not authored by the model -- a self-assessment of "how reliable is this report" would itself just be another unverified claim. Every cited source is classified into one of six tiers (primary regulatory record, corporate-registry mirror, live Google Maps verification, real-estate aggregator/listing, news/press, social media/user-generated, or an unclassified catch-all), and the page reports the tier breakdown, the percentage from the highest-confidence tier, and the count of unresolved gaps.</w:t>
      </w:r>
    </w:p>
    <w:p>
      <w:pPr>
        <w:pStyle w:val="Heading2"/>
        <w:spacing w:after="120" w:before="260"/>
      </w:pPr>
      <w:r>
        <w:t xml:space="preserve">5.3 Shared discipline</w:t>
      </w:r>
    </w:p>
    <w:p>
      <w:pPr>
        <w:pStyle w:val="ListParagraph"/>
        <w:numPr>
          <w:ilvl w:val="0"/>
          <w:numId w:val="2"/>
        </w:numPr>
        <w:spacing w:after="80" w:line="276"/>
      </w:pPr>
      <w:r>
        <w:t xml:space="preserve">Never state an uncited claim -- every factual sentence traces to a sources entry.</w:t>
      </w:r>
    </w:p>
    <w:p>
      <w:pPr>
        <w:pStyle w:val="ListParagraph"/>
        <w:numPr>
          <w:ilvl w:val="0"/>
          <w:numId w:val="2"/>
        </w:numPr>
        <w:spacing w:after="80" w:line="276"/>
      </w:pPr>
      <w:r>
        <w:t xml:space="preserve">Never conflate similarly-named entities -- any corporate/CIN claim is cross-checked against the promoter's registered legal name and address before being accepted.</w:t>
      </w:r>
    </w:p>
    <w:p>
      <w:pPr>
        <w:pStyle w:val="ListParagraph"/>
        <w:numPr>
          <w:ilvl w:val="0"/>
          <w:numId w:val="2"/>
        </w:numPr>
        <w:spacing w:after="80" w:line="276"/>
      </w:pPr>
      <w:r>
        <w:t xml:space="preserve">Show the inputs and formula for any computed number (FSI, area, distance), not just the final figure.</w:t>
      </w:r>
    </w:p>
    <w:p>
      <w:pPr>
        <w:pStyle w:val="ListParagraph"/>
        <w:numPr>
          <w:ilvl w:val="0"/>
          <w:numId w:val="2"/>
        </w:numPr>
        <w:spacing w:after="80" w:line="276"/>
      </w:pPr>
      <w:r>
        <w:t xml:space="preserve">An unconfirmed claim becomes an explicit, named gap -- never a guess, never silently dropped.</w:t>
      </w:r>
    </w:p>
    <w:p>
      <w:pPr>
        <w:pStyle w:val="ListParagraph"/>
        <w:numPr>
          <w:ilvl w:val="0"/>
          <w:numId w:val="2"/>
        </w:numPr>
        <w:spacing w:after="80" w:line="276"/>
      </w:pPr>
      <w:r>
        <w:t xml:space="preserve">A missing ANTHROPIC_API_KEY, rate limit, or network failure in either stage is caught and logged as a warning; the run continues, and that section is retryable standalone.</w:t>
      </w:r>
    </w:p>
    <w:p>
      <w:r>
        <w:br w:type="page"/>
      </w:r>
    </w:p>
    <w:p>
      <w:pPr>
        <w:pStyle w:val="Heading1"/>
        <w:spacing w:after="160" w:before="360"/>
      </w:pPr>
      <w:r>
        <w:t xml:space="preserve">6. Features Built and Bugs Fixed</w:t>
      </w:r>
    </w:p>
    <w:p>
      <w:pPr>
        <w:spacing w:after="140" w:line="276"/>
      </w:pPr>
      <w:r>
        <w:t xml:space="preserve">Work delivered on top of the original scraper, in the order encountered:</w:t>
      </w:r>
    </w:p>
    <w:p>
      <w:pPr>
        <w:pStyle w:val="Heading2"/>
        <w:spacing w:after="120" w:before="260"/>
      </w:pPr>
      <w:r>
        <w:t xml:space="preserve">6.1 Correctness fixes</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3300"/>
        <w:gridCol w:w="3300"/>
        <w:gridCol w:w="2800"/>
      </w:tblGrid>
      <w:tr>
        <w:trPr>
          <w:tblHeader/>
        </w:trPr>
        <w:tc>
          <w:tcPr>
            <w:tcW w:type="dxa" w:w="3300"/>
            <w:shd w:fill="D9E2F3" w:val="clear"/>
            <w:tcMar>
              <w:top w:type="dxa" w:w="80"/>
              <w:left w:type="dxa" w:w="100"/>
              <w:bottom w:type="dxa" w:w="80"/>
              <w:right w:type="dxa" w:w="100"/>
            </w:tcMar>
          </w:tcPr>
          <w:p>
            <w:r>
              <w:rPr>
                <w:b/>
                <w:bCs/>
                <w:sz w:val="20"/>
                <w:szCs w:val="20"/>
              </w:rPr>
              <w:t xml:space="preserve">Issue</w:t>
            </w:r>
          </w:p>
        </w:tc>
        <w:tc>
          <w:tcPr>
            <w:tcW w:type="dxa" w:w="3300"/>
            <w:shd w:fill="D9E2F3" w:val="clear"/>
            <w:tcMar>
              <w:top w:type="dxa" w:w="80"/>
              <w:left w:type="dxa" w:w="100"/>
              <w:bottom w:type="dxa" w:w="80"/>
              <w:right w:type="dxa" w:w="100"/>
            </w:tcMar>
          </w:tcPr>
          <w:p>
            <w:r>
              <w:rPr>
                <w:b/>
                <w:bCs/>
                <w:sz w:val="20"/>
                <w:szCs w:val="20"/>
              </w:rPr>
              <w:t xml:space="preserve">Root cause</w:t>
            </w:r>
          </w:p>
        </w:tc>
        <w:tc>
          <w:tcPr>
            <w:tcW w:type="dxa" w:w="2800"/>
            <w:shd w:fill="D9E2F3" w:val="clear"/>
            <w:tcMar>
              <w:top w:type="dxa" w:w="80"/>
              <w:left w:type="dxa" w:w="100"/>
              <w:bottom w:type="dxa" w:w="80"/>
              <w:right w:type="dxa" w:w="100"/>
            </w:tcMar>
          </w:tcPr>
          <w:p>
            <w:r>
              <w:rPr>
                <w:b/>
                <w:bCs/>
                <w:sz w:val="20"/>
                <w:szCs w:val="20"/>
              </w:rPr>
              <w:t xml:space="preserve">Fix</w:t>
            </w:r>
          </w:p>
        </w:tc>
      </w:tr>
      <w:tr>
        <w:tc>
          <w:tcPr>
            <w:tcW w:type="dxa" w:w="3300"/>
            <w:tcMar>
              <w:top w:type="dxa" w:w="80"/>
              <w:left w:type="dxa" w:w="100"/>
              <w:bottom w:type="dxa" w:w="80"/>
              <w:right w:type="dxa" w:w="100"/>
            </w:tcMar>
          </w:tcPr>
          <w:p>
            <w:r>
              <w:rPr>
                <w:b w:val="false"/>
                <w:bCs w:val="false"/>
                <w:sz w:val="20"/>
                <w:szCs w:val="20"/>
              </w:rPr>
              <w:t xml:space="preserve">client.beta.messages.tool_runner() had no usable result</w:t>
            </w:r>
          </w:p>
        </w:tc>
        <w:tc>
          <w:tcPr>
            <w:tcW w:type="dxa" w:w="3300"/>
            <w:tcMar>
              <w:top w:type="dxa" w:w="80"/>
              <w:left w:type="dxa" w:w="100"/>
              <w:bottom w:type="dxa" w:w="80"/>
              <w:right w:type="dxa" w:w="100"/>
            </w:tcMar>
          </w:tcPr>
          <w:p>
            <w:r>
              <w:rPr>
                <w:b w:val="false"/>
                <w:bCs w:val="false"/>
                <w:sz w:val="20"/>
                <w:szCs w:val="20"/>
              </w:rPr>
              <w:t xml:space="preserve">The runner is an iterator yielding one message per turn, not a message itself; a custom 'submit' tool-forcing pattern doesn't auto-execute unless it's a recognized server tool.</w:t>
            </w:r>
          </w:p>
        </w:tc>
        <w:tc>
          <w:tcPr>
            <w:tcW w:type="dxa" w:w="2800"/>
            <w:tcMar>
              <w:top w:type="dxa" w:w="80"/>
              <w:left w:type="dxa" w:w="100"/>
              <w:bottom w:type="dxa" w:w="80"/>
              <w:right w:type="dxa" w:w="100"/>
            </w:tcMar>
          </w:tcPr>
          <w:p>
            <w:r>
              <w:rPr>
                <w:b w:val="false"/>
                <w:bCs w:val="false"/>
                <w:sz w:val="20"/>
                <w:szCs w:val="20"/>
              </w:rPr>
              <w:t xml:space="preserve">Iterate to the final message; require the model's last turn to be raw JSON matching a schema embedded in the system prompt.</w:t>
            </w:r>
          </w:p>
        </w:tc>
      </w:tr>
      <w:tr>
        <w:tc>
          <w:tcPr>
            <w:tcW w:type="dxa" w:w="3300"/>
            <w:tcMar>
              <w:top w:type="dxa" w:w="80"/>
              <w:left w:type="dxa" w:w="100"/>
              <w:bottom w:type="dxa" w:w="80"/>
              <w:right w:type="dxa" w:w="100"/>
            </w:tcMar>
          </w:tcPr>
          <w:p>
            <w:r>
              <w:rPr>
                <w:b w:val="false"/>
                <w:bCs w:val="false"/>
                <w:sz w:val="20"/>
                <w:szCs w:val="20"/>
              </w:rPr>
              <w:t xml:space="preserve">ReportLab LayoutError on long table cells</w:t>
            </w:r>
          </w:p>
        </w:tc>
        <w:tc>
          <w:tcPr>
            <w:tcW w:type="dxa" w:w="3300"/>
            <w:tcMar>
              <w:top w:type="dxa" w:w="80"/>
              <w:left w:type="dxa" w:w="100"/>
              <w:bottom w:type="dxa" w:w="80"/>
              <w:right w:type="dxa" w:w="100"/>
            </w:tcMar>
          </w:tcPr>
          <w:p>
            <w:r>
              <w:rPr>
                <w:b w:val="false"/>
                <w:bCs w:val="false"/>
                <w:sz w:val="20"/>
                <w:szCs w:val="20"/>
              </w:rPr>
              <w:t xml:space="preserve">A Table cell containing an oversized Paragraph cannot split across a page break.</w:t>
            </w:r>
          </w:p>
        </w:tc>
        <w:tc>
          <w:tcPr>
            <w:tcW w:type="dxa" w:w="2800"/>
            <w:tcMar>
              <w:top w:type="dxa" w:w="80"/>
              <w:left w:type="dxa" w:w="100"/>
              <w:bottom w:type="dxa" w:w="80"/>
              <w:right w:type="dxa" w:w="100"/>
            </w:tcMar>
          </w:tcPr>
          <w:p>
            <w:r>
              <w:rPr>
                <w:b w:val="false"/>
                <w:bCs w:val="false"/>
                <w:sz w:val="20"/>
                <w:szCs w:val="20"/>
              </w:rPr>
              <w:t xml:space="preserve">Values over 300 characters are pulled out of the table into standalone Paragraph flowables, which can wrap across pages.</w:t>
            </w:r>
          </w:p>
        </w:tc>
      </w:tr>
      <w:tr>
        <w:tc>
          <w:tcPr>
            <w:tcW w:type="dxa" w:w="3300"/>
            <w:tcMar>
              <w:top w:type="dxa" w:w="80"/>
              <w:left w:type="dxa" w:w="100"/>
              <w:bottom w:type="dxa" w:w="80"/>
              <w:right w:type="dxa" w:w="100"/>
            </w:tcMar>
          </w:tcPr>
          <w:p>
            <w:r>
              <w:rPr>
                <w:b w:val="false"/>
                <w:bCs w:val="false"/>
                <w:sz w:val="20"/>
                <w:szCs w:val="20"/>
              </w:rPr>
              <w:t xml:space="preserve">Two different MahaRERA documents silently overwrote each other on disk</w:t>
            </w:r>
          </w:p>
        </w:tc>
        <w:tc>
          <w:tcPr>
            <w:tcW w:type="dxa" w:w="3300"/>
            <w:tcMar>
              <w:top w:type="dxa" w:w="80"/>
              <w:left w:type="dxa" w:w="100"/>
              <w:bottom w:type="dxa" w:w="80"/>
              <w:right w:type="dxa" w:w="100"/>
            </w:tcMar>
          </w:tcPr>
          <w:p>
            <w:r>
              <w:rPr>
                <w:b w:val="false"/>
                <w:bCs w:val="false"/>
                <w:sz w:val="20"/>
                <w:szCs w:val="20"/>
              </w:rPr>
              <w:t xml:space="preserve">MahaRERA's DMS can give genuinely different documents the same filename.</w:t>
            </w:r>
          </w:p>
        </w:tc>
        <w:tc>
          <w:tcPr>
            <w:tcW w:type="dxa" w:w="2800"/>
            <w:tcMar>
              <w:top w:type="dxa" w:w="80"/>
              <w:left w:type="dxa" w:w="100"/>
              <w:bottom w:type="dxa" w:w="80"/>
              <w:right w:type="dxa" w:w="100"/>
            </w:tcMar>
          </w:tcPr>
          <w:p>
            <w:r>
              <w:rPr>
                <w:b w:val="false"/>
                <w:bCs w:val="false"/>
                <w:sz w:val="20"/>
                <w:szCs w:val="20"/>
              </w:rPr>
              <w:t xml:space="preserve">_dedupe_filename() appends a numeric suffix on collision, applied at every save point.</w:t>
            </w:r>
          </w:p>
        </w:tc>
      </w:tr>
      <w:tr>
        <w:tc>
          <w:tcPr>
            <w:tcW w:type="dxa" w:w="3300"/>
            <w:tcMar>
              <w:top w:type="dxa" w:w="80"/>
              <w:left w:type="dxa" w:w="100"/>
              <w:bottom w:type="dxa" w:w="80"/>
              <w:right w:type="dxa" w:w="100"/>
            </w:tcMar>
          </w:tcPr>
          <w:p>
            <w:r>
              <w:rPr>
                <w:b w:val="false"/>
                <w:bCs w:val="false"/>
                <w:sz w:val="20"/>
                <w:szCs w:val="20"/>
              </w:rPr>
              <w:t xml:space="preserve">Streamlit DuplicateWidgetID crash</w:t>
            </w:r>
          </w:p>
        </w:tc>
        <w:tc>
          <w:tcPr>
            <w:tcW w:type="dxa" w:w="3300"/>
            <w:tcMar>
              <w:top w:type="dxa" w:w="80"/>
              <w:left w:type="dxa" w:w="100"/>
              <w:bottom w:type="dxa" w:w="80"/>
              <w:right w:type="dxa" w:w="100"/>
            </w:tcMar>
          </w:tcPr>
          <w:p>
            <w:r>
              <w:rPr>
                <w:b w:val="false"/>
                <w:bCs w:val="false"/>
                <w:sz w:val="20"/>
                <w:szCs w:val="20"/>
              </w:rPr>
              <w:t xml:space="preserve">Two document-manifest entries can share a saved filename, and the download-button key was the bare path.</w:t>
            </w:r>
          </w:p>
        </w:tc>
        <w:tc>
          <w:tcPr>
            <w:tcW w:type="dxa" w:w="2800"/>
            <w:tcMar>
              <w:top w:type="dxa" w:w="80"/>
              <w:left w:type="dxa" w:w="100"/>
              <w:bottom w:type="dxa" w:w="80"/>
              <w:right w:type="dxa" w:w="100"/>
            </w:tcMar>
          </w:tcPr>
          <w:p>
            <w:r>
              <w:rPr>
                <w:b w:val="false"/>
                <w:bCs w:val="false"/>
                <w:sz w:val="20"/>
                <w:szCs w:val="20"/>
              </w:rPr>
              <w:t xml:space="preserve">Widget key changed to include the row index, not just the path.</w:t>
            </w:r>
          </w:p>
        </w:tc>
      </w:tr>
      <w:tr>
        <w:tc>
          <w:tcPr>
            <w:tcW w:type="dxa" w:w="3300"/>
            <w:tcMar>
              <w:top w:type="dxa" w:w="80"/>
              <w:left w:type="dxa" w:w="100"/>
              <w:bottom w:type="dxa" w:w="80"/>
              <w:right w:type="dxa" w:w="100"/>
            </w:tcMar>
          </w:tcPr>
          <w:p>
            <w:r>
              <w:rPr>
                <w:b w:val="false"/>
                <w:bCs w:val="false"/>
                <w:sz w:val="20"/>
                <w:szCs w:val="20"/>
              </w:rPr>
              <w:t xml:space="preserve">Google Maps 'Best' travel mode silently picked Two-wheeler / Transit</w:t>
            </w:r>
          </w:p>
        </w:tc>
        <w:tc>
          <w:tcPr>
            <w:tcW w:type="dxa" w:w="3300"/>
            <w:tcMar>
              <w:top w:type="dxa" w:w="80"/>
              <w:left w:type="dxa" w:w="100"/>
              <w:bottom w:type="dxa" w:w="80"/>
              <w:right w:type="dxa" w:w="100"/>
            </w:tcMar>
          </w:tcPr>
          <w:p>
            <w:r>
              <w:rPr>
                <w:b w:val="false"/>
                <w:bCs w:val="false"/>
                <w:sz w:val="20"/>
                <w:szCs w:val="20"/>
              </w:rPr>
              <w:t xml:space="preserve">The default route mode is not guaranteed to be driving.</w:t>
            </w:r>
          </w:p>
        </w:tc>
        <w:tc>
          <w:tcPr>
            <w:tcW w:type="dxa" w:w="2800"/>
            <w:tcMar>
              <w:top w:type="dxa" w:w="80"/>
              <w:left w:type="dxa" w:w="100"/>
              <w:bottom w:type="dxa" w:w="80"/>
              <w:right w:type="dxa" w:w="100"/>
            </w:tcMar>
          </w:tcPr>
          <w:p>
            <w:r>
              <w:rPr>
                <w:b w:val="false"/>
                <w:bCs w:val="false"/>
                <w:sz w:val="20"/>
                <w:szCs w:val="20"/>
              </w:rPr>
              <w:t xml:space="preserve">Explicitly click the Driving mode radio before reading the route.</w:t>
            </w:r>
          </w:p>
        </w:tc>
      </w:tr>
      <w:tr>
        <w:tc>
          <w:tcPr>
            <w:tcW w:type="dxa" w:w="3300"/>
            <w:tcMar>
              <w:top w:type="dxa" w:w="80"/>
              <w:left w:type="dxa" w:w="100"/>
              <w:bottom w:type="dxa" w:w="80"/>
              <w:right w:type="dxa" w:w="100"/>
            </w:tcMar>
          </w:tcPr>
          <w:p>
            <w:r>
              <w:rPr>
                <w:b w:val="false"/>
                <w:bCs w:val="false"/>
                <w:sz w:val="20"/>
                <w:szCs w:val="20"/>
              </w:rPr>
              <w:t xml:space="preserve">Fragile CSS/role selectors grabbed the wrong element on Google Maps</w:t>
            </w:r>
          </w:p>
        </w:tc>
        <w:tc>
          <w:tcPr>
            <w:tcW w:type="dxa" w:w="3300"/>
            <w:tcMar>
              <w:top w:type="dxa" w:w="80"/>
              <w:left w:type="dxa" w:w="100"/>
              <w:bottom w:type="dxa" w:w="80"/>
              <w:right w:type="dxa" w:w="100"/>
            </w:tcMar>
          </w:tcPr>
          <w:p>
            <w:r>
              <w:rPr>
                <w:b w:val="false"/>
                <w:bCs w:val="false"/>
                <w:sz w:val="20"/>
                <w:szCs w:val="20"/>
              </w:rPr>
              <w:t xml:space="preserve">An icon-font glyph and the wrong time were matched on the first two live attempts.</w:t>
            </w:r>
          </w:p>
        </w:tc>
        <w:tc>
          <w:tcPr>
            <w:tcW w:type="dxa" w:w="2800"/>
            <w:tcMar>
              <w:top w:type="dxa" w:w="80"/>
              <w:left w:type="dxa" w:w="100"/>
              <w:bottom w:type="dxa" w:w="80"/>
              <w:right w:type="dxa" w:w="100"/>
            </w:tcMar>
          </w:tcPr>
          <w:p>
            <w:r>
              <w:rPr>
                <w:b w:val="false"/>
                <w:bCs w:val="false"/>
                <w:sz w:val="20"/>
                <w:szCs w:val="20"/>
              </w:rPr>
              <w:t xml:space="preserve">Switched to a full-page-text regex anchored on the literal 'Copy link' string; verified across multiple real runs.</w:t>
            </w:r>
          </w:p>
        </w:tc>
      </w:tr>
      <w:tr>
        <w:tc>
          <w:tcPr>
            <w:tcW w:type="dxa" w:w="3300"/>
            <w:tcMar>
              <w:top w:type="dxa" w:w="80"/>
              <w:left w:type="dxa" w:w="100"/>
              <w:bottom w:type="dxa" w:w="80"/>
              <w:right w:type="dxa" w:w="100"/>
            </w:tcMar>
          </w:tcPr>
          <w:p>
            <w:r>
              <w:rPr>
                <w:b w:val="false"/>
                <w:bCs w:val="false"/>
                <w:sz w:val="20"/>
                <w:szCs w:val="20"/>
              </w:rPr>
              <w:t xml:space="preserve">Multi-hour Maps durations didn't match ('5 hr 28 min')</w:t>
            </w:r>
          </w:p>
        </w:tc>
        <w:tc>
          <w:tcPr>
            <w:tcW w:type="dxa" w:w="3300"/>
            <w:tcMar>
              <w:top w:type="dxa" w:w="80"/>
              <w:left w:type="dxa" w:w="100"/>
              <w:bottom w:type="dxa" w:w="80"/>
              <w:right w:type="dxa" w:w="100"/>
            </w:tcMar>
          </w:tcPr>
          <w:p>
            <w:r>
              <w:rPr>
                <w:b w:val="false"/>
                <w:bCs w:val="false"/>
                <w:sz w:val="20"/>
                <w:szCs w:val="20"/>
              </w:rPr>
              <w:t xml:space="preserve">Regex only handled minutes.</w:t>
            </w:r>
          </w:p>
        </w:tc>
        <w:tc>
          <w:tcPr>
            <w:tcW w:type="dxa" w:w="2800"/>
            <w:tcMar>
              <w:top w:type="dxa" w:w="80"/>
              <w:left w:type="dxa" w:w="100"/>
              <w:bottom w:type="dxa" w:w="80"/>
              <w:right w:type="dxa" w:w="100"/>
            </w:tcMar>
          </w:tcPr>
          <w:p>
            <w:r>
              <w:rPr>
                <w:b w:val="false"/>
                <w:bCs w:val="false"/>
                <w:sz w:val="20"/>
                <w:szCs w:val="20"/>
              </w:rPr>
              <w:t xml:space="preserve">Broadened to (?:\d+ hr )?\d+ min.</w:t>
            </w:r>
          </w:p>
        </w:tc>
      </w:tr>
      <w:tr>
        <w:tc>
          <w:tcPr>
            <w:tcW w:type="dxa" w:w="3300"/>
            <w:tcMar>
              <w:top w:type="dxa" w:w="80"/>
              <w:left w:type="dxa" w:w="100"/>
              <w:bottom w:type="dxa" w:w="80"/>
              <w:right w:type="dxa" w:w="100"/>
            </w:tcMar>
          </w:tcPr>
          <w:p>
            <w:r>
              <w:rPr>
                <w:b w:val="false"/>
                <w:bCs w:val="false"/>
                <w:sz w:val="20"/>
                <w:szCs w:val="20"/>
              </w:rPr>
              <w:t xml:space="preserve">Google Maps silently mis-resolves a bad destination to an unrelated real address</w:t>
            </w:r>
          </w:p>
        </w:tc>
        <w:tc>
          <w:tcPr>
            <w:tcW w:type="dxa" w:w="3300"/>
            <w:tcMar>
              <w:top w:type="dxa" w:w="80"/>
              <w:left w:type="dxa" w:w="100"/>
              <w:bottom w:type="dxa" w:w="80"/>
              <w:right w:type="dxa" w:w="100"/>
            </w:tcMar>
          </w:tcPr>
          <w:p>
            <w:r>
              <w:rPr>
                <w:b w:val="false"/>
                <w:bCs w:val="false"/>
                <w:sz w:val="20"/>
                <w:szCs w:val="20"/>
              </w:rPr>
              <w:t xml:space="preserve">Maps does not error on an ambiguous/garbage query -- it just picks something plausible.</w:t>
            </w:r>
          </w:p>
        </w:tc>
        <w:tc>
          <w:tcPr>
            <w:tcW w:type="dxa" w:w="2800"/>
            <w:tcMar>
              <w:top w:type="dxa" w:w="80"/>
              <w:left w:type="dxa" w:w="100"/>
              <w:bottom w:type="dxa" w:w="80"/>
              <w:right w:type="dxa" w:w="100"/>
            </w:tcMar>
          </w:tcPr>
          <w:p>
            <w:r>
              <w:rPr>
                <w:b w:val="false"/>
                <w:bCs w:val="false"/>
                <w:sz w:val="20"/>
                <w:szCs w:val="20"/>
              </w:rPr>
              <w:t xml:space="preserve">_destination_plausibly_resolved(): reads the resolved destination combobox and requires &gt;=50% token overlap with what was requested before accepting the route.</w:t>
            </w:r>
          </w:p>
        </w:tc>
      </w:tr>
      <w:tr>
        <w:tc>
          <w:tcPr>
            <w:tcW w:type="dxa" w:w="3300"/>
            <w:tcMar>
              <w:top w:type="dxa" w:w="80"/>
              <w:left w:type="dxa" w:w="100"/>
              <w:bottom w:type="dxa" w:w="80"/>
              <w:right w:type="dxa" w:w="100"/>
            </w:tcMar>
          </w:tcPr>
          <w:p>
            <w:r>
              <w:rPr>
                <w:b w:val="false"/>
                <w:bCs w:val="false"/>
                <w:sz w:val="20"/>
                <w:szCs w:val="20"/>
              </w:rPr>
              <w:t xml:space="preserve">doc.add_heading() / table.style = 'Table Grid' raised KeyError</w:t>
            </w:r>
          </w:p>
        </w:tc>
        <w:tc>
          <w:tcPr>
            <w:tcW w:type="dxa" w:w="3300"/>
            <w:tcMar>
              <w:top w:type="dxa" w:w="80"/>
              <w:left w:type="dxa" w:w="100"/>
              <w:bottom w:type="dxa" w:w="80"/>
              <w:right w:type="dxa" w:w="100"/>
            </w:tcMar>
          </w:tcPr>
          <w:p>
            <w:r>
              <w:rPr>
                <w:b w:val="false"/>
                <w:bCs w:val="false"/>
                <w:sz w:val="20"/>
                <w:szCs w:val="20"/>
              </w:rPr>
              <w:t xml:space="preserve">The Company Charter template was built with docx-js, not Word -- python-docx's style-name lookup fails even though reading an existing paragraph reports a valid style name.</w:t>
            </w:r>
          </w:p>
        </w:tc>
        <w:tc>
          <w:tcPr>
            <w:tcW w:type="dxa" w:w="2800"/>
            <w:tcMar>
              <w:top w:type="dxa" w:w="80"/>
              <w:left w:type="dxa" w:w="100"/>
              <w:bottom w:type="dxa" w:w="80"/>
              <w:right w:type="dxa" w:w="100"/>
            </w:tcMar>
          </w:tcPr>
          <w:p>
            <w:r>
              <w:rPr>
                <w:b w:val="false"/>
                <w:bCs w:val="false"/>
                <w:sz w:val="20"/>
                <w:szCs w:val="20"/>
              </w:rPr>
              <w:t xml:space="preserve">Reuse an existing paragraph's actual style object directly; build table borders via raw OOXML instead of a named style.</w:t>
            </w:r>
          </w:p>
        </w:tc>
      </w:tr>
    </w:tbl>
    <w:p>
      <w:pPr>
        <w:pStyle w:val="Heading2"/>
        <w:spacing w:after="120" w:before="260"/>
      </w:pPr>
      <w:r>
        <w:t xml:space="preserve">6.2 New capabilities</w:t>
      </w:r>
    </w:p>
    <w:p>
      <w:pPr>
        <w:pStyle w:val="ListParagraph"/>
        <w:numPr>
          <w:ilvl w:val="0"/>
          <w:numId w:val="2"/>
        </w:numPr>
        <w:spacing w:after="80" w:line="276"/>
      </w:pPr>
      <w:r>
        <w:rPr>
          <w:b/>
          <w:bCs/>
        </w:rPr>
        <w:t xml:space="preserve">Live Google Maps distance refinement -- </w:t>
      </w:r>
      <w:r>
        <w:t xml:space="preserve">an optional (COMPANY_CHARTER_USE_MAPS_SCRAPE=1) Playwright-driven pass that replaces the model's web_search distance estimate with a real, live-scraped driving route per landmark, gated by the sanity check above.</w:t>
      </w:r>
    </w:p>
    <w:p>
      <w:pPr>
        <w:pStyle w:val="ListParagraph"/>
        <w:numPr>
          <w:ilvl w:val="0"/>
          <w:numId w:val="2"/>
        </w:numPr>
        <w:spacing w:after="80" w:line="276"/>
      </w:pPr>
      <w:r>
        <w:rPr>
          <w:b/>
          <w:bCs/>
        </w:rPr>
        <w:t xml:space="preserve">Comparable-projects within a genuine radius -- </w:t>
      </w:r>
      <w:r>
        <w:t xml:space="preserve">the schema now requires a distance_km per comparable, and the system prompt requires comparables to be genuinely independent developments, not the subject project's own adjacent phase. Where nothing was confirmed specifically within the requested band, an honest gap is recorded rather than a number being forced to fit.</w:t>
      </w:r>
    </w:p>
    <w:p>
      <w:pPr>
        <w:pStyle w:val="ListParagraph"/>
        <w:numPr>
          <w:ilvl w:val="0"/>
          <w:numId w:val="2"/>
        </w:numPr>
        <w:spacing w:after="80" w:line="276"/>
      </w:pPr>
      <w:r>
        <w:rPr>
          <w:b/>
          <w:bCs/>
        </w:rPr>
        <w:t xml:space="preserve">Data Authenticity &amp; Confidence Summary page -- </w:t>
      </w:r>
      <w:r>
        <w:t xml:space="preserve">a new, code-computed final page classifying every cited source into one of six tiers and reporting the tier breakdown, percentage from the highest-confidence tier, and outstanding gap count -- see Section 5.2, item 6.</w:t>
      </w:r>
    </w:p>
    <w:p>
      <w:pPr>
        <w:pStyle w:val="ListParagraph"/>
        <w:numPr>
          <w:ilvl w:val="0"/>
          <w:numId w:val="2"/>
        </w:numPr>
        <w:spacing w:after="80" w:line="276"/>
      </w:pPr>
      <w:r>
        <w:rPr>
          <w:b/>
          <w:bCs/>
        </w:rPr>
        <w:t xml:space="preserve">Streamlit UI runtime toggle -- </w:t>
      </w:r>
      <w:r>
        <w:t xml:space="preserve">the Maps-scrape option is exposed as a sidebar checkbox, set directly on the same-process os.environ right before calling company_charter.run_company_charter(), sidestepping the fact that a Streamlit-managed subprocess does not inherit externally-set environment variables.</w:t>
      </w:r>
    </w:p>
    <w:p>
      <w:r>
        <w:br w:type="page"/>
      </w:r>
    </w:p>
    <w:p>
      <w:pPr>
        <w:pStyle w:val="Heading1"/>
        <w:spacing w:after="160" w:before="360"/>
      </w:pPr>
      <w:r>
        <w:t xml:space="preserve">7. Worked Example -- Godrej Park Greens (P52100019639)</w:t>
      </w:r>
    </w:p>
    <w:p>
      <w:pPr>
        <w:spacing w:after="140" w:line="276"/>
      </w:pPr>
      <w:r>
        <w:t xml:space="preserve">A full real run was produced for Godrej Park Greens (MahaRERA registration P52100019639, promoter Godrej Skyline Developers Limited, Mamurdi / Dehu Road, Pune), used throughout this engagement to verify every feature against genuine data rather than samples.</w:t>
      </w:r>
    </w:p>
    <w:p>
      <w:pPr>
        <w:pStyle w:val="Heading2"/>
        <w:spacing w:after="120" w:before="260"/>
      </w:pPr>
      <w:r>
        <w:t xml:space="preserve">7.1 What was found</w:t>
      </w:r>
    </w:p>
    <w:p>
      <w:pPr>
        <w:pStyle w:val="ListParagraph"/>
        <w:numPr>
          <w:ilvl w:val="0"/>
          <w:numId w:val="2"/>
        </w:numPr>
        <w:spacing w:after="80" w:line="276"/>
      </w:pPr>
      <w:r>
        <w:t xml:space="preserve">Land title chain: a 14-parcel chain from Peninsula Land Limited, reviewed via the project's own Supplemental Legal Due Diligence Report, with critical observations flagged on minor co-owners and a temple structure on part of the land.</w:t>
      </w:r>
    </w:p>
    <w:p>
      <w:pPr>
        <w:pStyle w:val="ListParagraph"/>
        <w:numPr>
          <w:ilvl w:val="0"/>
          <w:numId w:val="2"/>
        </w:numPr>
        <w:spacing w:after="80" w:line="276"/>
      </w:pPr>
      <w:r>
        <w:t xml:space="preserve">Form B / Rule 3(4) declaration executed 9 Aug 2024; completion date 30 June 2027; a Bajaj Housing Finance Limited mortgage disclosed.</w:t>
      </w:r>
    </w:p>
    <w:p>
      <w:pPr>
        <w:pStyle w:val="ListParagraph"/>
        <w:numPr>
          <w:ilvl w:val="0"/>
          <w:numId w:val="2"/>
        </w:numPr>
        <w:spacing w:after="80" w:line="276"/>
      </w:pPr>
      <w:r>
        <w:t xml:space="preserve">A significant litigation pattern: 59 complaints and 18 appeals, heavily concentrated in 2025-2026, including promoter counter-appeals.</w:t>
      </w:r>
    </w:p>
    <w:p>
      <w:pPr>
        <w:pStyle w:val="ListParagraph"/>
        <w:numPr>
          <w:ilvl w:val="0"/>
          <w:numId w:val="2"/>
        </w:numPr>
        <w:spacing w:after="80" w:line="276"/>
      </w:pPr>
      <w:r>
        <w:t xml:space="preserve">A corporate-registry change: Godrej Skyline Developers Limited's conversion from Private to Public Limited, cross-checked against its CIN.</w:t>
      </w:r>
    </w:p>
    <w:p>
      <w:pPr>
        <w:pStyle w:val="ListParagraph"/>
        <w:numPr>
          <w:ilvl w:val="0"/>
          <w:numId w:val="2"/>
        </w:numPr>
        <w:spacing w:after="80" w:line="276"/>
      </w:pPr>
      <w:r>
        <w:t xml:space="preserve">Possession timeline slippage: 2023 -&gt; 2027 -&gt; 2028 across the record.</w:t>
      </w:r>
    </w:p>
    <w:p>
      <w:pPr>
        <w:pStyle w:val="ListParagraph"/>
        <w:numPr>
          <w:ilvl w:val="0"/>
          <w:numId w:val="2"/>
        </w:numPr>
        <w:spacing w:after="80" w:line="276"/>
      </w:pPr>
      <w:r>
        <w:t xml:space="preserve">A genuinely independent comparable, Yashada Dreamsong (MahaRERA P52100078168, Yashada Realty), live-Maps-verified at 0.35 km -- reported honestly at its real distance rather than forced to fit a 3-5 km band, with an explicit gap recorded that nothing was confirmed specifically within that literal band.</w:t>
      </w:r>
    </w:p>
    <w:p>
      <w:pPr>
        <w:pStyle w:val="Heading2"/>
        <w:spacing w:after="120" w:before="260"/>
      </w:pPr>
      <w:r>
        <w:t xml:space="preserve">7.2 Data Authenticity breakdown for this report</w:t>
      </w:r>
    </w:p>
    <w:p>
      <w:pPr>
        <w:spacing w:after="140" w:line="276"/>
      </w:pPr>
      <w:r>
        <w:t xml:space="preserve">10 total cited sources, classified as:</w:t>
      </w:r>
    </w:p>
    <w:tbl>
      <w:tblPr>
        <w:tblW w:type="dxa" w:w="8400"/>
        <w:tblBorders>
          <w:top w:val="single" w:color="999999" w:sz="4"/>
          <w:left w:val="single" w:color="999999" w:sz="4"/>
          <w:bottom w:val="single" w:color="999999" w:sz="4"/>
          <w:right w:val="single" w:color="999999" w:sz="4"/>
          <w:insideH w:val="single" w:color="CCCCCC" w:sz="4"/>
          <w:insideV w:val="single" w:color="CCCCCC" w:sz="4"/>
        </w:tblBorders>
      </w:tblPr>
      <w:tblGrid>
        <w:gridCol w:w="6500"/>
        <w:gridCol w:w="1900"/>
      </w:tblGrid>
      <w:tr>
        <w:trPr>
          <w:tblHeader/>
        </w:trPr>
        <w:tc>
          <w:tcPr>
            <w:tcW w:type="dxa" w:w="6500"/>
            <w:shd w:fill="D9E2F3" w:val="clear"/>
            <w:tcMar>
              <w:top w:type="dxa" w:w="80"/>
              <w:left w:type="dxa" w:w="100"/>
              <w:bottom w:type="dxa" w:w="80"/>
              <w:right w:type="dxa" w:w="100"/>
            </w:tcMar>
          </w:tcPr>
          <w:p>
            <w:r>
              <w:rPr>
                <w:b/>
                <w:bCs/>
                <w:sz w:val="20"/>
                <w:szCs w:val="20"/>
              </w:rPr>
              <w:t xml:space="preserve">Source tier</w:t>
            </w:r>
          </w:p>
        </w:tc>
        <w:tc>
          <w:tcPr>
            <w:tcW w:type="dxa" w:w="1900"/>
            <w:shd w:fill="D9E2F3" w:val="clear"/>
            <w:tcMar>
              <w:top w:type="dxa" w:w="80"/>
              <w:left w:type="dxa" w:w="100"/>
              <w:bottom w:type="dxa" w:w="80"/>
              <w:right w:type="dxa" w:w="100"/>
            </w:tcMar>
          </w:tcPr>
          <w:p>
            <w:r>
              <w:rPr>
                <w:b/>
                <w:bCs/>
                <w:sz w:val="20"/>
                <w:szCs w:val="20"/>
              </w:rPr>
              <w:t xml:space="preserve">Count</w:t>
            </w:r>
          </w:p>
        </w:tc>
      </w:tr>
      <w:tr>
        <w:tc>
          <w:tcPr>
            <w:tcW w:type="dxa" w:w="6500"/>
            <w:tcMar>
              <w:top w:type="dxa" w:w="80"/>
              <w:left w:type="dxa" w:w="100"/>
              <w:bottom w:type="dxa" w:w="80"/>
              <w:right w:type="dxa" w:w="100"/>
            </w:tcMar>
          </w:tcPr>
          <w:p>
            <w:r>
              <w:rPr>
                <w:b w:val="false"/>
                <w:bCs w:val="false"/>
                <w:sz w:val="20"/>
                <w:szCs w:val="20"/>
              </w:rPr>
              <w:t xml:space="preserve">Primary regulatory record (MahaRERA/MCA, or a document opened from it)</w:t>
            </w:r>
          </w:p>
        </w:tc>
        <w:tc>
          <w:tcPr>
            <w:tcW w:type="dxa" w:w="1900"/>
            <w:tcMar>
              <w:top w:type="dxa" w:w="80"/>
              <w:left w:type="dxa" w:w="100"/>
              <w:bottom w:type="dxa" w:w="80"/>
              <w:right w:type="dxa" w:w="100"/>
            </w:tcMar>
          </w:tcPr>
          <w:p>
            <w:r>
              <w:rPr>
                <w:b w:val="false"/>
                <w:bCs w:val="false"/>
                <w:sz w:val="20"/>
                <w:szCs w:val="20"/>
              </w:rPr>
              <w:t xml:space="preserve">2</w:t>
            </w:r>
          </w:p>
        </w:tc>
      </w:tr>
      <w:tr>
        <w:tc>
          <w:tcPr>
            <w:tcW w:type="dxa" w:w="6500"/>
            <w:tcMar>
              <w:top w:type="dxa" w:w="80"/>
              <w:left w:type="dxa" w:w="100"/>
              <w:bottom w:type="dxa" w:w="80"/>
              <w:right w:type="dxa" w:w="100"/>
            </w:tcMar>
          </w:tcPr>
          <w:p>
            <w:r>
              <w:rPr>
                <w:b w:val="false"/>
                <w:bCs w:val="false"/>
                <w:sz w:val="20"/>
                <w:szCs w:val="20"/>
              </w:rPr>
              <w:t xml:space="preserve">Corporate-registry mirror</w:t>
            </w:r>
          </w:p>
        </w:tc>
        <w:tc>
          <w:tcPr>
            <w:tcW w:type="dxa" w:w="1900"/>
            <w:tcMar>
              <w:top w:type="dxa" w:w="80"/>
              <w:left w:type="dxa" w:w="100"/>
              <w:bottom w:type="dxa" w:w="80"/>
              <w:right w:type="dxa" w:w="100"/>
            </w:tcMar>
          </w:tcPr>
          <w:p>
            <w:r>
              <w:rPr>
                <w:b w:val="false"/>
                <w:bCs w:val="false"/>
                <w:sz w:val="20"/>
                <w:szCs w:val="20"/>
              </w:rPr>
              <w:t xml:space="preserve">1</w:t>
            </w:r>
          </w:p>
        </w:tc>
      </w:tr>
      <w:tr>
        <w:tc>
          <w:tcPr>
            <w:tcW w:type="dxa" w:w="6500"/>
            <w:tcMar>
              <w:top w:type="dxa" w:w="80"/>
              <w:left w:type="dxa" w:w="100"/>
              <w:bottom w:type="dxa" w:w="80"/>
              <w:right w:type="dxa" w:w="100"/>
            </w:tcMar>
          </w:tcPr>
          <w:p>
            <w:r>
              <w:rPr>
                <w:b w:val="false"/>
                <w:bCs w:val="false"/>
                <w:sz w:val="20"/>
                <w:szCs w:val="20"/>
              </w:rPr>
              <w:t xml:space="preserve">Real-estate aggregator / listing site</w:t>
            </w:r>
          </w:p>
        </w:tc>
        <w:tc>
          <w:tcPr>
            <w:tcW w:type="dxa" w:w="1900"/>
            <w:tcMar>
              <w:top w:type="dxa" w:w="80"/>
              <w:left w:type="dxa" w:w="100"/>
              <w:bottom w:type="dxa" w:w="80"/>
              <w:right w:type="dxa" w:w="100"/>
            </w:tcMar>
          </w:tcPr>
          <w:p>
            <w:r>
              <w:rPr>
                <w:b w:val="false"/>
                <w:bCs w:val="false"/>
                <w:sz w:val="20"/>
                <w:szCs w:val="20"/>
              </w:rPr>
              <w:t xml:space="preserve">3</w:t>
            </w:r>
          </w:p>
        </w:tc>
      </w:tr>
      <w:tr>
        <w:tc>
          <w:tcPr>
            <w:tcW w:type="dxa" w:w="6500"/>
            <w:tcMar>
              <w:top w:type="dxa" w:w="80"/>
              <w:left w:type="dxa" w:w="100"/>
              <w:bottom w:type="dxa" w:w="80"/>
              <w:right w:type="dxa" w:w="100"/>
            </w:tcMar>
          </w:tcPr>
          <w:p>
            <w:r>
              <w:rPr>
                <w:b w:val="false"/>
                <w:bCs w:val="false"/>
                <w:sz w:val="20"/>
                <w:szCs w:val="20"/>
              </w:rPr>
              <w:t xml:space="preserve">News / press coverage</w:t>
            </w:r>
          </w:p>
        </w:tc>
        <w:tc>
          <w:tcPr>
            <w:tcW w:type="dxa" w:w="1900"/>
            <w:tcMar>
              <w:top w:type="dxa" w:w="80"/>
              <w:left w:type="dxa" w:w="100"/>
              <w:bottom w:type="dxa" w:w="80"/>
              <w:right w:type="dxa" w:w="100"/>
            </w:tcMar>
          </w:tcPr>
          <w:p>
            <w:r>
              <w:rPr>
                <w:b w:val="false"/>
                <w:bCs w:val="false"/>
                <w:sz w:val="20"/>
                <w:szCs w:val="20"/>
              </w:rPr>
              <w:t xml:space="preserve">1</w:t>
            </w:r>
          </w:p>
        </w:tc>
      </w:tr>
      <w:tr>
        <w:tc>
          <w:tcPr>
            <w:tcW w:type="dxa" w:w="6500"/>
            <w:tcMar>
              <w:top w:type="dxa" w:w="80"/>
              <w:left w:type="dxa" w:w="100"/>
              <w:bottom w:type="dxa" w:w="80"/>
              <w:right w:type="dxa" w:w="100"/>
            </w:tcMar>
          </w:tcPr>
          <w:p>
            <w:r>
              <w:rPr>
                <w:b w:val="false"/>
                <w:bCs w:val="false"/>
                <w:sz w:val="20"/>
                <w:szCs w:val="20"/>
              </w:rPr>
              <w:t xml:space="preserve">Social media / user-generated content</w:t>
            </w:r>
          </w:p>
        </w:tc>
        <w:tc>
          <w:tcPr>
            <w:tcW w:type="dxa" w:w="1900"/>
            <w:tcMar>
              <w:top w:type="dxa" w:w="80"/>
              <w:left w:type="dxa" w:w="100"/>
              <w:bottom w:type="dxa" w:w="80"/>
              <w:right w:type="dxa" w:w="100"/>
            </w:tcMar>
          </w:tcPr>
          <w:p>
            <w:r>
              <w:rPr>
                <w:b w:val="false"/>
                <w:bCs w:val="false"/>
                <w:sz w:val="20"/>
                <w:szCs w:val="20"/>
              </w:rPr>
              <w:t xml:space="preserve">1</w:t>
            </w:r>
          </w:p>
        </w:tc>
      </w:tr>
      <w:tr>
        <w:tc>
          <w:tcPr>
            <w:tcW w:type="dxa" w:w="6500"/>
            <w:tcMar>
              <w:top w:type="dxa" w:w="80"/>
              <w:left w:type="dxa" w:w="100"/>
              <w:bottom w:type="dxa" w:w="80"/>
              <w:right w:type="dxa" w:w="100"/>
            </w:tcMar>
          </w:tcPr>
          <w:p>
            <w:r>
              <w:rPr>
                <w:b w:val="false"/>
                <w:bCs w:val="false"/>
                <w:sz w:val="20"/>
                <w:szCs w:val="20"/>
              </w:rPr>
              <w:t xml:space="preserve">Other / unclassified source</w:t>
            </w:r>
          </w:p>
        </w:tc>
        <w:tc>
          <w:tcPr>
            <w:tcW w:type="dxa" w:w="1900"/>
            <w:tcMar>
              <w:top w:type="dxa" w:w="80"/>
              <w:left w:type="dxa" w:w="100"/>
              <w:bottom w:type="dxa" w:w="80"/>
              <w:right w:type="dxa" w:w="100"/>
            </w:tcMar>
          </w:tcPr>
          <w:p>
            <w:r>
              <w:rPr>
                <w:b w:val="false"/>
                <w:bCs w:val="false"/>
                <w:sz w:val="20"/>
                <w:szCs w:val="20"/>
              </w:rPr>
              <w:t xml:space="preserve">2</w:t>
            </w:r>
          </w:p>
        </w:tc>
      </w:tr>
    </w:tbl>
    <w:p>
      <w:pPr>
        <w:spacing w:after="200"/>
      </w:pPr>
      <w:r>
        <w:rPr>
          <w:i/>
          <w:iCs/>
          <w:color w:val="595959"/>
          <w:sz w:val="20"/>
          <w:szCs w:val="20"/>
        </w:rPr>
        <w:t xml:space="preserve">8 additional items in this report are recorded as explicit, unresolved gaps rather than filled in with an estimate.</w:t>
      </w:r>
    </w:p>
    <w:p>
      <w:r>
        <w:br w:type="page"/>
      </w:r>
    </w:p>
    <w:p>
      <w:pPr>
        <w:pStyle w:val="Heading1"/>
        <w:spacing w:after="160" w:before="360"/>
      </w:pPr>
      <w:r>
        <w:t xml:space="preserve">8. Engineering Posture</w:t>
      </w:r>
    </w:p>
    <w:p>
      <w:pPr>
        <w:spacing w:after="140" w:line="276"/>
      </w:pPr>
      <w:r>
        <w:t xml:space="preserve">Principles applied consistently across every module in this system:</w:t>
      </w:r>
    </w:p>
    <w:p>
      <w:pPr>
        <w:pStyle w:val="ListParagraph"/>
        <w:numPr>
          <w:ilvl w:val="0"/>
          <w:numId w:val="2"/>
        </w:numPr>
        <w:spacing w:after="80" w:line="276"/>
      </w:pPr>
      <w:r>
        <w:rPr>
          <w:b/>
          <w:bCs/>
        </w:rPr>
        <w:t xml:space="preserve">Nothing crashes the whole run. </w:t>
      </w:r>
      <w:r>
        <w:t xml:space="preserve">Every optional or LLM-dependent stage (promoter portfolio, Deep Research, Company Charter) is wrapped in exception handling that logs a warning and continues; only that section is left unpopulated.</w:t>
      </w:r>
    </w:p>
    <w:p>
      <w:pPr>
        <w:pStyle w:val="ListParagraph"/>
        <w:numPr>
          <w:ilvl w:val="0"/>
          <w:numId w:val="2"/>
        </w:numPr>
        <w:spacing w:after="80" w:line="276"/>
      </w:pPr>
      <w:r>
        <w:rPr>
          <w:b/>
          <w:bCs/>
        </w:rPr>
        <w:t xml:space="preserve">Nothing is silently overwritten. </w:t>
      </w:r>
      <w:r>
        <w:t xml:space="preserve">Every prior run is archived to output/_history/ before a fresh run starts; two runs of the same project can always be diffed.</w:t>
      </w:r>
    </w:p>
    <w:p>
      <w:pPr>
        <w:pStyle w:val="ListParagraph"/>
        <w:numPr>
          <w:ilvl w:val="0"/>
          <w:numId w:val="2"/>
        </w:numPr>
        <w:spacing w:after="80" w:line="276"/>
      </w:pPr>
      <w:r>
        <w:rPr>
          <w:b/>
          <w:bCs/>
        </w:rPr>
        <w:t xml:space="preserve">Every fact keeps its source. </w:t>
      </w:r>
      <w:r>
        <w:t xml:space="preserve">Sourced fields carry a source/ref alongside their value throughout the pipeline, from the raw category JSON through to the final Company Charter and PDF.</w:t>
      </w:r>
    </w:p>
    <w:p>
      <w:pPr>
        <w:pStyle w:val="ListParagraph"/>
        <w:numPr>
          <w:ilvl w:val="0"/>
          <w:numId w:val="2"/>
        </w:numPr>
        <w:spacing w:after="80" w:line="276"/>
      </w:pPr>
      <w:r>
        <w:rPr>
          <w:b/>
          <w:bCs/>
        </w:rPr>
        <w:t xml:space="preserve">Never fabricate; always name the gap. </w:t>
      </w:r>
      <w:r>
        <w:t xml:space="preserve">Any claim that cannot be confirmed -- after search, after verification, after a bounded number of differently-angled retries -- is recorded as an explicit, described gap. It is never approximated, guessed, or silently dropped.</w:t>
      </w:r>
    </w:p>
    <w:p>
      <w:pPr>
        <w:pStyle w:val="ListParagraph"/>
        <w:numPr>
          <w:ilvl w:val="0"/>
          <w:numId w:val="2"/>
        </w:numPr>
        <w:spacing w:after="80" w:line="276"/>
      </w:pPr>
      <w:r>
        <w:rPr>
          <w:b/>
          <w:bCs/>
        </w:rPr>
        <w:t xml:space="preserve">Confidence is computed, never self-reported. </w:t>
      </w:r>
      <w:r>
        <w:t xml:space="preserve">The Data Authenticity page classifies actual cited sources by tier rather than asking the model to grade its own reliability.</w:t>
      </w:r>
    </w:p>
    <w:p>
      <w:pPr>
        <w:pStyle w:val="ListParagraph"/>
        <w:numPr>
          <w:ilvl w:val="0"/>
          <w:numId w:val="2"/>
        </w:numPr>
        <w:spacing w:after="80" w:line="276"/>
      </w:pPr>
      <w:r>
        <w:rPr>
          <w:b/>
          <w:bCs/>
        </w:rPr>
        <w:t xml:space="preserve">Two independent, separable lanes. </w:t>
      </w:r>
      <w:r>
        <w:t xml:space="preserve">Deterministic scraping (Lane A) has zero dependency on Claude API availability; Claude-powered analysis (Lane B) never blocks or breaks Lane A.</w:t>
      </w:r>
    </w:p>
    <w:p>
      <w:r>
        <w:br w:type="page"/>
      </w:r>
    </w:p>
    <w:p>
      <w:pPr>
        <w:pStyle w:val="Heading1"/>
        <w:spacing w:after="160" w:before="360"/>
      </w:pPr>
      <w:r>
        <w:t xml:space="preserve">9. Known Limitations &amp; Proposed Next Steps</w:t>
      </w:r>
    </w:p>
    <w:p>
      <w:pPr>
        <w:pStyle w:val="Heading2"/>
        <w:spacing w:after="120" w:before="260"/>
      </w:pPr>
      <w:r>
        <w:t xml:space="preserve">9.1 Current limitations</w:t>
      </w:r>
    </w:p>
    <w:p>
      <w:pPr>
        <w:pStyle w:val="ListParagraph"/>
        <w:numPr>
          <w:ilvl w:val="0"/>
          <w:numId w:val="2"/>
        </w:numPr>
        <w:spacing w:after="80" w:line="276"/>
      </w:pPr>
      <w:r>
        <w:rPr>
          <w:b/>
          <w:bCs/>
        </w:rPr>
        <w:t xml:space="preserve">No ANTHROPIC_API_KEY currently configured </w:t>
      </w:r>
      <w:r>
        <w:t xml:space="preserve">in this environment -- Deep Research and Company Charter generation both degrade gracefully and leave their sections unpopulated until a key is set. The architecture requires no other change to start using it.</w:t>
      </w:r>
    </w:p>
    <w:p>
      <w:pPr>
        <w:pStyle w:val="ListParagraph"/>
        <w:numPr>
          <w:ilvl w:val="0"/>
          <w:numId w:val="2"/>
        </w:numPr>
        <w:spacing w:after="80" w:line="276"/>
      </w:pPr>
      <w:r>
        <w:rPr>
          <w:b/>
          <w:bCs/>
        </w:rPr>
        <w:t xml:space="preserve">Google Maps scraping ToS caveat -- </w:t>
      </w:r>
      <w:r>
        <w:t xml:space="preserve">the optional live-distance feature scrapes Google's consumer-facing Maps UI rather than their paid Routes API. It is off by default, always falls back to the model's own estimate on any failure, and may break without warning if Google changes the page.</w:t>
      </w:r>
    </w:p>
    <w:p>
      <w:pPr>
        <w:pStyle w:val="ListParagraph"/>
        <w:numPr>
          <w:ilvl w:val="0"/>
          <w:numId w:val="2"/>
        </w:numPr>
        <w:spacing w:after="80" w:line="276"/>
      </w:pPr>
      <w:r>
        <w:rPr>
          <w:b/>
          <w:bCs/>
        </w:rPr>
        <w:t xml:space="preserve">External site dependency -- </w:t>
      </w:r>
      <w:r>
        <w:t xml:space="preserve">resolver.py depends on MahaRERA's public search front-end (maharera.maharashtra.gov.in) being reachable; a live outage of that specific host was encountered and diagnosed during this engagement (confirmed via direct network tests: DNS resolved, but the connection timed out, while the separate data-API host remained reachable throughout).</w:t>
      </w:r>
    </w:p>
    <w:p>
      <w:pPr>
        <w:pStyle w:val="ListParagraph"/>
        <w:numPr>
          <w:ilvl w:val="0"/>
          <w:numId w:val="2"/>
        </w:numPr>
        <w:spacing w:after="80" w:line="276"/>
      </w:pPr>
      <w:r>
        <w:rPr>
          <w:b/>
          <w:bCs/>
        </w:rPr>
        <w:t xml:space="preserve">Verification coverage is narrower than documented. </w:t>
      </w:r>
      <w:r>
        <w:t xml:space="preserve">_verify_material_claims() currently only re-checks land_identification fields, though its own docstring describes corporate identity and litigation fields as in scope too -- those are not yet wired in.</w:t>
      </w:r>
    </w:p>
    <w:p>
      <w:pPr>
        <w:pStyle w:val="Heading2"/>
        <w:spacing w:after="120" w:before="260"/>
      </w:pPr>
      <w:r>
        <w:t xml:space="preserve">9.2 Proposed, not yet built: a numeric Data Confidence Score</w:t>
      </w:r>
    </w:p>
    <w:p>
      <w:pPr>
        <w:spacing w:after="140" w:line="276"/>
      </w:pPr>
      <w:r>
        <w:t xml:space="preserve">Discussed and scoped, pending implementation. Six criteria, each computed mechanically from the same sources/gaps data already in the document:</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7000"/>
        <w:gridCol w:w="2400"/>
      </w:tblGrid>
      <w:tr>
        <w:trPr>
          <w:tblHeader/>
        </w:trPr>
        <w:tc>
          <w:tcPr>
            <w:tcW w:type="dxa" w:w="7000"/>
            <w:shd w:fill="D9E2F3" w:val="clear"/>
            <w:tcMar>
              <w:top w:type="dxa" w:w="80"/>
              <w:left w:type="dxa" w:w="100"/>
              <w:bottom w:type="dxa" w:w="80"/>
              <w:right w:type="dxa" w:w="100"/>
            </w:tcMar>
          </w:tcPr>
          <w:p>
            <w:r>
              <w:rPr>
                <w:b/>
                <w:bCs/>
                <w:sz w:val="20"/>
                <w:szCs w:val="20"/>
              </w:rPr>
              <w:t xml:space="preserve">Criterion</w:t>
            </w:r>
          </w:p>
        </w:tc>
        <w:tc>
          <w:tcPr>
            <w:tcW w:type="dxa" w:w="2400"/>
            <w:shd w:fill="D9E2F3" w:val="clear"/>
            <w:tcMar>
              <w:top w:type="dxa" w:w="80"/>
              <w:left w:type="dxa" w:w="100"/>
              <w:bottom w:type="dxa" w:w="80"/>
              <w:right w:type="dxa" w:w="100"/>
            </w:tcMar>
          </w:tcPr>
          <w:p>
            <w:r>
              <w:rPr>
                <w:b/>
                <w:bCs/>
                <w:sz w:val="20"/>
                <w:szCs w:val="20"/>
              </w:rPr>
              <w:t xml:space="preserve">Status</w:t>
            </w:r>
          </w:p>
        </w:tc>
      </w:tr>
      <w:tr>
        <w:tc>
          <w:tcPr>
            <w:tcW w:type="dxa" w:w="7000"/>
            <w:tcMar>
              <w:top w:type="dxa" w:w="80"/>
              <w:left w:type="dxa" w:w="100"/>
              <w:bottom w:type="dxa" w:w="80"/>
              <w:right w:type="dxa" w:w="100"/>
            </w:tcMar>
          </w:tcPr>
          <w:p>
            <w:r>
              <w:rPr>
                <w:b w:val="false"/>
                <w:bCs w:val="false"/>
                <w:sz w:val="20"/>
                <w:szCs w:val="20"/>
              </w:rPr>
              <w:t xml:space="preserve">Primary-Tier Density (% of sources from the top two tiers)</w:t>
            </w:r>
          </w:p>
        </w:tc>
        <w:tc>
          <w:tcPr>
            <w:tcW w:type="dxa" w:w="2400"/>
            <w:tcMar>
              <w:top w:type="dxa" w:w="80"/>
              <w:left w:type="dxa" w:w="100"/>
              <w:bottom w:type="dxa" w:w="80"/>
              <w:right w:type="dxa" w:w="100"/>
            </w:tcMar>
          </w:tcPr>
          <w:p>
            <w:r>
              <w:rPr>
                <w:b w:val="false"/>
                <w:bCs w:val="false"/>
                <w:sz w:val="20"/>
                <w:szCs w:val="20"/>
              </w:rPr>
              <w:t xml:space="preserve">Computable today</w:t>
            </w:r>
          </w:p>
        </w:tc>
      </w:tr>
      <w:tr>
        <w:tc>
          <w:tcPr>
            <w:tcW w:type="dxa" w:w="7000"/>
            <w:tcMar>
              <w:top w:type="dxa" w:w="80"/>
              <w:left w:type="dxa" w:w="100"/>
              <w:bottom w:type="dxa" w:w="80"/>
              <w:right w:type="dxa" w:w="100"/>
            </w:tcMar>
          </w:tcPr>
          <w:p>
            <w:r>
              <w:rPr>
                <w:b w:val="false"/>
                <w:bCs w:val="false"/>
                <w:sz w:val="20"/>
                <w:szCs w:val="20"/>
              </w:rPr>
              <w:t xml:space="preserve">Weighted Source-Tier Quality (weighted average across all tiers)</w:t>
            </w:r>
          </w:p>
        </w:tc>
        <w:tc>
          <w:tcPr>
            <w:tcW w:type="dxa" w:w="2400"/>
            <w:tcMar>
              <w:top w:type="dxa" w:w="80"/>
              <w:left w:type="dxa" w:w="100"/>
              <w:bottom w:type="dxa" w:w="80"/>
              <w:right w:type="dxa" w:w="100"/>
            </w:tcMar>
          </w:tcPr>
          <w:p>
            <w:r>
              <w:rPr>
                <w:b w:val="false"/>
                <w:bCs w:val="false"/>
                <w:sz w:val="20"/>
                <w:szCs w:val="20"/>
              </w:rPr>
              <w:t xml:space="preserve">Computable today</w:t>
            </w:r>
          </w:p>
        </w:tc>
      </w:tr>
      <w:tr>
        <w:tc>
          <w:tcPr>
            <w:tcW w:type="dxa" w:w="7000"/>
            <w:tcMar>
              <w:top w:type="dxa" w:w="80"/>
              <w:left w:type="dxa" w:w="100"/>
              <w:bottom w:type="dxa" w:w="80"/>
              <w:right w:type="dxa" w:w="100"/>
            </w:tcMar>
          </w:tcPr>
          <w:p>
            <w:r>
              <w:rPr>
                <w:b w:val="false"/>
                <w:bCs w:val="false"/>
                <w:sz w:val="20"/>
                <w:szCs w:val="20"/>
              </w:rPr>
              <w:t xml:space="preserve">Completeness Rate (confirmed sources / (sources + gaps))</w:t>
            </w:r>
          </w:p>
        </w:tc>
        <w:tc>
          <w:tcPr>
            <w:tcW w:type="dxa" w:w="2400"/>
            <w:tcMar>
              <w:top w:type="dxa" w:w="80"/>
              <w:left w:type="dxa" w:w="100"/>
              <w:bottom w:type="dxa" w:w="80"/>
              <w:right w:type="dxa" w:w="100"/>
            </w:tcMar>
          </w:tcPr>
          <w:p>
            <w:r>
              <w:rPr>
                <w:b w:val="false"/>
                <w:bCs w:val="false"/>
                <w:sz w:val="20"/>
                <w:szCs w:val="20"/>
              </w:rPr>
              <w:t xml:space="preserve">Computable today</w:t>
            </w:r>
          </w:p>
        </w:tc>
      </w:tr>
      <w:tr>
        <w:tc>
          <w:tcPr>
            <w:tcW w:type="dxa" w:w="7000"/>
            <w:tcMar>
              <w:top w:type="dxa" w:w="80"/>
              <w:left w:type="dxa" w:w="100"/>
              <w:bottom w:type="dxa" w:w="80"/>
              <w:right w:type="dxa" w:w="100"/>
            </w:tcMar>
          </w:tcPr>
          <w:p>
            <w:r>
              <w:rPr>
                <w:b w:val="false"/>
                <w:bCs w:val="false"/>
                <w:sz w:val="20"/>
                <w:szCs w:val="20"/>
              </w:rPr>
              <w:t xml:space="preserve">Independent Verification Rate (% of web-sourced claims re-checked)</w:t>
            </w:r>
          </w:p>
        </w:tc>
        <w:tc>
          <w:tcPr>
            <w:tcW w:type="dxa" w:w="2400"/>
            <w:tcMar>
              <w:top w:type="dxa" w:w="80"/>
              <w:left w:type="dxa" w:w="100"/>
              <w:bottom w:type="dxa" w:w="80"/>
              <w:right w:type="dxa" w:w="100"/>
            </w:tcMar>
          </w:tcPr>
          <w:p>
            <w:r>
              <w:rPr>
                <w:b w:val="false"/>
                <w:bCs w:val="false"/>
                <w:sz w:val="20"/>
                <w:szCs w:val="20"/>
              </w:rPr>
              <w:t xml:space="preserve">Computable today (currently narrow -- see 9.1)</w:t>
            </w:r>
          </w:p>
        </w:tc>
      </w:tr>
      <w:tr>
        <w:tc>
          <w:tcPr>
            <w:tcW w:type="dxa" w:w="7000"/>
            <w:tcMar>
              <w:top w:type="dxa" w:w="80"/>
              <w:left w:type="dxa" w:w="100"/>
              <w:bottom w:type="dxa" w:w="80"/>
              <w:right w:type="dxa" w:w="100"/>
            </w:tcMar>
          </w:tcPr>
          <w:p>
            <w:r>
              <w:rPr>
                <w:b w:val="false"/>
                <w:bCs w:val="false"/>
                <w:sz w:val="20"/>
                <w:szCs w:val="20"/>
              </w:rPr>
              <w:t xml:space="preserve">Cross-Corroboration (key topics backed by &gt;=2 independent-domain sources)</w:t>
            </w:r>
          </w:p>
        </w:tc>
        <w:tc>
          <w:tcPr>
            <w:tcW w:type="dxa" w:w="2400"/>
            <w:tcMar>
              <w:top w:type="dxa" w:w="80"/>
              <w:left w:type="dxa" w:w="100"/>
              <w:bottom w:type="dxa" w:w="80"/>
              <w:right w:type="dxa" w:w="100"/>
            </w:tcMar>
          </w:tcPr>
          <w:p>
            <w:r>
              <w:rPr>
                <w:b w:val="false"/>
                <w:bCs w:val="false"/>
                <w:sz w:val="20"/>
                <w:szCs w:val="20"/>
              </w:rPr>
              <w:t xml:space="preserve">Needs a topic tag added per source</w:t>
            </w:r>
          </w:p>
        </w:tc>
      </w:tr>
      <w:tr>
        <w:tc>
          <w:tcPr>
            <w:tcW w:type="dxa" w:w="7000"/>
            <w:tcMar>
              <w:top w:type="dxa" w:w="80"/>
              <w:left w:type="dxa" w:w="100"/>
              <w:bottom w:type="dxa" w:w="80"/>
              <w:right w:type="dxa" w:w="100"/>
            </w:tcMar>
          </w:tcPr>
          <w:p>
            <w:r>
              <w:rPr>
                <w:b w:val="false"/>
                <w:bCs w:val="false"/>
                <w:sz w:val="20"/>
                <w:szCs w:val="20"/>
              </w:rPr>
              <w:t xml:space="preserve">Recency (% of sources within a defined freshness window)</w:t>
            </w:r>
          </w:p>
        </w:tc>
        <w:tc>
          <w:tcPr>
            <w:tcW w:type="dxa" w:w="2400"/>
            <w:tcMar>
              <w:top w:type="dxa" w:w="80"/>
              <w:left w:type="dxa" w:w="100"/>
              <w:bottom w:type="dxa" w:w="80"/>
              <w:right w:type="dxa" w:w="100"/>
            </w:tcMar>
          </w:tcPr>
          <w:p>
            <w:r>
              <w:rPr>
                <w:b w:val="false"/>
                <w:bCs w:val="false"/>
                <w:sz w:val="20"/>
                <w:szCs w:val="20"/>
              </w:rPr>
              <w:t xml:space="preserve">Needs a structured accessed_date field per source</w:t>
            </w:r>
          </w:p>
        </w:tc>
      </w:tr>
    </w:tbl>
    <w:p>
      <w:pPr>
        <w:spacing w:after="140" w:line="276"/>
      </w:pPr>
      <w:r>
        <w:t xml:space="preserve">A weighted composite of these six would produce a single 0-100 score with a plain-language band (e.g. 80-100 High, 50-79 Moderate, below 50 Limited), intended for a new front-of-document "At a Glance" page alongside a short, source-traceable list of the most material findings -- distinct from the full tier-count audit page that already exists at the end of the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160" w:before="360"/>
    </w:pPr>
    <w:rPr>
      <w:rFonts w:ascii="Calibri" w:cs="Calibri" w:eastAsia="Calibri" w:hAnsi="Calibri"/>
      <w:b/>
      <w:bCs/>
      <w:color w:val="1F4E78"/>
      <w:sz w:val="30"/>
      <w:szCs w:val="30"/>
    </w:rPr>
  </w:style>
  <w:style w:type="paragraph" w:styleId="Heading2">
    <w:name w:val="Heading 2"/>
    <w:basedOn w:val="Normal"/>
    <w:next w:val="Normal"/>
    <w:qFormat/>
    <w:pPr>
      <w:spacing w:after="120" w:before="260"/>
    </w:pPr>
    <w:rPr>
      <w:rFonts w:ascii="Calibri" w:cs="Calibri" w:eastAsia="Calibri" w:hAnsi="Calibri"/>
      <w:b/>
      <w:bCs/>
      <w:color w:val="1F4E78"/>
      <w:sz w:val="25"/>
      <w:szCs w:val="25"/>
    </w:rPr>
  </w:style>
  <w:style w:type="paragraph" w:styleId="Heading3">
    <w:name w:val="Heading 3"/>
    <w:basedOn w:val="Normal"/>
    <w:next w:val="Normal"/>
    <w:qFormat/>
    <w:pPr>
      <w:spacing w:after="100" w:before="200"/>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2026-07-20T06:37:45.523Z</dcterms:created>
  <dcterms:modified xsi:type="dcterms:W3CDTF">2026-07-20T06:37:45.524Z</dcterms:modified>
</cp:coreProperties>
</file>

<file path=docProps/custom.xml><?xml version="1.0" encoding="utf-8"?>
<Properties xmlns="http://schemas.openxmlformats.org/officeDocument/2006/custom-properties" xmlns:vt="http://schemas.openxmlformats.org/officeDocument/2006/docPropsVTypes"/>
</file>