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SWIPT-NOMA Optimization using Reinforcement Learning</w:t>
      </w:r>
    </w:p>
    <w:p>
      <w:r>
        <w:t>This project implements Reinforcement Learning (RL) agents to optimize the Pairwise Error Probability (PEP) in a Cooperative Non-Orthogonal Multiple Access (NOMA) system with Simultaneous Wireless Information and Power Transfer (SWIPT).</w:t>
      </w:r>
    </w:p>
    <w:p>
      <w:r>
        <w:t>By intelligently controlling the Continuous Power Splitting ratio (ρ), the RL agents minimize the PEP for both near and far users simultaneously, significantly outperforming fixed-ratio baselines.</w:t>
      </w:r>
    </w:p>
    <w:p>
      <w:pPr>
        <w:pStyle w:val="Heading1"/>
      </w:pPr>
      <w:r>
        <w:t>Algorithm Details</w:t>
      </w:r>
    </w:p>
    <w:p>
      <w:pPr>
        <w:pStyle w:val="Heading2"/>
      </w:pPr>
      <w:r>
        <w:t>1. Q-Learning (Tabular Contextual Bandit)</w:t>
      </w:r>
    </w:p>
    <w:p>
      <w:r>
        <w:t>- Formulation: Single-step MDP (γ = 0) where the agent learns the expected immediate Pareto-reward for choosing a discretized ρ.</w:t>
      </w:r>
    </w:p>
    <w:p>
      <w:r>
        <w:t>- State Space: Binned representations of SNR, SNR distances (δ), noise variance (σ_n²), and energy efficiency (η).</w:t>
      </w:r>
    </w:p>
    <w:p>
      <w:r>
        <w:t>- Action Space: 19 discrete actions mapping to ρ in [0.05, 0.95].</w:t>
      </w:r>
    </w:p>
    <w:p>
      <w:pPr>
        <w:pStyle w:val="Heading2"/>
      </w:pPr>
      <w:r>
        <w:t>2. DDPG - Deep Deterministic Policy Gradient</w:t>
      </w:r>
    </w:p>
    <w:p>
      <w:r>
        <w:t>- Formulation: Actor-Critic continuous control method acting as a contextual bandit (γ = 0).</w:t>
      </w:r>
    </w:p>
    <w:p>
      <w:r>
        <w:t>- State Space: Continuous 5-dimensional vector: [SNR_dB / 40.0, delta_1, delta_2, sigma_n2, eta].</w:t>
      </w:r>
    </w:p>
    <w:p>
      <w:r>
        <w:t>- Action Space: Continuous ρ in (0, 1) output via a Sigmoid activation (scaled to [0.05, 0.95]).</w:t>
      </w:r>
    </w:p>
    <w:p>
      <w:r>
        <w:t>- Networks: 2-layer MLPs (128 -&gt; 64 hidden units).</w:t>
      </w:r>
    </w:p>
    <w:p>
      <w:r>
        <w:t>- Exploration: Ornstein-Uhlenbeck (OU) Noise injected into the continuous action space.</w:t>
      </w:r>
    </w:p>
    <w:p>
      <w:pPr>
        <w:pStyle w:val="Heading2"/>
      </w:pPr>
      <w:r>
        <w:t>Reward Function (Pareto Hypervolume)</w:t>
      </w:r>
    </w:p>
    <w:p>
      <w:r>
        <w:t>Both agents use a custom, unified reward function designed for Multi-Objective Optimization to balance the near-user and far-user PEPs:</w:t>
      </w:r>
    </w:p>
    <w:p>
      <w:pPr>
        <w:pStyle w:val="ListBullet"/>
      </w:pPr>
      <w:r>
        <w:t>- Computes a state-specific Pareto Front of PEPs.</w:t>
      </w:r>
    </w:p>
    <w:p>
      <w:pPr>
        <w:pStyle w:val="ListBullet"/>
      </w:pPr>
      <w:r>
        <w:t>- Grants higher rewards for maximizing the Hypervolume (pushing PEPs closer to zero).</w:t>
      </w:r>
    </w:p>
    <w:p>
      <w:pPr>
        <w:pStyle w:val="ListBullet"/>
      </w:pPr>
      <w:r>
        <w:t>- Penalizes actions that are strictly dominated by other ρ choices.</w:t>
      </w:r>
    </w:p>
    <w:p>
      <w:pPr>
        <w:pStyle w:val="ListBullet"/>
      </w:pPr>
      <w:r>
        <w:t>- Grants a boolean +0.5 bonus if the chosen ρ lands exactly on the Pareto Frontier.</w:t>
      </w:r>
    </w:p>
    <w:p>
      <w:pPr>
        <w:pStyle w:val="Heading1"/>
      </w:pPr>
      <w:r>
        <w:t>System Variables &amp; Context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Base Value</w:t>
            </w:r>
          </w:p>
        </w:tc>
        <w:tc>
          <w:tcPr>
            <w:tcW w:type="dxa" w:w="2160"/>
          </w:tcPr>
          <w:p>
            <w:r>
              <w:t>Grid / Range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Total number of relays available.</w:t>
            </w:r>
          </w:p>
        </w:tc>
      </w:tr>
      <w:tr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Total number of users receiving the superposition coded signal.</w:t>
            </w:r>
          </w:p>
        </w:tc>
      </w:tr>
      <w:tr>
        <w:tc>
          <w:tcPr>
            <w:tcW w:type="dxa" w:w="2160"/>
          </w:tcPr>
          <w:p>
            <w:r>
              <w:t>K_ORDER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Target index for the partially selected relay.</w:t>
            </w:r>
          </w:p>
        </w:tc>
      </w:tr>
      <w:tr>
        <w:tc>
          <w:tcPr>
            <w:tcW w:type="dxa" w:w="2160"/>
          </w:tcPr>
          <w:p>
            <w:r>
              <w:t>USER_ORDERS</w:t>
            </w:r>
          </w:p>
        </w:tc>
        <w:tc>
          <w:tcPr>
            <w:tcW w:type="dxa" w:w="2160"/>
          </w:tcPr>
          <w:p>
            <w:r>
              <w:t>(1, 2)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Indices representing the near (1) and far (2) users.</w:t>
            </w:r>
          </w:p>
        </w:tc>
      </w:tr>
      <w:tr>
        <w:tc>
          <w:tcPr>
            <w:tcW w:type="dxa" w:w="2160"/>
          </w:tcPr>
          <w:p>
            <w:r>
              <w:t>LAMBDA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Path loss / structural environmental scale factor.</w:t>
            </w:r>
          </w:p>
        </w:tc>
      </w:tr>
      <w:tr>
        <w:tc>
          <w:tcPr>
            <w:tcW w:type="dxa" w:w="2160"/>
          </w:tcPr>
          <w:p>
            <w:r>
              <w:t>BASELINE_RHO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The constant, unoptimized power-splitting ratio baseline.</w:t>
            </w:r>
          </w:p>
        </w:tc>
      </w:tr>
      <w:tr>
        <w:tc>
          <w:tcPr>
            <w:tcW w:type="dxa" w:w="2160"/>
          </w:tcPr>
          <w:p>
            <w:r>
              <w:t>SNR_DB</w:t>
            </w:r>
          </w:p>
        </w:tc>
        <w:tc>
          <w:tcPr>
            <w:tcW w:type="dxa" w:w="2160"/>
          </w:tcPr>
          <w:p>
            <w:r>
              <w:t>20.0 dB</w:t>
            </w:r>
          </w:p>
        </w:tc>
        <w:tc>
          <w:tcPr>
            <w:tcW w:type="dxa" w:w="2160"/>
          </w:tcPr>
          <w:p>
            <w:r>
              <w:t>[0.0, 40.0]</w:t>
            </w:r>
          </w:p>
        </w:tc>
        <w:tc>
          <w:tcPr>
            <w:tcW w:type="dxa" w:w="2160"/>
          </w:tcPr>
          <w:p>
            <w:r>
              <w:t>Signal-to-Noise Ratio at the source transmitter.</w:t>
            </w:r>
          </w:p>
        </w:tc>
      </w:tr>
      <w:tr>
        <w:tc>
          <w:tcPr>
            <w:tcW w:type="dxa" w:w="2160"/>
          </w:tcPr>
          <w:p>
            <w:r>
              <w:t>DELTA (δ)</w:t>
            </w:r>
          </w:p>
        </w:tc>
        <w:tc>
          <w:tcPr>
            <w:tcW w:type="dxa" w:w="2160"/>
          </w:tcPr>
          <w:p>
            <w:r>
              <w:t>[0.05, 0.10]</w:t>
            </w:r>
          </w:p>
        </w:tc>
        <w:tc>
          <w:tcPr>
            <w:tcW w:type="dxa" w:w="2160"/>
          </w:tcPr>
          <w:p>
            <w:r>
              <w:t>[0.0, 1.0]</w:t>
            </w:r>
          </w:p>
        </w:tc>
        <w:tc>
          <w:tcPr>
            <w:tcW w:type="dxa" w:w="2160"/>
          </w:tcPr>
          <w:p>
            <w:r>
              <w:t>The distances/channel variances for the near and far users.</w:t>
            </w:r>
          </w:p>
        </w:tc>
      </w:tr>
      <w:tr>
        <w:tc>
          <w:tcPr>
            <w:tcW w:type="dxa" w:w="2160"/>
          </w:tcPr>
          <w:p>
            <w:r>
              <w:t>SIGMA_N2 (σ_n²)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[0.5, 1.0]</w:t>
            </w:r>
          </w:p>
        </w:tc>
        <w:tc>
          <w:tcPr>
            <w:tcW w:type="dxa" w:w="2160"/>
          </w:tcPr>
          <w:p>
            <w:r>
              <w:t>Additive White Gaussian Noise (AWGN) variance.</w:t>
            </w:r>
          </w:p>
        </w:tc>
      </w:tr>
      <w:tr>
        <w:tc>
          <w:tcPr>
            <w:tcW w:type="dxa" w:w="2160"/>
          </w:tcPr>
          <w:p>
            <w:r>
              <w:t>ETA (η)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[0.6, 1.0]</w:t>
            </w:r>
          </w:p>
        </w:tc>
        <w:tc>
          <w:tcPr>
            <w:tcW w:type="dxa" w:w="2160"/>
          </w:tcPr>
          <w:p>
            <w:r>
              <w:t>Energy conversion efficiency of the SWIPT relay harvesters.</w:t>
            </w:r>
          </w:p>
        </w:tc>
      </w:tr>
    </w:tbl>
    <w:p>
      <w:pPr>
        <w:pStyle w:val="Heading1"/>
      </w:pPr>
      <w:r>
        <w:t>Results and Evaluation</w:t>
      </w:r>
    </w:p>
    <w:p>
      <w:r>
        <w:t>You can view the specific learning curves and policy behavior against baselines in the plots/ directory:</w:t>
      </w:r>
    </w:p>
    <w:p>
      <w:r>
        <w:t>plots/q_learning_training_progress.png: Q-Table convergence over 10,000 episodes</w:t>
      </w:r>
    </w:p>
    <w:p>
      <w:r>
        <w:drawing>
          <wp:inline xmlns:a="http://schemas.openxmlformats.org/drawingml/2006/main" xmlns:pic="http://schemas.openxmlformats.org/drawingml/2006/picture">
            <wp:extent cx="5486400" cy="3501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learning_training_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plots/ddpg_training_progress.png: Actor/Critic convergence and OU-Noise exploration curves.</w:t>
      </w:r>
    </w:p>
    <w:p>
      <w:r>
        <w:drawing>
          <wp:inline xmlns:a="http://schemas.openxmlformats.org/drawingml/2006/main" xmlns:pic="http://schemas.openxmlformats.org/drawingml/2006/picture">
            <wp:extent cx="5486400" cy="3501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pg_training_prog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plots/q_learning_policy_evaluation.png / plots/ddpg_pep_vs_snr.png: Sweeps demonstrating the massive, orders-of-magnitude PEP reduction RL achieves over a fixed 0.5 rho at high SNRs.</w:t>
      </w:r>
    </w:p>
    <w:p>
      <w:r>
        <w:drawing>
          <wp:inline xmlns:a="http://schemas.openxmlformats.org/drawingml/2006/main" xmlns:pic="http://schemas.openxmlformats.org/drawingml/2006/picture">
            <wp:extent cx="5486400" cy="2125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learning_policy_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69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pg_pep_vs_sn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plots/pep_vs_rho_fixed_state.png: Visualizes why optimization is hard—showing the conflicting "bathtub" curves of the near and far user PEPs across the ρ axis.</w:t>
      </w:r>
    </w:p>
    <w:p>
      <w:r>
        <w:drawing>
          <wp:inline xmlns:a="http://schemas.openxmlformats.org/drawingml/2006/main" xmlns:pic="http://schemas.openxmlformats.org/drawingml/2006/picture">
            <wp:extent cx="5486400" cy="1697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p_vs_rho_fixed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74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