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IP-SAKTI Sahayak</w:t>
      </w:r>
    </w:p>
    <w:p>
      <w:pPr>
        <w:jc w:val="center"/>
      </w:pPr>
      <w:r>
        <w:rPr>
          <w:b/>
          <w:sz w:val="32"/>
        </w:rPr>
        <w:t>SIH 2026 PPT — Weaknesses, Judge Loopholes &amp; Solutions</w:t>
      </w:r>
    </w:p>
    <w:p>
      <w:pPr>
        <w:jc w:val="center"/>
      </w:pPr>
      <w:r>
        <w:rPr>
          <w:i/>
          <w:sz w:val="20"/>
        </w:rPr>
        <w:t>Team: TechTonic | Problem Statement: SIH26045</w:t>
      </w:r>
    </w:p>
    <w:p>
      <w:r>
        <w:t>Purpose: This document audits the current 6-page presentation and turns each major weakness into a concrete remediation plan. It is based on the content and visuals of the submitted deck; recommended fixes below are proposals, not claims that the current prototype already implements them.</w:t>
      </w:r>
    </w:p>
    <w:p>
      <w:pPr>
        <w:pStyle w:val="Heading1"/>
      </w:pPr>
      <w:r>
        <w:t>1. Executive Assessment</w:t>
      </w:r>
    </w:p>
    <w:tbl>
      <w:tblPr>
        <w:tblStyle w:val="TableGrid"/>
        <w:tblW w:type="auto" w:w="0"/>
        <w:jc w:val="center"/>
        <w:tblLook w:firstColumn="1" w:firstRow="1" w:lastColumn="0" w:lastRow="0" w:noHBand="0" w:noVBand="1" w:val="04A0"/>
      </w:tblPr>
      <w:tblGrid>
        <w:gridCol w:w="5184"/>
        <w:gridCol w:w="5184"/>
      </w:tblGrid>
      <w:tr>
        <w:tc>
          <w:tcPr>
            <w:tcW w:type="dxa" w:w="5184"/>
          </w:tcPr>
          <w:p>
            <w:r>
              <w:t>Overall concept</w:t>
            </w:r>
          </w:p>
        </w:tc>
        <w:tc>
          <w:tcPr>
            <w:tcW w:type="dxa" w:w="5184"/>
          </w:tcPr>
          <w:p>
            <w:r>
              <w:t>Strong — clear alignment with an Ayurveda IP/regulatory use case.</w:t>
            </w:r>
          </w:p>
        </w:tc>
      </w:tr>
      <w:tr>
        <w:tc>
          <w:tcPr>
            <w:tcW w:type="dxa" w:w="5184"/>
          </w:tcPr>
          <w:p>
            <w:r>
              <w:t>Current PPT</w:t>
            </w:r>
          </w:p>
        </w:tc>
        <w:tc>
          <w:tcPr>
            <w:tcW w:type="dxa" w:w="5184"/>
          </w:tcPr>
          <w:p>
            <w:r>
              <w:t>Needs revision — it is feature-heavy but evidence-light.</w:t>
            </w:r>
          </w:p>
        </w:tc>
      </w:tr>
      <w:tr>
        <w:tc>
          <w:tcPr>
            <w:tcW w:type="dxa" w:w="5184"/>
          </w:tcPr>
          <w:p>
            <w:r>
              <w:t>Biggest risk</w:t>
            </w:r>
          </w:p>
        </w:tc>
        <w:tc>
          <w:tcPr>
            <w:tcW w:type="dxa" w:w="5184"/>
          </w:tcPr>
          <w:p>
            <w:r>
              <w:t>Judges can challenge whether the claimed capabilities are actually implemented and evaluated.</w:t>
            </w:r>
          </w:p>
        </w:tc>
      </w:tr>
      <w:tr>
        <w:tc>
          <w:tcPr>
            <w:tcW w:type="dxa" w:w="5184"/>
          </w:tcPr>
          <w:p>
            <w:r>
              <w:t>Strongest differentiator</w:t>
            </w:r>
          </w:p>
        </w:tc>
        <w:tc>
          <w:tcPr>
            <w:tcW w:type="dxa" w:w="5184"/>
          </w:tcPr>
          <w:p>
            <w:r>
              <w:t>Evidence-grounded workflow: retrieval + provenance + confidence gate + abstention.</w:t>
            </w:r>
          </w:p>
        </w:tc>
      </w:tr>
      <w:tr>
        <w:tc>
          <w:tcPr>
            <w:tcW w:type="dxa" w:w="5184"/>
          </w:tcPr>
          <w:p>
            <w:r>
              <w:t>Primary fix</w:t>
            </w:r>
          </w:p>
        </w:tc>
        <w:tc>
          <w:tcPr>
            <w:tcW w:type="dxa" w:w="5184"/>
          </w:tcPr>
          <w:p>
            <w:r>
              <w:t>Demonstrate the product with a real query, real retrieved sources, real output, and measurable evaluation.</w:t>
            </w:r>
          </w:p>
        </w:tc>
      </w:tr>
    </w:tbl>
    <w:p>
      <w:pPr>
        <w:pStyle w:val="Heading1"/>
      </w:pPr>
      <w:r>
        <w:t>2. Major Loopholes and Recommended Solutions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Weakness</w:t>
            </w:r>
          </w:p>
        </w:tc>
        <w:tc>
          <w:tcPr>
            <w:tcW w:type="dxa" w:w="2592"/>
          </w:tcPr>
          <w:p>
            <w:r>
              <w:t>Why a judge can attack it</w:t>
            </w:r>
          </w:p>
        </w:tc>
        <w:tc>
          <w:tcPr>
            <w:tcW w:type="dxa" w:w="2592"/>
          </w:tcPr>
          <w:p>
            <w:r>
              <w:t>Recommended solution</w:t>
            </w:r>
          </w:p>
        </w:tc>
        <w:tc>
          <w:tcPr>
            <w:tcW w:type="dxa" w:w="2592"/>
          </w:tcPr>
          <w:p>
            <w:r>
              <w:t>Priority</w:t>
            </w:r>
          </w:p>
        </w:tc>
      </w:tr>
      <w:tr>
        <w:tc>
          <w:tcPr>
            <w:tcW w:type="dxa" w:w="2592"/>
            <w:vAlign w:val="top"/>
          </w:tcPr>
          <w:p>
            <w:r>
              <w:t>1. Problem is stated, but not demonstrated</w:t>
            </w:r>
          </w:p>
        </w:tc>
        <w:tc>
          <w:tcPr>
            <w:tcW w:type="dxa" w:w="2592"/>
            <w:vAlign w:val="top"/>
          </w:tcPr>
          <w:p>
            <w:r>
              <w:t>The deck says information is fragmented across IP laws, Ayurveda regulations, traditional knowledge and biological-resource rules, but does not show a concrete example of the fragmentation.</w:t>
            </w:r>
          </w:p>
        </w:tc>
        <w:tc>
          <w:tcPr>
            <w:tcW w:type="dxa" w:w="2592"/>
            <w:vAlign w:val="top"/>
          </w:tcPr>
          <w:p>
            <w:r>
              <w:t>Add one real scenario: a user asks whether an Ayurvedic formulation can be protected and whether biodiversity/ABS obligations may apply. Show the different sources the user would otherwise have to consult.</w:t>
            </w:r>
          </w:p>
        </w:tc>
        <w:tc>
          <w:tcPr>
            <w:tcW w:type="dxa" w:w="2592"/>
            <w:vAlign w:val="top"/>
          </w:tcPr>
          <w:p>
            <w:r>
              <w:t>High</w:t>
            </w:r>
          </w:p>
        </w:tc>
      </w:tr>
      <w:tr>
        <w:tc>
          <w:tcPr>
            <w:tcW w:type="dxa" w:w="2592"/>
            <w:vAlign w:val="top"/>
          </w:tcPr>
          <w:p>
            <w:r>
              <w:t>2. Target user is too broad</w:t>
            </w:r>
          </w:p>
        </w:tc>
        <w:tc>
          <w:tcPr>
            <w:tcW w:type="dxa" w:w="2592"/>
            <w:vAlign w:val="top"/>
          </w:tcPr>
          <w:p>
            <w:r>
              <w:t>The deck names startups, MSMEs, researchers, practitioners and IP facilitators. A judge can ask who the primary user actually is.</w:t>
            </w:r>
          </w:p>
        </w:tc>
        <w:tc>
          <w:tcPr>
            <w:tcW w:type="dxa" w:w="2592"/>
            <w:vAlign w:val="top"/>
          </w:tcPr>
          <w:p>
            <w:r>
              <w:t>Choose one primary persona for the MVP (for example, an Ayurveda innovator/SME) and define secondary users separately. Explain why the workflow is designed around the primary persona.</w:t>
            </w:r>
          </w:p>
        </w:tc>
        <w:tc>
          <w:tcPr>
            <w:tcW w:type="dxa" w:w="2592"/>
            <w:vAlign w:val="top"/>
          </w:tcPr>
          <w:p>
            <w:r>
              <w:t>High</w:t>
            </w:r>
          </w:p>
        </w:tc>
      </w:tr>
      <w:tr>
        <w:tc>
          <w:tcPr>
            <w:tcW w:type="dxa" w:w="2592"/>
            <w:vAlign w:val="top"/>
          </w:tcPr>
          <w:p>
            <w:r>
              <w:t>3. International-regime claim is vulnerable</w:t>
            </w:r>
          </w:p>
        </w:tc>
        <w:tc>
          <w:tcPr>
            <w:tcW w:type="dxa" w:w="2592"/>
            <w:vAlign w:val="top"/>
          </w:tcPr>
          <w:p>
            <w:r>
              <w:t>The SIH problem statement explicitly refers to national and international regimes, while the PPT says the MVP is India-first and describes international support as future expansion.</w:t>
            </w:r>
          </w:p>
        </w:tc>
        <w:tc>
          <w:tcPr>
            <w:tcW w:type="dxa" w:w="2592"/>
            <w:vAlign w:val="top"/>
          </w:tcPr>
          <w:p>
            <w:r>
              <w:t>Be precise about current scope. State exactly which jurisdictions are implemented today. If only India is implemented, label international coverage as the next extensible layer rather than implying full current coverage.</w:t>
            </w:r>
          </w:p>
        </w:tc>
        <w:tc>
          <w:tcPr>
            <w:tcW w:type="dxa" w:w="2592"/>
            <w:vAlign w:val="top"/>
          </w:tcPr>
          <w:p>
            <w:r>
              <w:t>Critical</w:t>
            </w:r>
          </w:p>
        </w:tc>
      </w:tr>
      <w:tr>
        <w:tc>
          <w:tcPr>
            <w:tcW w:type="dxa" w:w="2592"/>
            <w:vAlign w:val="top"/>
          </w:tcPr>
          <w:p>
            <w:r>
              <w:t>4. RAG corpus is not quantified</w:t>
            </w:r>
          </w:p>
        </w:tc>
        <w:tc>
          <w:tcPr>
            <w:tcW w:type="dxa" w:w="2592"/>
            <w:vAlign w:val="top"/>
          </w:tcPr>
          <w:p>
            <w:r>
              <w:t>The architecture lists India Code, IP India, TKDL excerpts, NBA/ABS guidance and AYUSH material, but gives no corpus size, document count, date range, update process, or inclusion criteria.</w:t>
            </w:r>
          </w:p>
        </w:tc>
        <w:tc>
          <w:tcPr>
            <w:tcW w:type="dxa" w:w="2592"/>
            <w:vAlign w:val="top"/>
          </w:tcPr>
          <w:p>
            <w:r>
              <w:t>Add a corpus snapshot: number of documents, source categories, document dates/versioning, chunking approach, metadata fields, and update workflow. A small table is better than a vague source list.</w:t>
            </w:r>
          </w:p>
        </w:tc>
        <w:tc>
          <w:tcPr>
            <w:tcW w:type="dxa" w:w="2592"/>
            <w:vAlign w:val="top"/>
          </w:tcPr>
          <w:p>
            <w:r>
              <w:t>Critical</w:t>
            </w:r>
          </w:p>
        </w:tc>
      </w:tr>
      <w:tr>
        <w:tc>
          <w:tcPr>
            <w:tcW w:type="dxa" w:w="2592"/>
            <w:vAlign w:val="top"/>
          </w:tcPr>
          <w:p>
            <w:r>
              <w:t>5. TKDL access may be challenged</w:t>
            </w:r>
          </w:p>
        </w:tc>
        <w:tc>
          <w:tcPr>
            <w:tcW w:type="dxa" w:w="2592"/>
            <w:vAlign w:val="top"/>
          </w:tcPr>
          <w:p>
            <w:r>
              <w:t>The deck lists TKDL references, but the team's knowledge sheet acknowledges that full institutional TKDL access is restricted and the MVP relies on publicly available excerpts/AYUSH-published material.</w:t>
            </w:r>
          </w:p>
        </w:tc>
        <w:tc>
          <w:tcPr>
            <w:tcW w:type="dxa" w:w="2592"/>
            <w:vAlign w:val="top"/>
          </w:tcPr>
          <w:p>
            <w:r>
              <w:t>Do not imply unrestricted TKDL access. State clearly what material is legally/publicly available to the MVP and what would require institutional access in production.</w:t>
            </w:r>
          </w:p>
        </w:tc>
        <w:tc>
          <w:tcPr>
            <w:tcW w:type="dxa" w:w="2592"/>
            <w:vAlign w:val="top"/>
          </w:tcPr>
          <w:p>
            <w:r>
              <w:t>Critical</w:t>
            </w:r>
          </w:p>
        </w:tc>
      </w:tr>
      <w:tr>
        <w:tc>
          <w:tcPr>
            <w:tcW w:type="dxa" w:w="2592"/>
            <w:vAlign w:val="top"/>
          </w:tcPr>
          <w:p>
            <w:r>
              <w:t>6. 0.65 confidence threshold lacks empirical proof</w:t>
            </w:r>
          </w:p>
        </w:tc>
        <w:tc>
          <w:tcPr>
            <w:tcW w:type="dxa" w:w="2592"/>
            <w:vAlign w:val="top"/>
          </w:tcPr>
          <w:p>
            <w:r>
              <w:t>The deck shows a confidence threshold of 0.65, but does not show how it was selected or calibrated.</w:t>
            </w:r>
          </w:p>
        </w:tc>
        <w:tc>
          <w:tcPr>
            <w:tcW w:type="dxa" w:w="2592"/>
            <w:vAlign w:val="top"/>
          </w:tcPr>
          <w:p>
            <w:r>
              <w:t>Present 0.65 as an initial tunable MVP threshold. Then define an evaluation set and show how different thresholds affect retrieval relevance, abstention rate and answer correctness.</w:t>
            </w:r>
          </w:p>
        </w:tc>
        <w:tc>
          <w:tcPr>
            <w:tcW w:type="dxa" w:w="2592"/>
            <w:vAlign w:val="top"/>
          </w:tcPr>
          <w:p>
            <w:r>
              <w:t>Critical</w:t>
            </w:r>
          </w:p>
        </w:tc>
      </w:tr>
      <w:tr>
        <w:tc>
          <w:tcPr>
            <w:tcW w:type="dxa" w:w="2592"/>
            <w:vAlign w:val="top"/>
          </w:tcPr>
          <w:p>
            <w:r>
              <w:t>7. 'VERIFY' is underspecified</w:t>
            </w:r>
          </w:p>
        </w:tc>
        <w:tc>
          <w:tcPr>
            <w:tcW w:type="dxa" w:w="2592"/>
            <w:vAlign w:val="top"/>
          </w:tcPr>
          <w:p>
            <w:r>
              <w:t>The flow says ASK → UNDERSTAND → RETRIEVE → VERIFY → ANSWER + SOURCE, but the technical meaning of VERIFY is not explicit.</w:t>
            </w:r>
          </w:p>
        </w:tc>
        <w:tc>
          <w:tcPr>
            <w:tcW w:type="dxa" w:w="2592"/>
            <w:vAlign w:val="top"/>
          </w:tcPr>
          <w:p>
            <w:r>
              <w:t>Define verification operationally: e.g. evidence relevance check, source metadata validation, citation-support check, contradiction detection, or another concrete rule. Put the mechanism on the architecture slide.</w:t>
            </w:r>
          </w:p>
        </w:tc>
        <w:tc>
          <w:tcPr>
            <w:tcW w:type="dxa" w:w="2592"/>
            <w:vAlign w:val="top"/>
          </w:tcPr>
          <w:p>
            <w:r>
              <w:t>High</w:t>
            </w:r>
          </w:p>
        </w:tc>
      </w:tr>
      <w:tr>
        <w:tc>
          <w:tcPr>
            <w:tcW w:type="dxa" w:w="2592"/>
            <w:vAlign w:val="top"/>
          </w:tcPr>
          <w:p>
            <w:r>
              <w:t>8. Hallucination claim is too absolute</w:t>
            </w:r>
          </w:p>
        </w:tc>
        <w:tc>
          <w:tcPr>
            <w:tcW w:type="dxa" w:w="2592"/>
            <w:vAlign w:val="top"/>
          </w:tcPr>
          <w:p>
            <w:r>
              <w:t>The deck contrasts generic AI with your pipeline and implies the system avoids unsupported answers, but RAG does not guarantee zero hallucination.</w:t>
            </w:r>
          </w:p>
        </w:tc>
        <w:tc>
          <w:tcPr>
            <w:tcW w:type="dxa" w:w="2592"/>
            <w:vAlign w:val="top"/>
          </w:tcPr>
          <w:p>
            <w:r>
              <w:t>Use defensible language: 'reduces unsupported generation by grounding responses in retrieved evidence and abstaining below a confidence threshold.' Add evaluation evidence instead of making an absolute guarantee.</w:t>
            </w:r>
          </w:p>
        </w:tc>
        <w:tc>
          <w:tcPr>
            <w:tcW w:type="dxa" w:w="2592"/>
            <w:vAlign w:val="top"/>
          </w:tcPr>
          <w:p>
            <w:r>
              <w:t>High</w:t>
            </w:r>
          </w:p>
        </w:tc>
      </w:tr>
      <w:tr>
        <w:tc>
          <w:tcPr>
            <w:tcW w:type="dxa" w:w="2592"/>
            <w:vAlign w:val="top"/>
          </w:tcPr>
          <w:p>
            <w:r>
              <w:t>9. Legal-advice boundary is missing</w:t>
            </w:r>
          </w:p>
        </w:tc>
        <w:tc>
          <w:tcPr>
            <w:tcW w:type="dxa" w:w="2592"/>
            <w:vAlign w:val="top"/>
          </w:tcPr>
          <w:p>
            <w:r>
              <w:t>The product is described as providing IP and regulatory guidance, but the deck does not show how it prevents users from treating the output as formal legal advice.</w:t>
            </w:r>
          </w:p>
        </w:tc>
        <w:tc>
          <w:tcPr>
            <w:tcW w:type="dxa" w:w="2592"/>
            <w:vAlign w:val="top"/>
          </w:tcPr>
          <w:p>
            <w:r>
              <w:t>Add a visible product disclaimer and workflow boundary: preliminary research/guidance, source-backed, not a substitute for qualified legal/regulatory counsel. Show escalation to a professional where appropriate.</w:t>
            </w:r>
          </w:p>
        </w:tc>
        <w:tc>
          <w:tcPr>
            <w:tcW w:type="dxa" w:w="2592"/>
            <w:vAlign w:val="top"/>
          </w:tcPr>
          <w:p>
            <w:r>
              <w:t>High</w:t>
            </w:r>
          </w:p>
        </w:tc>
      </w:tr>
      <w:tr>
        <w:tc>
          <w:tcPr>
            <w:tcW w:type="dxa" w:w="2592"/>
            <w:vAlign w:val="top"/>
          </w:tcPr>
          <w:p>
            <w:r>
              <w:t>10. No evaluation results</w:t>
            </w:r>
          </w:p>
        </w:tc>
        <w:tc>
          <w:tcPr>
            <w:tcW w:type="dxa" w:w="2592"/>
            <w:vAlign w:val="top"/>
          </w:tcPr>
          <w:p>
            <w:r>
              <w:t>The deck makes several reliability claims but does not show accuracy, citation correctness, retrieval quality, abstention performance, latency, or user-study evidence.</w:t>
            </w:r>
          </w:p>
        </w:tc>
        <w:tc>
          <w:tcPr>
            <w:tcW w:type="dxa" w:w="2592"/>
            <w:vAlign w:val="top"/>
          </w:tcPr>
          <w:p>
            <w:r>
              <w:t>Add an MVP evaluation slide or section with a labelled test set. Recommended metrics: retrieval relevance/recall, answer correctness, citation support rate, abstention precision/coverage, and response latency.</w:t>
            </w:r>
          </w:p>
        </w:tc>
        <w:tc>
          <w:tcPr>
            <w:tcW w:type="dxa" w:w="2592"/>
            <w:vAlign w:val="top"/>
          </w:tcPr>
          <w:p>
            <w:r>
              <w:t>Critical</w:t>
            </w:r>
          </w:p>
        </w:tc>
      </w:tr>
      <w:tr>
        <w:tc>
          <w:tcPr>
            <w:tcW w:type="dxa" w:w="2592"/>
            <w:vAlign w:val="top"/>
          </w:tcPr>
          <w:p>
            <w:r>
              <w:t>11. Multilingual capability is asserted but not demonstrated</w:t>
            </w:r>
          </w:p>
        </w:tc>
        <w:tc>
          <w:tcPr>
            <w:tcW w:type="dxa" w:w="2592"/>
            <w:vAlign w:val="top"/>
          </w:tcPr>
          <w:p>
            <w:r>
              <w:t>The PPT calls the system multilingual but contains no Hindi example, multilingual retrieval result, or output screenshot.</w:t>
            </w:r>
          </w:p>
        </w:tc>
        <w:tc>
          <w:tcPr>
            <w:tcW w:type="dxa" w:w="2592"/>
            <w:vAlign w:val="top"/>
          </w:tcPr>
          <w:p>
            <w:r>
              <w:t>Show one Hindi query and one English query for the same intent, then demonstrate that both reach the same relevant evidence and produce source-cited answers.</w:t>
            </w:r>
          </w:p>
        </w:tc>
        <w:tc>
          <w:tcPr>
            <w:tcW w:type="dxa" w:w="2592"/>
            <w:vAlign w:val="top"/>
          </w:tcPr>
          <w:p>
            <w:r>
              <w:t>High</w:t>
            </w:r>
          </w:p>
        </w:tc>
      </w:tr>
      <w:tr>
        <w:tc>
          <w:tcPr>
            <w:tcW w:type="dxa" w:w="2592"/>
            <w:vAlign w:val="top"/>
          </w:tcPr>
          <w:p>
            <w:r>
              <w:t>12. ABS-aware sounds like a label, not a mechanism</w:t>
            </w:r>
          </w:p>
        </w:tc>
        <w:tc>
          <w:tcPr>
            <w:tcW w:type="dxa" w:w="2592"/>
            <w:vAlign w:val="top"/>
          </w:tcPr>
          <w:p>
            <w:r>
              <w:t>The feature list says 'ABS-aware', but the slide does not explain how the system detects or flags possible ABS relevance.</w:t>
            </w:r>
          </w:p>
        </w:tc>
        <w:tc>
          <w:tcPr>
            <w:tcW w:type="dxa" w:w="2592"/>
            <w:vAlign w:val="top"/>
          </w:tcPr>
          <w:p>
            <w:r>
              <w:t>Show the rule/classification logic: what signals trigger an ABS flag, what sources are consulted, what the user sees, and how uncertainty is communicated.</w:t>
            </w:r>
          </w:p>
        </w:tc>
        <w:tc>
          <w:tcPr>
            <w:tcW w:type="dxa" w:w="2592"/>
            <w:vAlign w:val="top"/>
          </w:tcPr>
          <w:p>
            <w:r>
              <w:t>High</w:t>
            </w:r>
          </w:p>
        </w:tc>
      </w:tr>
      <w:tr>
        <w:tc>
          <w:tcPr>
            <w:tcW w:type="dxa" w:w="2592"/>
            <w:vAlign w:val="top"/>
          </w:tcPr>
          <w:p>
            <w:r>
              <w:t>13. PII stripping is not evidenced</w:t>
            </w:r>
          </w:p>
        </w:tc>
        <w:tc>
          <w:tcPr>
            <w:tcW w:type="dxa" w:w="2592"/>
            <w:vAlign w:val="top"/>
          </w:tcPr>
          <w:p>
            <w:r>
              <w:t>PII stripping is listed as a feature, but the deck does not show examples of what is removed or how it is handled.</w:t>
            </w:r>
          </w:p>
        </w:tc>
        <w:tc>
          <w:tcPr>
            <w:tcW w:type="dxa" w:w="2592"/>
            <w:vAlign w:val="top"/>
          </w:tcPr>
          <w:p>
            <w:r>
              <w:t>Add a small before/after example showing names/contact details being removed or masked before retrieval/storage, and explain whether raw queries are logged.</w:t>
            </w:r>
          </w:p>
        </w:tc>
        <w:tc>
          <w:tcPr>
            <w:tcW w:type="dxa" w:w="2592"/>
            <w:vAlign w:val="top"/>
          </w:tcPr>
          <w:p>
            <w:r>
              <w:t>Medium</w:t>
            </w:r>
          </w:p>
        </w:tc>
      </w:tr>
      <w:tr>
        <w:tc>
          <w:tcPr>
            <w:tcW w:type="dxa" w:w="2592"/>
            <w:vAlign w:val="top"/>
          </w:tcPr>
          <w:p>
            <w:r>
              <w:t>14. End-to-End Encryption claim is unexplained</w:t>
            </w:r>
          </w:p>
        </w:tc>
        <w:tc>
          <w:tcPr>
            <w:tcW w:type="dxa" w:w="2592"/>
            <w:vAlign w:val="top"/>
          </w:tcPr>
          <w:p>
            <w:r>
              <w:t>The architecture visual includes 'End-to-End Encryption' under key features, but the rest of the deck does not define where encryption is applied or how keys/data are handled.</w:t>
            </w:r>
          </w:p>
        </w:tc>
        <w:tc>
          <w:tcPr>
            <w:tcW w:type="dxa" w:w="2592"/>
            <w:vAlign w:val="top"/>
          </w:tcPr>
          <w:p>
            <w:r>
              <w:t>Only keep the claim if it is implemented and can be defended. Otherwise rephrase to the actual security controls you have implemented. Be ready to explain encryption in transit, at rest, and any key-management approach.</w:t>
            </w:r>
          </w:p>
        </w:tc>
        <w:tc>
          <w:tcPr>
            <w:tcW w:type="dxa" w:w="2592"/>
            <w:vAlign w:val="top"/>
          </w:tcPr>
          <w:p>
            <w:r>
              <w:t>Critical</w:t>
            </w:r>
          </w:p>
        </w:tc>
      </w:tr>
      <w:tr>
        <w:tc>
          <w:tcPr>
            <w:tcW w:type="dxa" w:w="2592"/>
            <w:vAlign w:val="top"/>
          </w:tcPr>
          <w:p>
            <w:r>
              <w:t>15. Competitor comparison is too generic</w:t>
            </w:r>
          </w:p>
        </w:tc>
        <w:tc>
          <w:tcPr>
            <w:tcW w:type="dxa" w:w="2592"/>
            <w:vAlign w:val="top"/>
          </w:tcPr>
          <w:p>
            <w:r>
              <w:t>The comparison is 'Generic AI' versus 'IP-SAKTI Sahayak'. A judge may ask why the user cannot simply use a search engine, ChatGPT, a legal database, or an IP professional.</w:t>
            </w:r>
          </w:p>
        </w:tc>
        <w:tc>
          <w:tcPr>
            <w:tcW w:type="dxa" w:w="2592"/>
            <w:vAlign w:val="top"/>
          </w:tcPr>
          <w:p>
            <w:r>
              <w:t>Add a compact alternative comparison: generic LLM, web/search, legal/IP research workflow, and IP-SAKTI. Compare evidence grounding, source traceability, Ayurveda domain focus, multilingual access, and abstention.</w:t>
            </w:r>
          </w:p>
        </w:tc>
        <w:tc>
          <w:tcPr>
            <w:tcW w:type="dxa" w:w="2592"/>
            <w:vAlign w:val="top"/>
          </w:tcPr>
          <w:p>
            <w:r>
              <w:t>High</w:t>
            </w:r>
          </w:p>
        </w:tc>
      </w:tr>
      <w:tr>
        <w:tc>
          <w:tcPr>
            <w:tcW w:type="dxa" w:w="2592"/>
            <w:vAlign w:val="top"/>
          </w:tcPr>
          <w:p>
            <w:r>
              <w:t>16. Impact is qualitative</w:t>
            </w:r>
          </w:p>
        </w:tc>
        <w:tc>
          <w:tcPr>
            <w:tcW w:type="dxa" w:w="2592"/>
            <w:vAlign w:val="top"/>
          </w:tcPr>
          <w:p>
            <w:r>
              <w:t>The deck says the system will protect innovation, reduce risk, speed research, and support commercialization, but does not quantify the benefit.</w:t>
            </w:r>
          </w:p>
        </w:tc>
        <w:tc>
          <w:tcPr>
            <w:tcW w:type="dxa" w:w="2592"/>
            <w:vAlign w:val="top"/>
          </w:tcPr>
          <w:p>
            <w:r>
              <w:t>Define measurable MVP outcomes: reduction in time-to-find-source, citation support rate, user success rate on benchmark questions, or percentage of queries correctly abstained when evidence is insufficient.</w:t>
            </w:r>
          </w:p>
        </w:tc>
        <w:tc>
          <w:tcPr>
            <w:tcW w:type="dxa" w:w="2592"/>
            <w:vAlign w:val="top"/>
          </w:tcPr>
          <w:p>
            <w:r>
              <w:t>Medium</w:t>
            </w:r>
          </w:p>
        </w:tc>
      </w:tr>
      <w:tr>
        <w:tc>
          <w:tcPr>
            <w:tcW w:type="dxa" w:w="2592"/>
            <w:vAlign w:val="top"/>
          </w:tcPr>
          <w:p>
            <w:r>
              <w:t>17. References are not presentation-grade</w:t>
            </w:r>
          </w:p>
        </w:tc>
        <w:tc>
          <w:tcPr>
            <w:tcW w:type="dxa" w:w="2592"/>
            <w:vAlign w:val="top"/>
          </w:tcPr>
          <w:p>
            <w:r>
              <w:t>The final slide lists institutions and resource categories, but not a proper bibliographic record, retrieval date, document title, version, or URL/reference identifier.</w:t>
            </w:r>
          </w:p>
        </w:tc>
        <w:tc>
          <w:tcPr>
            <w:tcW w:type="dxa" w:w="2592"/>
            <w:vAlign w:val="top"/>
          </w:tcPr>
          <w:p>
            <w:r>
              <w:t>Use concise formal citations for the actual sources in the corpus. For dynamic legal materials, include title, authority, version/date where available, and access/retrieval date.</w:t>
            </w:r>
          </w:p>
        </w:tc>
        <w:tc>
          <w:tcPr>
            <w:tcW w:type="dxa" w:w="2592"/>
            <w:vAlign w:val="top"/>
          </w:tcPr>
          <w:p>
            <w:r>
              <w:t>Medium</w:t>
            </w:r>
          </w:p>
        </w:tc>
      </w:tr>
    </w:tbl>
    <w:p>
      <w:pPr>
        <w:pStyle w:val="Heading1"/>
      </w:pPr>
      <w:r>
        <w:t>3. Slide-by-Slide Revision Plan</w:t>
      </w:r>
    </w:p>
    <w:p>
      <w:r>
        <w:rPr>
          <w:b/>
          <w:sz w:val="24"/>
        </w:rPr>
        <w:t>Slide 1 — Problem Statement</w:t>
      </w:r>
    </w:p>
    <w:p>
      <w:r>
        <w:t>Keep the official SIH problem statement intact. Improve only visual hierarchy and add a small subtitle such as: 'Our interpretation: trusted, source-grounded navigation of Ayurveda IP and regulatory information.'</w:t>
      </w:r>
    </w:p>
    <w:p>
      <w:r>
        <w:rPr>
          <w:b/>
        </w:rPr>
        <w:t xml:space="preserve">Important: </w:t>
      </w:r>
      <w:r>
        <w:t>Do not rewrite the official problem statement as though it were your own invented problem.</w:t>
      </w:r>
    </w:p>
    <w:p>
      <w:r>
        <w:rPr>
          <w:b/>
          <w:sz w:val="24"/>
        </w:rPr>
        <w:t>Slide 2 — The Idea</w:t>
      </w:r>
    </w:p>
    <w:p>
      <w:r>
        <w:t>Make the problem concrete. Add a short user scenario and identify the primary user. Separate 'Problem', 'Why existing workflows fail', and 'Solution'. Keep the flow, but make each stage specific.</w:t>
      </w:r>
    </w:p>
    <w:p>
      <w:r>
        <w:rPr>
          <w:b/>
        </w:rPr>
        <w:t xml:space="preserve">Important: </w:t>
      </w:r>
      <w:r>
        <w:t>The current slide is conceptually good but generic. A real query will make the problem believable.</w:t>
      </w:r>
    </w:p>
    <w:p>
      <w:r>
        <w:rPr>
          <w:b/>
          <w:sz w:val="24"/>
        </w:rPr>
        <w:t>Slide 3 — Differentiation + Technical Approach</w:t>
      </w:r>
    </w:p>
    <w:p>
      <w:r>
        <w:t>Keep the generic-AI comparison, but replace vague labels with measurable distinctions. Define verification, jurisdiction routing, domain checks and the confidence gate. Add an evidence example or mini screenshot.</w:t>
      </w:r>
    </w:p>
    <w:p>
      <w:r>
        <w:rPr>
          <w:b/>
        </w:rPr>
        <w:t xml:space="preserve">Important: </w:t>
      </w:r>
      <w:r>
        <w:t>This should become the strongest technical slide because the current system architecture is the project's main differentiator.</w:t>
      </w:r>
    </w:p>
    <w:p>
      <w:r>
        <w:rPr>
          <w:b/>
          <w:sz w:val="24"/>
        </w:rPr>
        <w:t>Slide 4 — Feasibility &amp; Viability</w:t>
      </w:r>
    </w:p>
    <w:p>
      <w:r>
        <w:t>Separate what is implemented now from what is future-ready. Add current MVP boundaries, corpus maintenance/update method, deployment model, and a short risk/mitigation row.</w:t>
      </w:r>
    </w:p>
    <w:p>
      <w:r>
        <w:rPr>
          <w:b/>
        </w:rPr>
        <w:t xml:space="preserve">Important: </w:t>
      </w:r>
      <w:r>
        <w:t>Avoid using 'architecture ready' as a substitute for current capability.</w:t>
      </w:r>
    </w:p>
    <w:p>
      <w:r>
        <w:rPr>
          <w:b/>
          <w:sz w:val="24"/>
        </w:rPr>
        <w:t>Slide 5 — Impact &amp; Benefits</w:t>
      </w:r>
    </w:p>
    <w:p>
      <w:r>
        <w:t>Keep the stakeholder groups, but connect each benefit to a measurable outcome or workflow improvement. Avoid claiming legal-risk reduction without evaluation evidence.</w:t>
      </w:r>
    </w:p>
    <w:p>
      <w:r>
        <w:rPr>
          <w:b/>
        </w:rPr>
        <w:t xml:space="preserve">Important: </w:t>
      </w:r>
      <w:r>
        <w:t>Impact should show how success will be measured, not only what success would look like.</w:t>
      </w:r>
    </w:p>
    <w:p>
      <w:r>
        <w:rPr>
          <w:b/>
          <w:sz w:val="24"/>
        </w:rPr>
        <w:t>Slide 6 — Research &amp; References</w:t>
      </w:r>
    </w:p>
    <w:p>
      <w:r>
        <w:t>Replace broad resource names with a concise list of actual documents/resources used for the MVP corpus. Add title/authority/version/date and distinguish public material from restricted or future-access material.</w:t>
      </w:r>
    </w:p>
    <w:p>
      <w:r>
        <w:rPr>
          <w:b/>
        </w:rPr>
        <w:t xml:space="preserve">Important: </w:t>
      </w:r>
      <w:r>
        <w:t>The current slide is a research summary, not yet a rigorous reference slide.</w:t>
      </w:r>
    </w:p>
    <w:p>
      <w:pPr>
        <w:pStyle w:val="Heading1"/>
      </w:pPr>
      <w:r>
        <w:t>4. Highest-Value New Slide: Real Query → Evidence → Answer</w:t>
      </w:r>
    </w:p>
    <w:p>
      <w:r>
        <w:t>This is the single most useful addition because it converts technical claims into visible proof.</w:t>
      </w:r>
    </w:p>
    <w:p>
      <w:pPr>
        <w:pStyle w:val="ListNumber"/>
      </w:pPr>
      <w:r>
        <w:t>1. User query — show a realistic Ayurveda IP/regulatory question.</w:t>
      </w:r>
    </w:p>
    <w:p>
      <w:pPr>
        <w:pStyle w:val="ListNumber"/>
      </w:pPr>
      <w:r>
        <w:t>2. PII stripping — show what sensitive details are removed, if any.</w:t>
      </w:r>
    </w:p>
    <w:p>
      <w:pPr>
        <w:pStyle w:val="ListNumber"/>
      </w:pPr>
      <w:r>
        <w:t>3. Classification — show the detected intent and jurisdiction.</w:t>
      </w:r>
    </w:p>
    <w:p>
      <w:pPr>
        <w:pStyle w:val="ListNumber"/>
      </w:pPr>
      <w:r>
        <w:t>4. Retrieval — show the top relevant chunks and source metadata.</w:t>
      </w:r>
    </w:p>
    <w:p>
      <w:pPr>
        <w:pStyle w:val="ListNumber"/>
      </w:pPr>
      <w:r>
        <w:t>5. Domain checks — show TK/ABS/prior-art relevance flags where applicable.</w:t>
      </w:r>
    </w:p>
    <w:p>
      <w:pPr>
        <w:pStyle w:val="ListNumber"/>
      </w:pPr>
      <w:r>
        <w:t>6. Confidence gate — show the score and threshold decision.</w:t>
      </w:r>
    </w:p>
    <w:p>
      <w:pPr>
        <w:pStyle w:val="ListNumber"/>
      </w:pPr>
      <w:r>
        <w:t>7. Answer generation — show only evidence-supported content.</w:t>
      </w:r>
    </w:p>
    <w:p>
      <w:pPr>
        <w:pStyle w:val="ListNumber"/>
      </w:pPr>
      <w:r>
        <w:t>8. Final output — show citations/provenance and a clear disclaimer.</w:t>
      </w:r>
    </w:p>
    <w:p>
      <w:pPr>
        <w:pStyle w:val="Heading1"/>
      </w:pPr>
      <w:r>
        <w:t>5. Minimum Evaluation Evidence to Add</w:t>
      </w:r>
    </w:p>
    <w:tbl>
      <w:tblPr>
        <w:tblStyle w:val="TableGrid"/>
        <w:tblW w:type="auto" w:w="0"/>
        <w:tblLook w:firstColumn="1" w:firstRow="1" w:lastColumn="0" w:lastRow="0" w:noHBand="0" w:noVBand="1" w:val="04A0"/>
      </w:tblPr>
      <w:tblGrid>
        <w:gridCol w:w="5184"/>
        <w:gridCol w:w="5184"/>
      </w:tblGrid>
      <w:tr>
        <w:tc>
          <w:tcPr>
            <w:tcW w:type="dxa" w:w="5184"/>
          </w:tcPr>
          <w:p>
            <w:r>
              <w:t>Metric</w:t>
            </w:r>
          </w:p>
        </w:tc>
        <w:tc>
          <w:tcPr>
            <w:tcW w:type="dxa" w:w="5184"/>
          </w:tcPr>
          <w:p>
            <w:r>
              <w:t>What to demonstrate</w:t>
            </w:r>
          </w:p>
        </w:tc>
      </w:tr>
      <w:tr>
        <w:tc>
          <w:tcPr>
            <w:tcW w:type="dxa" w:w="5184"/>
          </w:tcPr>
          <w:p>
            <w:r>
              <w:t>Retrieval relevance</w:t>
            </w:r>
          </w:p>
        </w:tc>
        <w:tc>
          <w:tcPr>
            <w:tcW w:type="dxa" w:w="5184"/>
          </w:tcPr>
          <w:p>
            <w:r>
              <w:t>How often top retrieved chunks are relevant to the query.</w:t>
            </w:r>
          </w:p>
        </w:tc>
      </w:tr>
      <w:tr>
        <w:tc>
          <w:tcPr>
            <w:tcW w:type="dxa" w:w="5184"/>
          </w:tcPr>
          <w:p>
            <w:r>
              <w:t>Answer correctness</w:t>
            </w:r>
          </w:p>
        </w:tc>
        <w:tc>
          <w:tcPr>
            <w:tcW w:type="dxa" w:w="5184"/>
          </w:tcPr>
          <w:p>
            <w:r>
              <w:t>Human-labelled correctness against a benchmark question set.</w:t>
            </w:r>
          </w:p>
        </w:tc>
      </w:tr>
      <w:tr>
        <w:tc>
          <w:tcPr>
            <w:tcW w:type="dxa" w:w="5184"/>
          </w:tcPr>
          <w:p>
            <w:r>
              <w:t>Citation support rate</w:t>
            </w:r>
          </w:p>
        </w:tc>
        <w:tc>
          <w:tcPr>
            <w:tcW w:type="dxa" w:w="5184"/>
          </w:tcPr>
          <w:p>
            <w:r>
              <w:t>Percentage of material claims that are actually supported by cited evidence.</w:t>
            </w:r>
          </w:p>
        </w:tc>
      </w:tr>
      <w:tr>
        <w:tc>
          <w:tcPr>
            <w:tcW w:type="dxa" w:w="5184"/>
          </w:tcPr>
          <w:p>
            <w:r>
              <w:t>Abstention quality</w:t>
            </w:r>
          </w:p>
        </w:tc>
        <w:tc>
          <w:tcPr>
            <w:tcW w:type="dxa" w:w="5184"/>
          </w:tcPr>
          <w:p>
            <w:r>
              <w:t>Whether the system abstains on questions outside the corpus or below the evidence threshold.</w:t>
            </w:r>
          </w:p>
        </w:tc>
      </w:tr>
      <w:tr>
        <w:tc>
          <w:tcPr>
            <w:tcW w:type="dxa" w:w="5184"/>
          </w:tcPr>
          <w:p>
            <w:r>
              <w:t>Multilingual consistency</w:t>
            </w:r>
          </w:p>
        </w:tc>
        <w:tc>
          <w:tcPr>
            <w:tcW w:type="dxa" w:w="5184"/>
          </w:tcPr>
          <w:p>
            <w:r>
              <w:t>Whether Hindi and English versions retrieve equivalent evidence for the same intent.</w:t>
            </w:r>
          </w:p>
        </w:tc>
      </w:tr>
      <w:tr>
        <w:tc>
          <w:tcPr>
            <w:tcW w:type="dxa" w:w="5184"/>
          </w:tcPr>
          <w:p>
            <w:r>
              <w:t>Latency</w:t>
            </w:r>
          </w:p>
        </w:tc>
        <w:tc>
          <w:tcPr>
            <w:tcW w:type="dxa" w:w="5184"/>
          </w:tcPr>
          <w:p>
            <w:r>
              <w:t>Typical end-to-end response time for the MVP.</w:t>
            </w:r>
          </w:p>
        </w:tc>
      </w:tr>
    </w:tbl>
    <w:p>
      <w:r>
        <w:t>A small, clearly labelled benchmark is better than unsupported claims. Even a modest evaluation set can make the presentation more defensible if the methodology is transparent.</w:t>
      </w:r>
    </w:p>
    <w:p>
      <w:pPr>
        <w:pStyle w:val="Heading1"/>
      </w:pPr>
      <w:r>
        <w:t>6. Likely Judge Attacks and Better Answers</w:t>
      </w:r>
    </w:p>
    <w:tbl>
      <w:tblPr>
        <w:tblStyle w:val="TableGrid"/>
        <w:tblW w:type="auto" w:w="0"/>
        <w:tblLook w:firstColumn="1" w:firstRow="1" w:lastColumn="0" w:lastRow="0" w:noHBand="0" w:noVBand="1" w:val="04A0"/>
      </w:tblPr>
      <w:tblGrid>
        <w:gridCol w:w="5184"/>
        <w:gridCol w:w="5184"/>
      </w:tblGrid>
      <w:tr>
        <w:tc>
          <w:tcPr>
            <w:tcW w:type="dxa" w:w="5184"/>
          </w:tcPr>
          <w:p>
            <w:r>
              <w:t>Judge question</w:t>
            </w:r>
          </w:p>
        </w:tc>
        <w:tc>
          <w:tcPr>
            <w:tcW w:type="dxa" w:w="5184"/>
          </w:tcPr>
          <w:p>
            <w:r>
              <w:t>Recommended answer direction</w:t>
            </w:r>
          </w:p>
        </w:tc>
      </w:tr>
      <w:tr>
        <w:tc>
          <w:tcPr>
            <w:tcW w:type="dxa" w:w="5184"/>
          </w:tcPr>
          <w:p>
            <w:r>
              <w:t>Why can't I just use ChatGPT?</w:t>
            </w:r>
          </w:p>
        </w:tc>
        <w:tc>
          <w:tcPr>
            <w:tcW w:type="dxa" w:w="5184"/>
          </w:tcPr>
          <w:p>
            <w:r>
              <w:t>Because the proposed workflow is designed around a curated domain corpus, retrieval of supporting evidence, source provenance and abstention when evidence is insufficient. The differentiator is the controlled evidence pipeline, not simply the use of an LLM.</w:t>
            </w:r>
          </w:p>
        </w:tc>
      </w:tr>
      <w:tr>
        <w:tc>
          <w:tcPr>
            <w:tcW w:type="dxa" w:w="5184"/>
          </w:tcPr>
          <w:p>
            <w:r>
              <w:t>How do you know the retrieved document is actually relevant?</w:t>
            </w:r>
          </w:p>
        </w:tc>
        <w:tc>
          <w:tcPr>
            <w:tcW w:type="dxa" w:w="5184"/>
          </w:tcPr>
          <w:p>
            <w:r>
              <w:t>We need to demonstrate retrieval quality on a labelled benchmark. The system should use metadata, top-k retrieval and a relevance/verification stage rather than treating every retrieved chunk as trustworthy.</w:t>
            </w:r>
          </w:p>
        </w:tc>
      </w:tr>
      <w:tr>
        <w:tc>
          <w:tcPr>
            <w:tcW w:type="dxa" w:w="5184"/>
          </w:tcPr>
          <w:p>
            <w:r>
              <w:t>Why 0.65?</w:t>
            </w:r>
          </w:p>
        </w:tc>
        <w:tc>
          <w:tcPr>
            <w:tcW w:type="dxa" w:w="5184"/>
          </w:tcPr>
          <w:p>
            <w:r>
              <w:t>It is an initial tunable MVP threshold, chosen conservatively. Final calibration should be based on a labelled evaluation set balancing coverage and incorrect-answer risk.</w:t>
            </w:r>
          </w:p>
        </w:tc>
      </w:tr>
      <w:tr>
        <w:tc>
          <w:tcPr>
            <w:tcW w:type="dxa" w:w="5184"/>
          </w:tcPr>
          <w:p>
            <w:r>
              <w:t>Are you giving legal advice?</w:t>
            </w:r>
          </w:p>
        </w:tc>
        <w:tc>
          <w:tcPr>
            <w:tcW w:type="dxa" w:w="5184"/>
          </w:tcPr>
          <w:p>
            <w:r>
              <w:t>No. The intended product role is source-backed preliminary research and regulatory/IP guidance. Users should be directed to qualified professionals for formal legal or regulatory decisions.</w:t>
            </w:r>
          </w:p>
        </w:tc>
      </w:tr>
      <w:tr>
        <w:tc>
          <w:tcPr>
            <w:tcW w:type="dxa" w:w="5184"/>
          </w:tcPr>
          <w:p>
            <w:r>
              <w:t>Do you actually have TKDL access?</w:t>
            </w:r>
          </w:p>
        </w:tc>
        <w:tc>
          <w:tcPr>
            <w:tcW w:type="dxa" w:w="5184"/>
          </w:tcPr>
          <w:p>
            <w:r>
              <w:t>The MVP should only claim access to the material it can legally and operationally use. Restricted institutional access is a separate production pathway.</w:t>
            </w:r>
          </w:p>
        </w:tc>
      </w:tr>
      <w:tr>
        <w:tc>
          <w:tcPr>
            <w:tcW w:type="dxa" w:w="5184"/>
          </w:tcPr>
          <w:p>
            <w:r>
              <w:t>You say multilingual. Which languages work today?</w:t>
            </w:r>
          </w:p>
        </w:tc>
        <w:tc>
          <w:tcPr>
            <w:tcW w:type="dxa" w:w="5184"/>
          </w:tcPr>
          <w:p>
            <w:r>
              <w:t>Answer with the exact implemented languages and demonstrate them live. Do not claim more languages than the MVP has been tested on.</w:t>
            </w:r>
          </w:p>
        </w:tc>
      </w:tr>
      <w:tr>
        <w:tc>
          <w:tcPr>
            <w:tcW w:type="dxa" w:w="5184"/>
          </w:tcPr>
          <w:p>
            <w:r>
              <w:t>You say international regimes. Which countries/jurisdictions work today?</w:t>
            </w:r>
          </w:p>
        </w:tc>
        <w:tc>
          <w:tcPr>
            <w:tcW w:type="dxa" w:w="5184"/>
          </w:tcPr>
          <w:p>
            <w:r>
              <w:t>State the exact current coverage. Separate implemented jurisdictions from the architecture's future extensibility.</w:t>
            </w:r>
          </w:p>
        </w:tc>
      </w:tr>
      <w:tr>
        <w:tc>
          <w:tcPr>
            <w:tcW w:type="dxa" w:w="5184"/>
          </w:tcPr>
          <w:p>
            <w:r>
              <w:t>What happens when the answer is not in your corpus?</w:t>
            </w:r>
          </w:p>
        </w:tc>
        <w:tc>
          <w:tcPr>
            <w:tcW w:type="dxa" w:w="5184"/>
          </w:tcPr>
          <w:p>
            <w:r>
              <w:t>The system should abstain rather than fabricate an answer. Demonstrate this with an out-of-corpus or low-evidence test case.</w:t>
            </w:r>
          </w:p>
        </w:tc>
      </w:tr>
      <w:tr>
        <w:tc>
          <w:tcPr>
            <w:tcW w:type="dxa" w:w="5184"/>
          </w:tcPr>
          <w:p>
            <w:r>
              <w:t>How do you validate citations?</w:t>
            </w:r>
          </w:p>
        </w:tc>
        <w:tc>
          <w:tcPr>
            <w:tcW w:type="dxa" w:w="5184"/>
          </w:tcPr>
          <w:p>
            <w:r>
              <w:t>Show how final citations map back to the retrieved source chunk and metadata, and include citation-support testing in evaluation.</w:t>
            </w:r>
          </w:p>
        </w:tc>
      </w:tr>
    </w:tbl>
    <w:p>
      <w:pPr>
        <w:pStyle w:val="Heading1"/>
      </w:pPr>
      <w:r>
        <w:t>7. Revision Priority — What to Fix First</w:t>
      </w:r>
    </w:p>
    <w:p>
      <w:r>
        <w:rPr>
          <w:b/>
        </w:rPr>
        <w:t>P0 — Must fix before presenting</w:t>
      </w:r>
      <w:r>
        <w:t xml:space="preserve"> — International scope clarity; TKDL access wording; 0.65 justification; evaluation evidence; verification definition; encryption claim; legal-advice boundary.</w:t>
      </w:r>
    </w:p>
    <w:p>
      <w:r>
        <w:rPr>
          <w:b/>
        </w:rPr>
        <w:t>P1 — Strongly recommended</w:t>
      </w:r>
      <w:r>
        <w:t xml:space="preserve"> — Real end-to-end query slide; primary user definition; quantified corpus snapshot; multilingual demo; ABS mechanism; competitor comparison.</w:t>
      </w:r>
    </w:p>
    <w:p>
      <w:r>
        <w:rPr>
          <w:b/>
        </w:rPr>
        <w:t>P2 — Polish</w:t>
      </w:r>
      <w:r>
        <w:t xml:space="preserve"> — Reference formatting; impact metrics; cleaner slide hierarchy; shorten generic text; replace broad claims with specific evidence.</w:t>
      </w:r>
    </w:p>
    <w:p>
      <w:pPr>
        <w:pStyle w:val="Heading1"/>
      </w:pPr>
      <w:r>
        <w:t>8. Final Recommendation</w:t>
      </w:r>
    </w:p>
    <w:p>
      <w:r>
        <w:t>The project does not need a completely different story. The existing narrative is directionally strong: fragmented Ayurveda IP/regulatory information → evidence-grounded retrieval → source-cited answer → abstention when evidence is weak. The major weakness is that the deck currently tells the judge that the system is trustworthy without showing enough proof.</w:t>
      </w:r>
    </w:p>
    <w:p>
      <w:r>
        <w:t>The revised presentation should therefore spend less time listing features and more time demonstrating one realistic query, showing the actual corpus and evidence, defining the verification/confidence logic, and presenting measurable evaluation results.</w:t>
      </w:r>
    </w:p>
    <w:p/>
    <w:p>
      <w:r>
        <w:rPr>
          <w:b/>
        </w:rPr>
        <w:t xml:space="preserve">Source basis: </w:t>
      </w:r>
      <w:r>
        <w:t>TechTonic's submitted SIH 2026 presentation, 6 pages. Key claims reviewed include the official PS wording, problem/solution framing, generic-AI comparison, technical pipeline, feasibility claims, impact statements, and listed references.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