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8"/>
        </w:rPr>
        <w:t>IP-SAKTI Sahayak</w:t>
      </w:r>
    </w:p>
    <w:p>
      <w:pPr>
        <w:jc w:val="center"/>
      </w:pPr>
      <w:r>
        <w:rPr>
          <w:b/>
          <w:sz w:val="32"/>
        </w:rPr>
        <w:t>Strong Areas — PPT + GitHub Review</w:t>
      </w:r>
    </w:p>
    <w:p>
      <w:pPr>
        <w:jc w:val="center"/>
      </w:pPr>
      <w:r>
        <w:rPr>
          <w:i/>
        </w:rPr>
        <w:t>TechTonic | Smart India Hackathon 2026 | PS SIH26045</w:t>
      </w:r>
    </w:p>
    <w:p>
      <w:pPr>
        <w:pStyle w:val="Heading1"/>
      </w:pPr>
      <w:r>
        <w:t>Overall Assessment</w:t>
      </w:r>
    </w:p>
    <w:p>
      <w:r>
        <w:t>The core idea is strong and the repository shows a real engineering foundation. The strongest part of IP-SAKTI Sahayak is the coherent combination of domain-specific retrieval, source citation/provenance, confidence-based gating and honest abstention. The project is stronger when presented as a controlled evidence pipeline rather than simply as an AI chatbot.</w:t>
      </w:r>
    </w:p>
    <w:p>
      <w:pPr>
        <w:pStyle w:val="Heading1"/>
      </w:pPr>
      <w:r>
        <w:t>Top Strengths</w:t>
      </w:r>
    </w:p>
    <w:tbl>
      <w:tblPr>
        <w:tblStyle w:val="TableGrid"/>
        <w:tblW w:type="auto" w:w="0"/>
        <w:jc w:val="center"/>
        <w:tblLook w:firstColumn="1" w:firstRow="1" w:lastColumn="0" w:lastRow="0" w:noHBand="0" w:noVBand="1" w:val="04A0"/>
      </w:tblPr>
      <w:tblGrid>
        <w:gridCol w:w="2592"/>
        <w:gridCol w:w="2592"/>
        <w:gridCol w:w="2592"/>
        <w:gridCol w:w="2592"/>
      </w:tblGrid>
      <w:tr>
        <w:tc>
          <w:tcPr>
            <w:tcW w:type="dxa" w:w="2592"/>
          </w:tcPr>
          <w:p>
            <w:r>
              <w:t>Strength</w:t>
            </w:r>
          </w:p>
        </w:tc>
        <w:tc>
          <w:tcPr>
            <w:tcW w:type="dxa" w:w="2592"/>
          </w:tcPr>
          <w:p>
            <w:r>
              <w:t>Rating</w:t>
            </w:r>
          </w:p>
        </w:tc>
        <w:tc>
          <w:tcPr>
            <w:tcW w:type="dxa" w:w="2592"/>
          </w:tcPr>
          <w:p>
            <w:r>
              <w:t>Why It Is Strong</w:t>
            </w:r>
          </w:p>
        </w:tc>
        <w:tc>
          <w:tcPr>
            <w:tcW w:type="dxa" w:w="2592"/>
          </w:tcPr>
          <w:p>
            <w:r>
              <w:t>How to Use It in SIH</w:t>
            </w:r>
          </w:p>
        </w:tc>
      </w:tr>
      <w:tr>
        <w:tc>
          <w:tcPr>
            <w:tcW w:type="dxa" w:w="2592"/>
            <w:vAlign w:val="top"/>
          </w:tcPr>
          <w:p>
            <w:r>
              <w:t>1. Strong problem–solution fit</w:t>
            </w:r>
          </w:p>
        </w:tc>
        <w:tc>
          <w:tcPr>
            <w:tcW w:type="dxa" w:w="2592"/>
            <w:vAlign w:val="top"/>
          </w:tcPr>
          <w:p>
            <w:r>
              <w:t>9/10</w:t>
            </w:r>
          </w:p>
        </w:tc>
        <w:tc>
          <w:tcPr>
            <w:tcW w:type="dxa" w:w="2592"/>
            <w:vAlign w:val="top"/>
          </w:tcPr>
          <w:p>
            <w:r>
              <w:t>The problem naturally involves traditional knowledge, intellectual property, biological resources and regulatory information. A retrieval-and-evidence workflow is a logical response to fragmented, high-stakes information.</w:t>
            </w:r>
          </w:p>
        </w:tc>
        <w:tc>
          <w:tcPr>
            <w:tcW w:type="dxa" w:w="2592"/>
            <w:vAlign w:val="top"/>
          </w:tcPr>
          <w:p>
            <w:r>
              <w:t>PPT Page 2 clearly frames fragmented information, complexity and unreliable generic AI as the problem.</w:t>
            </w:r>
          </w:p>
        </w:tc>
      </w:tr>
      <w:tr>
        <w:tc>
          <w:tcPr>
            <w:tcW w:type="dxa" w:w="2592"/>
            <w:vAlign w:val="top"/>
          </w:tcPr>
          <w:p>
            <w:r>
              <w:t>2. Evidence-grounded RAG architecture</w:t>
            </w:r>
          </w:p>
        </w:tc>
        <w:tc>
          <w:tcPr>
            <w:tcW w:type="dxa" w:w="2592"/>
            <w:vAlign w:val="top"/>
          </w:tcPr>
          <w:p>
            <w:r>
              <w:t>9.5/10</w:t>
            </w:r>
          </w:p>
        </w:tc>
        <w:tc>
          <w:tcPr>
            <w:tcW w:type="dxa" w:w="2592"/>
            <w:vAlign w:val="top"/>
          </w:tcPr>
          <w:p>
            <w:r>
              <w:t>The system is not presented as simply an LLM. The documented workflow includes PII stripping, classification, retrieval, confidence gating and answer generation with citations.</w:t>
            </w:r>
          </w:p>
        </w:tc>
        <w:tc>
          <w:tcPr>
            <w:tcW w:type="dxa" w:w="2592"/>
            <w:vAlign w:val="top"/>
          </w:tcPr>
          <w:p>
            <w:r>
              <w:t>This gives you a clear technical story: Question → Evidence → Confidence Check → Answer/Abstention.</w:t>
            </w:r>
          </w:p>
        </w:tc>
      </w:tr>
      <w:tr>
        <w:tc>
          <w:tcPr>
            <w:tcW w:type="dxa" w:w="2592"/>
            <w:vAlign w:val="top"/>
          </w:tcPr>
          <w:p>
            <w:r>
              <w:t>3. Modular engineering structure</w:t>
            </w:r>
          </w:p>
        </w:tc>
        <w:tc>
          <w:tcPr>
            <w:tcW w:type="dxa" w:w="2592"/>
            <w:vAlign w:val="top"/>
          </w:tcPr>
          <w:p>
            <w:r>
              <w:t>9/10</w:t>
            </w:r>
          </w:p>
        </w:tc>
        <w:tc>
          <w:tcPr>
            <w:tcW w:type="dxa" w:w="2592"/>
            <w:vAlign w:val="top"/>
          </w:tcPr>
          <w:p>
            <w:r>
              <w:t>The repository is organized into separate areas for API, frontend, models, pipeline, privacy, vector storage and related components instead of being a single monolithic prototype.</w:t>
            </w:r>
          </w:p>
        </w:tc>
        <w:tc>
          <w:tcPr>
            <w:tcW w:type="dxa" w:w="2592"/>
            <w:vAlign w:val="top"/>
          </w:tcPr>
          <w:p>
            <w:r>
              <w:t>This makes the system easier to test, replace components in, and explain to technical judges.</w:t>
            </w:r>
          </w:p>
        </w:tc>
      </w:tr>
      <w:tr>
        <w:tc>
          <w:tcPr>
            <w:tcW w:type="dxa" w:w="2592"/>
            <w:vAlign w:val="top"/>
          </w:tcPr>
          <w:p>
            <w:r>
              <w:t>4. Testing infrastructure</w:t>
            </w:r>
          </w:p>
        </w:tc>
        <w:tc>
          <w:tcPr>
            <w:tcW w:type="dxa" w:w="2592"/>
            <w:vAlign w:val="top"/>
          </w:tcPr>
          <w:p>
            <w:r>
              <w:t>8.5/10</w:t>
            </w:r>
          </w:p>
        </w:tc>
        <w:tc>
          <w:tcPr>
            <w:tcW w:type="dxa" w:w="2592"/>
            <w:vAlign w:val="top"/>
          </w:tcPr>
          <w:p>
            <w:r>
              <w:t>The repository includes tests around multiple important areas such as classification, ABS checking, confidence gating, retrieval, privacy, jurisdiction routing, ingestion and TKDL-related functionality.</w:t>
            </w:r>
          </w:p>
        </w:tc>
        <w:tc>
          <w:tcPr>
            <w:tcW w:type="dxa" w:w="2592"/>
            <w:vAlign w:val="top"/>
          </w:tcPr>
          <w:p>
            <w:r>
              <w:t>This is a strong foundation for turning implementation work into measurable evaluation evidence.</w:t>
            </w:r>
          </w:p>
        </w:tc>
      </w:tr>
      <w:tr>
        <w:tc>
          <w:tcPr>
            <w:tcW w:type="dxa" w:w="2592"/>
            <w:vAlign w:val="top"/>
          </w:tcPr>
          <w:p>
            <w:r>
              <w:t>5. Honest abstention</w:t>
            </w:r>
          </w:p>
        </w:tc>
        <w:tc>
          <w:tcPr>
            <w:tcW w:type="dxa" w:w="2592"/>
            <w:vAlign w:val="top"/>
          </w:tcPr>
          <w:p>
            <w:r>
              <w:t>9/10</w:t>
            </w:r>
          </w:p>
        </w:tc>
        <w:tc>
          <w:tcPr>
            <w:tcW w:type="dxa" w:w="2592"/>
            <w:vAlign w:val="top"/>
          </w:tcPr>
          <w:p>
            <w:r>
              <w:t>Allowing the system to say 'I don't know' when evidence is insufficient is especially appropriate for legal/regulatory guidance.</w:t>
            </w:r>
          </w:p>
        </w:tc>
        <w:tc>
          <w:tcPr>
            <w:tcW w:type="dxa" w:w="2592"/>
            <w:vAlign w:val="top"/>
          </w:tcPr>
          <w:p>
            <w:r>
              <w:t>This is a strong trust/safety design choice and can be demonstrated with out-of-corpus or low-evidence questions.</w:t>
            </w:r>
          </w:p>
        </w:tc>
      </w:tr>
      <w:tr>
        <w:tc>
          <w:tcPr>
            <w:tcW w:type="dxa" w:w="2592"/>
            <w:vAlign w:val="top"/>
          </w:tcPr>
          <w:p>
            <w:r>
              <w:t>6. Source citation and provenance</w:t>
            </w:r>
          </w:p>
        </w:tc>
        <w:tc>
          <w:tcPr>
            <w:tcW w:type="dxa" w:w="2592"/>
            <w:vAlign w:val="top"/>
          </w:tcPr>
          <w:p>
            <w:r>
              <w:t>9.5/10</w:t>
            </w:r>
          </w:p>
        </w:tc>
        <w:tc>
          <w:tcPr>
            <w:tcW w:type="dxa" w:w="2592"/>
            <w:vAlign w:val="top"/>
          </w:tcPr>
          <w:p>
            <w:r>
              <w:t>The product concept is built around giving users the evidence behind an answer instead of asking them to blindly trust the model.</w:t>
            </w:r>
          </w:p>
        </w:tc>
        <w:tc>
          <w:tcPr>
            <w:tcW w:type="dxa" w:w="2592"/>
            <w:vAlign w:val="top"/>
          </w:tcPr>
          <w:p>
            <w:r>
              <w:t>The PPT's Generic AI vs IP-SAKTI comparison makes this distinction clearly.</w:t>
            </w:r>
          </w:p>
        </w:tc>
      </w:tr>
      <w:tr>
        <w:tc>
          <w:tcPr>
            <w:tcW w:type="dxa" w:w="2592"/>
            <w:vAlign w:val="top"/>
          </w:tcPr>
          <w:p>
            <w:r>
              <w:t>7. Domain-specific ABS functionality</w:t>
            </w:r>
          </w:p>
        </w:tc>
        <w:tc>
          <w:tcPr>
            <w:tcW w:type="dxa" w:w="2592"/>
            <w:vAlign w:val="top"/>
          </w:tcPr>
          <w:p>
            <w:r>
              <w:t>8.5/10</w:t>
            </w:r>
          </w:p>
        </w:tc>
        <w:tc>
          <w:tcPr>
            <w:tcW w:type="dxa" w:w="2592"/>
            <w:vAlign w:val="top"/>
          </w:tcPr>
          <w:p>
            <w:r>
              <w:t>ABS is not just mentioned as a topic; the repository contains ABS-related functionality intended to flag biological-resource queries.</w:t>
            </w:r>
          </w:p>
        </w:tc>
        <w:tc>
          <w:tcPr>
            <w:tcW w:type="dxa" w:w="2592"/>
            <w:vAlign w:val="top"/>
          </w:tcPr>
          <w:p>
            <w:r>
              <w:t>This makes the product more domain-specific than a generic legal RAG chatbot.</w:t>
            </w:r>
          </w:p>
        </w:tc>
      </w:tr>
      <w:tr>
        <w:tc>
          <w:tcPr>
            <w:tcW w:type="dxa" w:w="2592"/>
            <w:vAlign w:val="top"/>
          </w:tcPr>
          <w:p>
            <w:r>
              <w:t>8. Privacy-by-design direction</w:t>
            </w:r>
          </w:p>
        </w:tc>
        <w:tc>
          <w:tcPr>
            <w:tcW w:type="dxa" w:w="2592"/>
            <w:vAlign w:val="top"/>
          </w:tcPr>
          <w:p>
            <w:r>
              <w:t>8/10</w:t>
            </w:r>
          </w:p>
        </w:tc>
        <w:tc>
          <w:tcPr>
            <w:tcW w:type="dxa" w:w="2592"/>
            <w:vAlign w:val="top"/>
          </w:tcPr>
          <w:p>
            <w:r>
              <w:t>PII stripping is placed inside the documented query workflow rather than being treated as a separate afterthought.</w:t>
            </w:r>
          </w:p>
        </w:tc>
        <w:tc>
          <w:tcPr>
            <w:tcW w:type="dxa" w:w="2592"/>
            <w:vAlign w:val="top"/>
          </w:tcPr>
          <w:p>
            <w:r>
              <w:t>The PPT also positions privacy-by-design and PII stripping as part of feasibility.</w:t>
            </w:r>
          </w:p>
        </w:tc>
      </w:tr>
      <w:tr>
        <w:tc>
          <w:tcPr>
            <w:tcW w:type="dxa" w:w="2592"/>
            <w:vAlign w:val="top"/>
          </w:tcPr>
          <w:p>
            <w:r>
              <w:t>9. Updateable legal corpus</w:t>
            </w:r>
          </w:p>
        </w:tc>
        <w:tc>
          <w:tcPr>
            <w:tcW w:type="dxa" w:w="2592"/>
            <w:vAlign w:val="top"/>
          </w:tcPr>
          <w:p>
            <w:r>
              <w:t>8/10</w:t>
            </w:r>
          </w:p>
        </w:tc>
        <w:tc>
          <w:tcPr>
            <w:tcW w:type="dxa" w:w="2592"/>
            <w:vAlign w:val="top"/>
          </w:tcPr>
          <w:p>
            <w:r>
              <w:t>RAG lets the legal/regulatory corpus be updated without retraining the underlying language model.</w:t>
            </w:r>
          </w:p>
        </w:tc>
        <w:tc>
          <w:tcPr>
            <w:tcW w:type="dxa" w:w="2592"/>
            <w:vAlign w:val="top"/>
          </w:tcPr>
          <w:p>
            <w:r>
              <w:t>This is a strong practical argument for a domain where source documents and rules can change.</w:t>
            </w:r>
          </w:p>
        </w:tc>
      </w:tr>
      <w:tr>
        <w:tc>
          <w:tcPr>
            <w:tcW w:type="dxa" w:w="2592"/>
            <w:vAlign w:val="top"/>
          </w:tcPr>
          <w:p>
            <w:r>
              <w:t>10. Practical technology stack</w:t>
            </w:r>
          </w:p>
        </w:tc>
        <w:tc>
          <w:tcPr>
            <w:tcW w:type="dxa" w:w="2592"/>
            <w:vAlign w:val="top"/>
          </w:tcPr>
          <w:p>
            <w:r>
              <w:t>8/10</w:t>
            </w:r>
          </w:p>
        </w:tc>
        <w:tc>
          <w:tcPr>
            <w:tcW w:type="dxa" w:w="2592"/>
            <w:vAlign w:val="top"/>
          </w:tcPr>
          <w:p>
            <w:r>
              <w:t>FastAPI, Python, ChromaDB, embeddings, an LLM and Streamlit form a relatively understandable and deployable MVP stack.</w:t>
            </w:r>
          </w:p>
        </w:tc>
        <w:tc>
          <w:tcPr>
            <w:tcW w:type="dxa" w:w="2592"/>
            <w:vAlign w:val="top"/>
          </w:tcPr>
          <w:p>
            <w:r>
              <w:t>The architecture is complex enough to solve the problem without being unnecessarily complicated.</w:t>
            </w:r>
          </w:p>
        </w:tc>
      </w:tr>
      <w:tr>
        <w:tc>
          <w:tcPr>
            <w:tcW w:type="dxa" w:w="2592"/>
            <w:vAlign w:val="top"/>
          </w:tcPr>
          <w:p>
            <w:r>
              <w:t>11. Clear extensibility architecture</w:t>
            </w:r>
          </w:p>
        </w:tc>
        <w:tc>
          <w:tcPr>
            <w:tcW w:type="dxa" w:w="2592"/>
            <w:vAlign w:val="top"/>
          </w:tcPr>
          <w:p>
            <w:r>
              <w:t>8/10</w:t>
            </w:r>
          </w:p>
        </w:tc>
        <w:tc>
          <w:tcPr>
            <w:tcW w:type="dxa" w:w="2592"/>
            <w:vAlign w:val="top"/>
          </w:tcPr>
          <w:p>
            <w:r>
              <w:t>The project structure separates components and workflow stages, which supports future expansion of languages, jurisdictions and corpus sources.</w:t>
            </w:r>
          </w:p>
        </w:tc>
        <w:tc>
          <w:tcPr>
            <w:tcW w:type="dxa" w:w="2592"/>
            <w:vAlign w:val="top"/>
          </w:tcPr>
          <w:p>
            <w:r>
              <w:t>Present extensibility as an architectural property, while clearly separating it from functionality already implemented.</w:t>
            </w:r>
          </w:p>
        </w:tc>
      </w:tr>
      <w:tr>
        <w:tc>
          <w:tcPr>
            <w:tcW w:type="dxa" w:w="2592"/>
            <w:vAlign w:val="top"/>
          </w:tcPr>
          <w:p>
            <w:r>
              <w:t>12. Coherent differentiation</w:t>
            </w:r>
          </w:p>
        </w:tc>
        <w:tc>
          <w:tcPr>
            <w:tcW w:type="dxa" w:w="2592"/>
            <w:vAlign w:val="top"/>
          </w:tcPr>
          <w:p>
            <w:r>
              <w:t>9.5/10</w:t>
            </w:r>
          </w:p>
        </w:tc>
        <w:tc>
          <w:tcPr>
            <w:tcW w:type="dxa" w:w="2592"/>
            <w:vAlign w:val="top"/>
          </w:tcPr>
          <w:p>
            <w:r>
              <w:t>Your best product story is not 'we use AI for Ayurveda.' It is 'generic AI gives an answer; IP-SAKTI retrieves evidence, checks confidence, cites sources and can abstain.'</w:t>
            </w:r>
          </w:p>
        </w:tc>
        <w:tc>
          <w:tcPr>
            <w:tcW w:type="dxa" w:w="2592"/>
            <w:vAlign w:val="top"/>
          </w:tcPr>
          <w:p>
            <w:r>
              <w:t>That is a product philosophy with a clear trust objective, not just a list of AI buzzwords.</w:t>
            </w:r>
          </w:p>
        </w:tc>
      </w:tr>
    </w:tbl>
    <w:p>
      <w:pPr>
        <w:pStyle w:val="Heading1"/>
      </w:pPr>
      <w:r>
        <w:t>What the PPT Already Does Well</w:t>
      </w:r>
    </w:p>
    <w:p>
      <w:pPr>
        <w:pStyle w:val="ListBullet"/>
      </w:pPr>
      <w:r>
        <w:t>The Page 2 flow communicates the intended journey from ASK → UNDERSTAND → RETRIEVE → VERIFY → ANSWER + SOURCE.</w:t>
      </w:r>
    </w:p>
    <w:p>
      <w:pPr>
        <w:pStyle w:val="ListBullet"/>
      </w:pPr>
      <w:r>
        <w:t>The Page 3 comparison clearly positions IP-SAKTI as a trusted decision pipeline rather than a generic chatbot.</w:t>
      </w:r>
    </w:p>
    <w:p>
      <w:pPr>
        <w:pStyle w:val="ListBullet"/>
      </w:pPr>
      <w:r>
        <w:t>The Page 4 feasibility slide connects the project to a mature stack, modular RAG and corpus updates without retraining.</w:t>
      </w:r>
    </w:p>
    <w:p>
      <w:pPr>
        <w:pStyle w:val="ListBullet"/>
      </w:pPr>
      <w:r>
        <w:t>The Page 5 impact slide identifies concrete stakeholder groups: startups/MSMEs, researchers, practitioners and IP facilitators.</w:t>
      </w:r>
    </w:p>
    <w:p>
      <w:pPr>
        <w:pStyle w:val="ListBullet"/>
      </w:pPr>
      <w:r>
        <w:t>The Page 6 reference categories show that the project is grounded in legal, biodiversity, Ayurveda and RAG/trustworthy-AI research.</w:t>
      </w:r>
    </w:p>
    <w:p>
      <w:pPr>
        <w:pStyle w:val="Heading1"/>
      </w:pPr>
      <w:r>
        <w:t>Best Points to Emphasize Before Judges</w:t>
      </w:r>
    </w:p>
    <w:p>
      <w:r>
        <w:t>1. We are building an evidence pipeline, not merely wrapping an LLM.</w:t>
      </w:r>
    </w:p>
    <w:p>
      <w:r>
        <w:t>2. Every answer is intended to be traceable to retrieved sources.</w:t>
      </w:r>
    </w:p>
    <w:p>
      <w:r>
        <w:t>3. The system can abstain when evidence is insufficient.</w:t>
      </w:r>
    </w:p>
    <w:p>
      <w:r>
        <w:t>4. The workflow includes domain-specific logic such as ABS awareness and privacy handling.</w:t>
      </w:r>
    </w:p>
    <w:p>
      <w:r>
        <w:t>5. The repository has modular components and tests, giving us a foundation for measurable evaluation.</w:t>
      </w:r>
    </w:p>
    <w:p>
      <w:r>
        <w:t>6. The corpus can be updated without retraining the language model.</w:t>
      </w:r>
    </w:p>
    <w:p>
      <w:pPr>
        <w:pStyle w:val="Heading1"/>
      </w:pPr>
      <w:r>
        <w:t>Most Valuable Strength to Turn into Proof</w:t>
      </w:r>
    </w:p>
    <w:p>
      <w:r>
        <w:t>The project's strongest differentiator is the combination of retrieval + provenance + confidence gating + abstention. The next step is not to add more buzzwords; it is to demonstrate this workflow with one real query and show the exact evidence, confidence decision and final cited answer. This would convert an already strong conceptual differentiator into visible proof.</w:t>
      </w:r>
    </w:p>
    <w:p>
      <w:pPr>
        <w:pStyle w:val="Heading1"/>
      </w:pPr>
      <w:r>
        <w:t>Strength Ranking for SIH</w:t>
      </w:r>
    </w:p>
    <w:tbl>
      <w:tblPr>
        <w:tblStyle w:val="TableGrid"/>
        <w:tblW w:type="auto" w:w="0"/>
        <w:tblLook w:firstColumn="1" w:firstRow="1" w:lastColumn="0" w:lastRow="0" w:noHBand="0" w:noVBand="1" w:val="04A0"/>
      </w:tblPr>
      <w:tblGrid>
        <w:gridCol w:w="3456"/>
        <w:gridCol w:w="3456"/>
        <w:gridCol w:w="3456"/>
      </w:tblGrid>
      <w:tr>
        <w:tc>
          <w:tcPr>
            <w:tcW w:type="dxa" w:w="3456"/>
          </w:tcPr>
          <w:p>
            <w:r>
              <w:t>Rank</w:t>
            </w:r>
          </w:p>
        </w:tc>
        <w:tc>
          <w:tcPr>
            <w:tcW w:type="dxa" w:w="3456"/>
          </w:tcPr>
          <w:p>
            <w:r>
              <w:t>Strength</w:t>
            </w:r>
          </w:p>
        </w:tc>
        <w:tc>
          <w:tcPr>
            <w:tcW w:type="dxa" w:w="3456"/>
          </w:tcPr>
          <w:p>
            <w:r>
              <w:t>Rating</w:t>
            </w:r>
          </w:p>
        </w:tc>
      </w:tr>
      <w:tr>
        <w:tc>
          <w:tcPr>
            <w:tcW w:type="dxa" w:w="3456"/>
          </w:tcPr>
          <w:p>
            <w:r>
              <w:t>1</w:t>
            </w:r>
          </w:p>
        </w:tc>
        <w:tc>
          <w:tcPr>
            <w:tcW w:type="dxa" w:w="3456"/>
          </w:tcPr>
          <w:p>
            <w:r>
              <w:t>Evidence-grounded RAG + citations</w:t>
            </w:r>
          </w:p>
        </w:tc>
        <w:tc>
          <w:tcPr>
            <w:tcW w:type="dxa" w:w="3456"/>
          </w:tcPr>
          <w:p>
            <w:r>
              <w:t>9.5/10</w:t>
            </w:r>
          </w:p>
        </w:tc>
      </w:tr>
      <w:tr>
        <w:tc>
          <w:tcPr>
            <w:tcW w:type="dxa" w:w="3456"/>
          </w:tcPr>
          <w:p>
            <w:r>
              <w:t>2</w:t>
            </w:r>
          </w:p>
        </w:tc>
        <w:tc>
          <w:tcPr>
            <w:tcW w:type="dxa" w:w="3456"/>
          </w:tcPr>
          <w:p>
            <w:r>
              <w:t>Clear differentiation from generic AI</w:t>
            </w:r>
          </w:p>
        </w:tc>
        <w:tc>
          <w:tcPr>
            <w:tcW w:type="dxa" w:w="3456"/>
          </w:tcPr>
          <w:p>
            <w:r>
              <w:t>9.5/10</w:t>
            </w:r>
          </w:p>
        </w:tc>
      </w:tr>
      <w:tr>
        <w:tc>
          <w:tcPr>
            <w:tcW w:type="dxa" w:w="3456"/>
          </w:tcPr>
          <w:p>
            <w:r>
              <w:t>3</w:t>
            </w:r>
          </w:p>
        </w:tc>
        <w:tc>
          <w:tcPr>
            <w:tcW w:type="dxa" w:w="3456"/>
          </w:tcPr>
          <w:p>
            <w:r>
              <w:t>Modular technical architecture</w:t>
            </w:r>
          </w:p>
        </w:tc>
        <w:tc>
          <w:tcPr>
            <w:tcW w:type="dxa" w:w="3456"/>
          </w:tcPr>
          <w:p>
            <w:r>
              <w:t>9/10</w:t>
            </w:r>
          </w:p>
        </w:tc>
      </w:tr>
      <w:tr>
        <w:tc>
          <w:tcPr>
            <w:tcW w:type="dxa" w:w="3456"/>
          </w:tcPr>
          <w:p>
            <w:r>
              <w:t>4</w:t>
            </w:r>
          </w:p>
        </w:tc>
        <w:tc>
          <w:tcPr>
            <w:tcW w:type="dxa" w:w="3456"/>
          </w:tcPr>
          <w:p>
            <w:r>
              <w:t>Honest abstention + confidence gating</w:t>
            </w:r>
          </w:p>
        </w:tc>
        <w:tc>
          <w:tcPr>
            <w:tcW w:type="dxa" w:w="3456"/>
          </w:tcPr>
          <w:p>
            <w:r>
              <w:t>9/10</w:t>
            </w:r>
          </w:p>
        </w:tc>
      </w:tr>
      <w:tr>
        <w:tc>
          <w:tcPr>
            <w:tcW w:type="dxa" w:w="3456"/>
          </w:tcPr>
          <w:p>
            <w:r>
              <w:t>5</w:t>
            </w:r>
          </w:p>
        </w:tc>
        <w:tc>
          <w:tcPr>
            <w:tcW w:type="dxa" w:w="3456"/>
          </w:tcPr>
          <w:p>
            <w:r>
              <w:t>Problem–solution fit</w:t>
            </w:r>
          </w:p>
        </w:tc>
        <w:tc>
          <w:tcPr>
            <w:tcW w:type="dxa" w:w="3456"/>
          </w:tcPr>
          <w:p>
            <w:r>
              <w:t>9/10</w:t>
            </w:r>
          </w:p>
        </w:tc>
      </w:tr>
      <w:tr>
        <w:tc>
          <w:tcPr>
            <w:tcW w:type="dxa" w:w="3456"/>
          </w:tcPr>
          <w:p>
            <w:r>
              <w:t>6</w:t>
            </w:r>
          </w:p>
        </w:tc>
        <w:tc>
          <w:tcPr>
            <w:tcW w:type="dxa" w:w="3456"/>
          </w:tcPr>
          <w:p>
            <w:r>
              <w:t>Testing infrastructure</w:t>
            </w:r>
          </w:p>
        </w:tc>
        <w:tc>
          <w:tcPr>
            <w:tcW w:type="dxa" w:w="3456"/>
          </w:tcPr>
          <w:p>
            <w:r>
              <w:t>8.5/10</w:t>
            </w:r>
          </w:p>
        </w:tc>
      </w:tr>
      <w:tr>
        <w:tc>
          <w:tcPr>
            <w:tcW w:type="dxa" w:w="3456"/>
          </w:tcPr>
          <w:p>
            <w:r>
              <w:t>7</w:t>
            </w:r>
          </w:p>
        </w:tc>
        <w:tc>
          <w:tcPr>
            <w:tcW w:type="dxa" w:w="3456"/>
          </w:tcPr>
          <w:p>
            <w:r>
              <w:t>ABS/domain-specific functionality</w:t>
            </w:r>
          </w:p>
        </w:tc>
        <w:tc>
          <w:tcPr>
            <w:tcW w:type="dxa" w:w="3456"/>
          </w:tcPr>
          <w:p>
            <w:r>
              <w:t>8.5/10</w:t>
            </w:r>
          </w:p>
        </w:tc>
      </w:tr>
      <w:tr>
        <w:tc>
          <w:tcPr>
            <w:tcW w:type="dxa" w:w="3456"/>
          </w:tcPr>
          <w:p>
            <w:r>
              <w:t>8</w:t>
            </w:r>
          </w:p>
        </w:tc>
        <w:tc>
          <w:tcPr>
            <w:tcW w:type="dxa" w:w="3456"/>
          </w:tcPr>
          <w:p>
            <w:r>
              <w:t>Privacy-by-design direction</w:t>
            </w:r>
          </w:p>
        </w:tc>
        <w:tc>
          <w:tcPr>
            <w:tcW w:type="dxa" w:w="3456"/>
          </w:tcPr>
          <w:p>
            <w:r>
              <w:t>8/10</w:t>
            </w:r>
          </w:p>
        </w:tc>
      </w:tr>
      <w:tr>
        <w:tc>
          <w:tcPr>
            <w:tcW w:type="dxa" w:w="3456"/>
          </w:tcPr>
          <w:p>
            <w:r>
              <w:t>9</w:t>
            </w:r>
          </w:p>
        </w:tc>
        <w:tc>
          <w:tcPr>
            <w:tcW w:type="dxa" w:w="3456"/>
          </w:tcPr>
          <w:p>
            <w:r>
              <w:t>Updateable corpus</w:t>
            </w:r>
          </w:p>
        </w:tc>
        <w:tc>
          <w:tcPr>
            <w:tcW w:type="dxa" w:w="3456"/>
          </w:tcPr>
          <w:p>
            <w:r>
              <w:t>8/10</w:t>
            </w:r>
          </w:p>
        </w:tc>
      </w:tr>
      <w:tr>
        <w:tc>
          <w:tcPr>
            <w:tcW w:type="dxa" w:w="3456"/>
          </w:tcPr>
          <w:p>
            <w:r>
              <w:t>10</w:t>
            </w:r>
          </w:p>
        </w:tc>
        <w:tc>
          <w:tcPr>
            <w:tcW w:type="dxa" w:w="3456"/>
          </w:tcPr>
          <w:p>
            <w:r>
              <w:t>Practical MVP stack</w:t>
            </w:r>
          </w:p>
        </w:tc>
        <w:tc>
          <w:tcPr>
            <w:tcW w:type="dxa" w:w="3456"/>
          </w:tcPr>
          <w:p>
            <w:r>
              <w:t>8/10</w:t>
            </w:r>
          </w:p>
        </w:tc>
      </w:tr>
    </w:tbl>
    <w:p>
      <w:pPr>
        <w:pStyle w:val="Heading1"/>
      </w:pPr>
      <w:r>
        <w:t>Bottom Line</w:t>
      </w:r>
    </w:p>
    <w:p>
      <w:r>
        <w:t>Your strongest competitive position is trust. The team is not simply proposing an Ayurveda chatbot; the project is structured around retrieving domain evidence, checking whether enough evidence exists, and showing the user where the answer came from. That should be the center of the SIH presentation.</w:t>
      </w:r>
    </w:p>
    <w:sectPr w:rsidR="00FC693F" w:rsidRPr="0006063C" w:rsidSect="00034616">
      <w:pgSz w:w="12240" w:h="15840"/>
      <w:pgMar w:top="936" w:right="936" w:bottom="936"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