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84B" w:rsidRDefault="007F284B" w:rsidP="007F284B">
      <w:pPr>
        <w:spacing w:line="264" w:lineRule="auto"/>
        <w:ind w:left="720" w:hanging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94960">
        <w:rPr>
          <w:rFonts w:ascii="Times New Roman" w:hAnsi="Times New Roman" w:cs="Times New Roman"/>
          <w:b/>
          <w:sz w:val="26"/>
          <w:szCs w:val="26"/>
          <w:u w:val="single"/>
        </w:rPr>
        <w:t xml:space="preserve">MODEL </w:t>
      </w:r>
    </w:p>
    <w:p w:rsidR="007F284B" w:rsidRDefault="007F284B" w:rsidP="007F284B">
      <w:pPr>
        <w:spacing w:after="240" w:line="264" w:lineRule="auto"/>
        <w:ind w:left="720" w:hanging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SINGLE TIER </w:t>
      </w:r>
      <w:r w:rsidRPr="00494960">
        <w:rPr>
          <w:rFonts w:ascii="Times New Roman" w:hAnsi="Times New Roman" w:cs="Times New Roman"/>
          <w:b/>
          <w:sz w:val="26"/>
          <w:szCs w:val="26"/>
          <w:u w:val="single"/>
        </w:rPr>
        <w:t xml:space="preserve">ARBITRATION CLAUSE </w:t>
      </w:r>
    </w:p>
    <w:p w:rsidR="007F284B" w:rsidRPr="00493D10" w:rsidRDefault="007F284B" w:rsidP="007F284B">
      <w:p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Parties to a contract who agree to resolve their contractual disputes in accordance with the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National Arbitral Tribunal (Procedural) Rules</w:t>
      </w:r>
      <w:r w:rsidRPr="00493D10">
        <w:rPr>
          <w:rFonts w:ascii="Times New Roman" w:hAnsi="Times New Roman" w:cs="Times New Roman"/>
          <w:sz w:val="24"/>
          <w:szCs w:val="24"/>
        </w:rPr>
        <w:t xml:space="preserve"> and to have the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National Arbitral Tribunal</w:t>
      </w:r>
      <w:r w:rsidRPr="00493D10">
        <w:rPr>
          <w:rFonts w:ascii="Times New Roman" w:hAnsi="Times New Roman" w:cs="Times New Roman"/>
          <w:sz w:val="24"/>
          <w:szCs w:val="24"/>
        </w:rPr>
        <w:t xml:space="preserve"> as </w:t>
      </w:r>
      <w:r w:rsidR="00D30D2E">
        <w:rPr>
          <w:rFonts w:ascii="Times New Roman" w:hAnsi="Times New Roman" w:cs="Times New Roman"/>
          <w:sz w:val="24"/>
          <w:szCs w:val="24"/>
        </w:rPr>
        <w:t xml:space="preserve">the </w:t>
      </w:r>
      <w:r w:rsidRPr="00493D10">
        <w:rPr>
          <w:rFonts w:ascii="Times New Roman" w:hAnsi="Times New Roman" w:cs="Times New Roman"/>
          <w:sz w:val="24"/>
          <w:szCs w:val="24"/>
        </w:rPr>
        <w:t xml:space="preserve">appointing authority and/or provide administrative services, may use the following clause: </w:t>
      </w:r>
    </w:p>
    <w:p w:rsidR="007F284B" w:rsidRPr="00493D10" w:rsidRDefault="007F284B" w:rsidP="007F284B">
      <w:pPr>
        <w:spacing w:after="200" w:line="360" w:lineRule="auto"/>
        <w:rPr>
          <w:rFonts w:ascii="Times New Roman" w:eastAsiaTheme="minorEastAsia" w:hAnsi="Times New Roman" w:cs="Times New Roman"/>
          <w:lang w:val="en-IN" w:eastAsia="en-IN"/>
        </w:rPr>
      </w:pPr>
      <w:bookmarkStart w:id="0" w:name="_Hlk488850785"/>
      <w:r w:rsidRPr="00493D10">
        <w:rPr>
          <w:rFonts w:ascii="Times New Roman" w:eastAsiaTheme="minorEastAsia" w:hAnsi="Times New Roman" w:cs="Times New Roman"/>
          <w:b/>
          <w:color w:val="000000" w:themeColor="text1"/>
          <w:lang w:val="en-IN" w:eastAsia="en-IN"/>
        </w:rPr>
        <w:t>“If any</w:t>
      </w:r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dispute arising out of or </w:t>
      </w:r>
      <w:proofErr w:type="gramStart"/>
      <w:r w:rsidR="00D30D2E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</w:t>
      </w:r>
      <w:r w:rsidR="00FD0753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n connection with</w:t>
      </w:r>
      <w:proofErr w:type="gramEnd"/>
      <w:r w:rsidR="00FD0753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this contract</w:t>
      </w:r>
      <w:bookmarkStart w:id="1" w:name="_GoBack"/>
      <w:bookmarkEnd w:id="1"/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, including any question regarding its existence, validity or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termination, shall be referred to and finally resolved by arbitration in accordance with the</w:t>
      </w:r>
      <w:bookmarkStart w:id="2" w:name="_Hlk478122963"/>
      <w:r>
        <w:rPr>
          <w:rFonts w:ascii="Times New Roman" w:eastAsiaTheme="minorEastAsia" w:hAnsi="Times New Roman" w:cs="Times New Roman"/>
          <w:lang w:val="en-IN" w:eastAsia="en-IN"/>
        </w:rPr>
        <w:t xml:space="preserve">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National Arbitral Tribunal (Procedural) Rules.</w:t>
      </w:r>
    </w:p>
    <w:p w:rsidR="007F284B" w:rsidRPr="00493D10" w:rsidRDefault="007F284B" w:rsidP="007F284B">
      <w:pPr>
        <w:spacing w:after="200" w:line="360" w:lineRule="auto"/>
        <w:rPr>
          <w:rFonts w:ascii="Times New Roman" w:eastAsiaTheme="minorEastAsia" w:hAnsi="Times New Roman" w:cs="Times New Roman"/>
          <w:lang w:val="en-IN" w:eastAsia="en-IN"/>
        </w:rPr>
      </w:pPr>
      <w:bookmarkStart w:id="3" w:name="_Hlk488850836"/>
      <w:bookmarkEnd w:id="0"/>
      <w:bookmarkEnd w:id="2"/>
      <w:r w:rsidRPr="00493D10">
        <w:rPr>
          <w:rFonts w:ascii="Times New Roman" w:hAnsi="Times New Roman" w:cs="Times New Roman"/>
          <w:sz w:val="24"/>
          <w:szCs w:val="24"/>
        </w:rPr>
        <w:t xml:space="preserve">The Authority to appoint the arbitrator(s) shall be the </w:t>
      </w:r>
      <w:r w:rsidR="00FD0753">
        <w:rPr>
          <w:rFonts w:ascii="Times New Roman" w:eastAsiaTheme="minorEastAsia" w:hAnsi="Times New Roman" w:cs="Times New Roman"/>
          <w:lang w:val="en-IN" w:eastAsia="en-IN"/>
        </w:rPr>
        <w:t>National Arbitral Tribunal.</w:t>
      </w:r>
    </w:p>
    <w:p w:rsidR="007F284B" w:rsidRPr="00493D10" w:rsidRDefault="007F284B" w:rsidP="007F284B">
      <w:p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bookmarkStart w:id="4" w:name="_Hlk488850858"/>
      <w:bookmarkEnd w:id="3"/>
      <w:r w:rsidRPr="00880D1A">
        <w:rPr>
          <w:rFonts w:ascii="Times New Roman" w:hAnsi="Times New Roman" w:cs="Times New Roman"/>
          <w:b/>
          <w:sz w:val="24"/>
          <w:szCs w:val="24"/>
        </w:rPr>
        <w:t>Note</w:t>
      </w:r>
      <w:r w:rsidRPr="00493D10">
        <w:rPr>
          <w:rFonts w:ascii="Times New Roman" w:hAnsi="Times New Roman" w:cs="Times New Roman"/>
          <w:sz w:val="24"/>
          <w:szCs w:val="24"/>
        </w:rPr>
        <w:t xml:space="preserve">: Parties may consider </w:t>
      </w:r>
      <w:r w:rsidR="00D30D2E" w:rsidRPr="00493D10">
        <w:rPr>
          <w:rFonts w:ascii="Times New Roman" w:hAnsi="Times New Roman" w:cs="Times New Roman"/>
          <w:sz w:val="24"/>
          <w:szCs w:val="24"/>
        </w:rPr>
        <w:t>adding</w:t>
      </w:r>
      <w:r w:rsidRPr="00493D10">
        <w:rPr>
          <w:rFonts w:ascii="Times New Roman" w:hAnsi="Times New Roman" w:cs="Times New Roman"/>
          <w:sz w:val="24"/>
          <w:szCs w:val="24"/>
        </w:rPr>
        <w:t xml:space="preserve"> the following: - </w:t>
      </w:r>
    </w:p>
    <w:p w:rsidR="007F284B" w:rsidRPr="00493D10" w:rsidRDefault="007F284B" w:rsidP="007F284B">
      <w:pPr>
        <w:pStyle w:val="ListParagraph"/>
        <w:numPr>
          <w:ilvl w:val="0"/>
          <w:numId w:val="1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The number of arbitrator(s) shall be____________ </w:t>
      </w:r>
    </w:p>
    <w:p w:rsidR="007F284B" w:rsidRPr="00493D10" w:rsidRDefault="007F284B" w:rsidP="007F284B">
      <w:pPr>
        <w:pStyle w:val="ListParagraph"/>
        <w:numPr>
          <w:ilvl w:val="0"/>
          <w:numId w:val="1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>The place of arbitration proceedings shall be ______________</w:t>
      </w:r>
    </w:p>
    <w:p w:rsidR="007F284B" w:rsidRDefault="007F284B" w:rsidP="007F284B">
      <w:pPr>
        <w:pStyle w:val="ListParagraph"/>
        <w:numPr>
          <w:ilvl w:val="0"/>
          <w:numId w:val="1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The language of the arbitration proceedings shall be ____________ </w:t>
      </w:r>
    </w:p>
    <w:bookmarkEnd w:id="4"/>
    <w:p w:rsidR="007F284B" w:rsidRDefault="007F284B">
      <w:pPr>
        <w:spacing w:after="160" w:line="259" w:lineRule="auto"/>
        <w:jc w:val="left"/>
      </w:pPr>
      <w:r>
        <w:br w:type="page"/>
      </w:r>
    </w:p>
    <w:p w:rsidR="007F284B" w:rsidRDefault="007F284B" w:rsidP="007F284B">
      <w:pPr>
        <w:pStyle w:val="Heading2"/>
        <w:jc w:val="center"/>
        <w:rPr>
          <w:rFonts w:ascii="Times New Roman" w:hAnsi="Times New Roman" w:cs="Times New Roman"/>
          <w:b/>
          <w:color w:val="auto"/>
          <w:u w:val="single"/>
        </w:rPr>
      </w:pPr>
      <w:bookmarkStart w:id="5" w:name="_Toc487792764"/>
      <w:bookmarkStart w:id="6" w:name="_Toc478926285"/>
      <w:r w:rsidRPr="00494960">
        <w:rPr>
          <w:rFonts w:ascii="Times New Roman" w:hAnsi="Times New Roman" w:cs="Times New Roman"/>
          <w:b/>
          <w:color w:val="auto"/>
          <w:u w:val="single"/>
        </w:rPr>
        <w:lastRenderedPageBreak/>
        <w:t xml:space="preserve">MODEL </w:t>
      </w:r>
    </w:p>
    <w:p w:rsidR="007F284B" w:rsidRPr="00494960" w:rsidRDefault="007F284B" w:rsidP="007F284B">
      <w:pPr>
        <w:pStyle w:val="Heading2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494960">
        <w:rPr>
          <w:rFonts w:ascii="Times New Roman" w:hAnsi="Times New Roman" w:cs="Times New Roman"/>
          <w:b/>
          <w:color w:val="auto"/>
          <w:u w:val="single"/>
        </w:rPr>
        <w:t>TWO-TIER ARBITRATION CLAUSE</w:t>
      </w:r>
      <w:bookmarkEnd w:id="5"/>
      <w:r w:rsidRPr="00494960">
        <w:rPr>
          <w:rFonts w:ascii="Times New Roman" w:hAnsi="Times New Roman" w:cs="Times New Roman"/>
          <w:b/>
          <w:color w:val="auto"/>
          <w:u w:val="single"/>
        </w:rPr>
        <w:t xml:space="preserve"> </w:t>
      </w:r>
      <w:bookmarkEnd w:id="6"/>
    </w:p>
    <w:p w:rsidR="007F284B" w:rsidRPr="004A54BE" w:rsidRDefault="007F284B" w:rsidP="007F284B"/>
    <w:p w:rsidR="007F284B" w:rsidRPr="00493D10" w:rsidRDefault="007F284B" w:rsidP="007F284B">
      <w:p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Parties to a contract who agree to resolve their contractual disputes in accordance with the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National Arbitral Tribunal (Procedural) Rules</w:t>
      </w:r>
      <w:r w:rsidRPr="00493D10">
        <w:rPr>
          <w:rFonts w:ascii="Times New Roman" w:hAnsi="Times New Roman" w:cs="Times New Roman"/>
          <w:sz w:val="24"/>
          <w:szCs w:val="24"/>
        </w:rPr>
        <w:t xml:space="preserve"> and to have the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National Arbitral Tribunal</w:t>
      </w:r>
      <w:r w:rsidRPr="00493D10">
        <w:rPr>
          <w:rFonts w:ascii="Times New Roman" w:hAnsi="Times New Roman" w:cs="Times New Roman"/>
          <w:sz w:val="24"/>
          <w:szCs w:val="24"/>
        </w:rPr>
        <w:t xml:space="preserve"> act as appointing authority and/or provide administrative services, may use the following clause:</w:t>
      </w:r>
    </w:p>
    <w:p w:rsidR="007F284B" w:rsidRPr="00493D10" w:rsidRDefault="007F284B" w:rsidP="007F284B">
      <w:pPr>
        <w:spacing w:after="200" w:line="360" w:lineRule="auto"/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</w:pPr>
      <w:bookmarkStart w:id="7" w:name="_Hlk488850871"/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“If any dispute arising out of or </w:t>
      </w:r>
      <w:proofErr w:type="gramStart"/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in connection with</w:t>
      </w:r>
      <w:proofErr w:type="gramEnd"/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afore</w:t>
      </w:r>
      <w:r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mentioned </w:t>
      </w:r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contract, including any question regarding its existence, validity or termination, shall be referred to and resolved by arbitration in accordance with the National Arbitral Tribunal (Procedural) Rules. If either party </w:t>
      </w:r>
      <w:proofErr w:type="gramStart"/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>is in disagreement</w:t>
      </w:r>
      <w:proofErr w:type="gramEnd"/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with the arbitration result, either party will have the right to appeal to a second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arbitration within a period of 60 days from the date of arbitration result in accordance with the National</w:t>
      </w:r>
      <w:r w:rsidRPr="00493D10">
        <w:rPr>
          <w:rFonts w:ascii="Times New Roman" w:eastAsiaTheme="minorEastAsia" w:hAnsi="Times New Roman" w:cs="Times New Roman"/>
          <w:color w:val="000000" w:themeColor="text1"/>
          <w:lang w:val="en-IN" w:eastAsia="en-IN"/>
        </w:rPr>
        <w:t xml:space="preserve"> Arbitral Tribunal(Procedural) Rules and the result of this second arbitration shall be final &amp; binding on upon the parties. </w:t>
      </w:r>
    </w:p>
    <w:p w:rsidR="007F284B" w:rsidRPr="00493D10" w:rsidRDefault="007F284B" w:rsidP="007F284B">
      <w:pPr>
        <w:spacing w:after="200" w:line="360" w:lineRule="auto"/>
        <w:rPr>
          <w:rFonts w:ascii="Times New Roman" w:eastAsiaTheme="minorEastAsia" w:hAnsi="Times New Roman" w:cs="Times New Roman"/>
          <w:lang w:val="en-IN" w:eastAsia="en-IN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The Authority to appoint the arbitrator(s) shall be the </w:t>
      </w:r>
      <w:r w:rsidRPr="00493D10">
        <w:rPr>
          <w:rFonts w:ascii="Times New Roman" w:eastAsiaTheme="minorEastAsia" w:hAnsi="Times New Roman" w:cs="Times New Roman"/>
          <w:lang w:val="en-IN" w:eastAsia="en-IN"/>
        </w:rPr>
        <w:t>National Arbitral Tribunal (Procedural) Rules."</w:t>
      </w:r>
    </w:p>
    <w:p w:rsidR="007F284B" w:rsidRPr="00493D10" w:rsidRDefault="007F284B" w:rsidP="007F284B">
      <w:p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Note: Parties may consider </w:t>
      </w:r>
      <w:proofErr w:type="gramStart"/>
      <w:r w:rsidRPr="00493D10">
        <w:rPr>
          <w:rFonts w:ascii="Times New Roman" w:hAnsi="Times New Roman" w:cs="Times New Roman"/>
          <w:sz w:val="24"/>
          <w:szCs w:val="24"/>
        </w:rPr>
        <w:t>to add</w:t>
      </w:r>
      <w:proofErr w:type="gramEnd"/>
      <w:r w:rsidRPr="00493D10">
        <w:rPr>
          <w:rFonts w:ascii="Times New Roman" w:hAnsi="Times New Roman" w:cs="Times New Roman"/>
          <w:sz w:val="24"/>
          <w:szCs w:val="24"/>
        </w:rPr>
        <w:t xml:space="preserve"> the following: - </w:t>
      </w:r>
    </w:p>
    <w:p w:rsidR="007F284B" w:rsidRPr="00493D10" w:rsidRDefault="007F284B" w:rsidP="007F284B">
      <w:pPr>
        <w:pStyle w:val="ListParagraph"/>
        <w:numPr>
          <w:ilvl w:val="0"/>
          <w:numId w:val="3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The number of arbitrator(s) shall be____________ </w:t>
      </w:r>
    </w:p>
    <w:p w:rsidR="007F284B" w:rsidRPr="00493D10" w:rsidRDefault="007F284B" w:rsidP="007F284B">
      <w:pPr>
        <w:pStyle w:val="ListParagraph"/>
        <w:numPr>
          <w:ilvl w:val="0"/>
          <w:numId w:val="3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 xml:space="preserve">The language of the arbitration proceedings shall be ____________ </w:t>
      </w:r>
    </w:p>
    <w:p w:rsidR="007F284B" w:rsidRDefault="007F284B" w:rsidP="007F284B">
      <w:pPr>
        <w:pStyle w:val="ListParagraph"/>
        <w:numPr>
          <w:ilvl w:val="0"/>
          <w:numId w:val="3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 w:rsidRPr="00493D10">
        <w:rPr>
          <w:rFonts w:ascii="Times New Roman" w:hAnsi="Times New Roman" w:cs="Times New Roman"/>
          <w:sz w:val="24"/>
          <w:szCs w:val="24"/>
        </w:rPr>
        <w:t>The p</w:t>
      </w:r>
      <w:r>
        <w:rPr>
          <w:rFonts w:ascii="Times New Roman" w:hAnsi="Times New Roman" w:cs="Times New Roman"/>
          <w:sz w:val="24"/>
          <w:szCs w:val="24"/>
        </w:rPr>
        <w:t xml:space="preserve">lace of arbitration </w:t>
      </w:r>
      <w:r w:rsidRPr="00493D10">
        <w:rPr>
          <w:rFonts w:ascii="Times New Roman" w:hAnsi="Times New Roman" w:cs="Times New Roman"/>
          <w:sz w:val="24"/>
          <w:szCs w:val="24"/>
        </w:rPr>
        <w:t xml:space="preserve">shall be ______________ </w:t>
      </w:r>
    </w:p>
    <w:p w:rsidR="007F284B" w:rsidRPr="00493D10" w:rsidRDefault="007F284B" w:rsidP="007F284B">
      <w:pPr>
        <w:pStyle w:val="ListParagraph"/>
        <w:numPr>
          <w:ilvl w:val="0"/>
          <w:numId w:val="3"/>
        </w:numPr>
        <w:spacing w:after="28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place of appeal to second arbitration shall be ______________</w:t>
      </w:r>
    </w:p>
    <w:bookmarkEnd w:id="7"/>
    <w:p w:rsidR="000D0A44" w:rsidRDefault="00156699"/>
    <w:sectPr w:rsidR="000D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0169"/>
    <w:multiLevelType w:val="hybridMultilevel"/>
    <w:tmpl w:val="C66480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F51"/>
    <w:multiLevelType w:val="hybridMultilevel"/>
    <w:tmpl w:val="535A12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32887"/>
    <w:multiLevelType w:val="hybridMultilevel"/>
    <w:tmpl w:val="C66480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B"/>
    <w:rsid w:val="00156699"/>
    <w:rsid w:val="00172A0B"/>
    <w:rsid w:val="00214213"/>
    <w:rsid w:val="007F284B"/>
    <w:rsid w:val="00D30D2E"/>
    <w:rsid w:val="00F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20D6"/>
  <w15:chartTrackingRefBased/>
  <w15:docId w15:val="{4953C3B6-E0A8-4D4F-AD90-02B572A8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84B"/>
    <w:pPr>
      <w:spacing w:after="0" w:line="240" w:lineRule="auto"/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8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MODEL </vt:lpstr>
      <vt:lpstr>    TWO-TIER ARBITRATION CLAUSE 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Gupta (15 JGLS)</dc:creator>
  <cp:keywords/>
  <dc:description/>
  <cp:lastModifiedBy>Swaraj Gupta (15 JGLS)</cp:lastModifiedBy>
  <cp:revision>3</cp:revision>
  <dcterms:created xsi:type="dcterms:W3CDTF">2017-07-25T10:43:00Z</dcterms:created>
  <dcterms:modified xsi:type="dcterms:W3CDTF">2017-07-26T12:13:00Z</dcterms:modified>
</cp:coreProperties>
</file>