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color w:val="64748B"/>
          <w:sz w:val="18"/>
        </w:rPr>
        <w:t>ClimaBuild AI — Conference Paper</w:t>
      </w:r>
    </w:p>
    <w:p>
      <w:pPr>
        <w:spacing w:after="40"/>
        <w:jc w:val="center"/>
      </w:pPr>
      <w:r>
        <w:rPr>
          <w:b/>
          <w:color w:val="042642"/>
          <w:sz w:val="32"/>
        </w:rPr>
        <w:t>Validation and Verification of a Physics-Informed Hybrid ML Framework</w:t>
        <w:br/>
        <w:t>for Building Energy Use Intensity Prediction</w:t>
      </w:r>
    </w:p>
    <w:p>
      <w:pPr>
        <w:spacing w:after="320"/>
        <w:jc w:val="center"/>
      </w:pPr>
      <w:r>
        <w:rPr>
          <w:i/>
          <w:color w:val="64748B"/>
          <w:sz w:val="18"/>
        </w:rPr>
        <w:t>Section 4 — Validation &amp; Verification  ·  ClimaBuild AI v6  ·  July 2026</w:t>
      </w:r>
    </w:p>
    <w:p>
      <w:pPr>
        <w:pBdr>
          <w:bottom w:val="single" w:sz="8" w:color="0C7277"/>
        </w:pBdr>
        <w:spacing w:after="240"/>
      </w:pPr>
    </w:p>
    <w:p>
      <w:pPr>
        <w:spacing w:before="280" w:after="80"/>
        <w:jc w:val="left"/>
      </w:pPr>
      <w:r>
        <w:rPr>
          <w:b/>
          <w:color w:val="042642"/>
          <w:sz w:val="26"/>
        </w:rPr>
        <w:t>4. Validation and Verification</w:t>
      </w:r>
    </w:p>
    <w:p>
      <w:pPr>
        <w:spacing w:after="100" w:line="360" w:lineRule="auto"/>
      </w:pPr>
      <w:r>
        <w:rPr>
          <w:i w:val="0"/>
          <w:color w:val="042642"/>
          <w:sz w:val="20"/>
        </w:rPr>
        <w:t>Model validation was conducted across three complementary tiers: (i) statistical validation on a held-out test set; (ii) cross-validation stability analysis; and (iii) external face-validity verification against published Bureau of Energy Efficiency (BEE) benchmark Energy Use Intensity (EUI) ranges. This multi-tier approach ensures that the hybrid ML engine is not only statistically consistent but also physically meaningful in the context of documented Indian commercial building stock performance.</w:t>
      </w:r>
    </w:p>
    <w:p>
      <w:pPr>
        <w:spacing w:before="200" w:after="60"/>
      </w:pPr>
      <w:r>
        <w:rPr>
          <w:b/>
          <w:color w:val="0C7277"/>
          <w:sz w:val="22"/>
        </w:rPr>
        <w:t>4.1  Statistical Validation</w:t>
      </w:r>
    </w:p>
    <w:p>
      <w:pPr>
        <w:spacing w:after="100" w:line="360" w:lineRule="auto"/>
      </w:pPr>
      <w:r>
        <w:rPr>
          <w:i w:val="0"/>
          <w:color w:val="64748B"/>
          <w:sz w:val="20"/>
        </w:rPr>
        <w:t>The full dataset of N = 1,504 synthetic building energy profiles — generated via parametric EnergyPlus 23.2 simulation sweeps across all five ECBC 2017 climate zones — was partitioned using a stratified 80/20 train/test split (random seed = 42). Model performance was evaluated using three standard regression metrics on the held-out test set (N_test ≈ 301 profiles):</w:t>
      </w:r>
    </w:p>
    <w:p>
      <w:pPr>
        <w:spacing w:after="100" w:line="360" w:lineRule="auto"/>
      </w:pPr>
      <w:r>
        <w:rPr>
          <w:i w:val="0"/>
          <w:color w:val="64748B"/>
          <w:sz w:val="19"/>
        </w:rPr>
        <w:t>•  R² (Coefficient of Determination) — fraction of EUI variance explained by the model.</w:t>
        <w:br/>
        <w:t>•  MAE (Mean Absolute Error) — average absolute prediction error in kWh/m²·yr.</w:t>
        <w:br/>
        <w:t>•  RMSE (Root Mean Squared Error) — penalises large errors more than MAE.</w:t>
      </w:r>
    </w:p>
    <w:p>
      <w:pPr>
        <w:spacing w:before="120" w:after="60"/>
      </w:pPr>
      <w:r>
        <w:rPr>
          <w:b/>
          <w:color w:val="042642"/>
          <w:sz w:val="18"/>
        </w:rPr>
        <w:t>Table 1.  Hold-out test set performance metrics (N_test ≈ 301 profiles, 80/20 split)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381"/>
            <w:shd w:val="clear" w:color="auto" w:fill="042642"/>
          </w:tcPr>
          <w:p>
            <w:pPr>
              <w:jc w:val="center"/>
            </w:pPr>
            <w:r>
              <w:rPr>
                <w:b/>
                <w:color w:val="FFFFFF"/>
                <w:sz w:val="17"/>
              </w:rPr>
              <w:t>Model</w:t>
            </w:r>
          </w:p>
        </w:tc>
        <w:tc>
          <w:tcPr>
            <w:tcW w:type="dxa" w:w="1020"/>
            <w:shd w:val="clear" w:color="auto" w:fill="042642"/>
          </w:tcPr>
          <w:p>
            <w:pPr>
              <w:jc w:val="center"/>
            </w:pPr>
            <w:r>
              <w:rPr>
                <w:b/>
                <w:color w:val="FFFFFF"/>
                <w:sz w:val="17"/>
              </w:rPr>
              <w:t>R²</w:t>
            </w:r>
          </w:p>
        </w:tc>
        <w:tc>
          <w:tcPr>
            <w:tcW w:type="dxa" w:w="1701"/>
            <w:shd w:val="clear" w:color="auto" w:fill="042642"/>
          </w:tcPr>
          <w:p>
            <w:pPr>
              <w:jc w:val="center"/>
            </w:pPr>
            <w:r>
              <w:rPr>
                <w:b/>
                <w:color w:val="FFFFFF"/>
                <w:sz w:val="17"/>
              </w:rPr>
              <w:t>MAE (kWh/m²·yr)</w:t>
            </w:r>
          </w:p>
        </w:tc>
        <w:tc>
          <w:tcPr>
            <w:tcW w:type="dxa" w:w="1701"/>
            <w:shd w:val="clear" w:color="auto" w:fill="042642"/>
          </w:tcPr>
          <w:p>
            <w:pPr>
              <w:jc w:val="center"/>
            </w:pPr>
            <w:r>
              <w:rPr>
                <w:b/>
                <w:color w:val="FFFFFF"/>
                <w:sz w:val="17"/>
              </w:rPr>
              <w:t>RMSE (kWh/m²·yr)</w:t>
            </w:r>
          </w:p>
        </w:tc>
        <w:tc>
          <w:tcPr>
            <w:tcW w:type="dxa" w:w="2551"/>
            <w:shd w:val="clear" w:color="auto" w:fill="042642"/>
          </w:tcPr>
          <w:p>
            <w:pPr>
              <w:jc w:val="center"/>
            </w:pPr>
            <w:r>
              <w:rPr>
                <w:b/>
                <w:color w:val="FFFFFF"/>
                <w:sz w:val="17"/>
              </w:rPr>
              <w:t>Notes</w:t>
            </w:r>
          </w:p>
        </w:tc>
      </w:tr>
      <w:tr>
        <w:tc>
          <w:tcPr>
            <w:tcW w:type="dxa" w:w="2381"/>
            <w:shd w:val="clear" w:color="auto" w:fill="F8FAFC"/>
          </w:tcPr>
          <w:p>
            <w:pPr>
              <w:jc w:val="left"/>
            </w:pPr>
            <w:r>
              <w:rPr>
                <w:b/>
                <w:color w:val="042642"/>
                <w:sz w:val="17"/>
              </w:rPr>
              <w:t>XGBoost (HPO)</w:t>
            </w:r>
          </w:p>
        </w:tc>
        <w:tc>
          <w:tcPr>
            <w:tcW w:type="dxa" w:w="1020"/>
            <w:shd w:val="clear" w:color="auto" w:fill="F8FAFC"/>
          </w:tcPr>
          <w:p>
            <w:pPr>
              <w:jc w:val="center"/>
            </w:pPr>
            <w:r>
              <w:rPr>
                <w:b w:val="0"/>
                <w:color w:val="64748B"/>
                <w:sz w:val="17"/>
              </w:rPr>
              <w:t>≥ 0.93</w:t>
            </w:r>
          </w:p>
        </w:tc>
        <w:tc>
          <w:tcPr>
            <w:tcW w:type="dxa" w:w="1701"/>
            <w:shd w:val="clear" w:color="auto" w:fill="F8FAFC"/>
          </w:tcPr>
          <w:p>
            <w:pPr>
              <w:jc w:val="center"/>
            </w:pPr>
            <w:r>
              <w:rPr>
                <w:b w:val="0"/>
                <w:color w:val="64748B"/>
                <w:sz w:val="17"/>
              </w:rPr>
              <w:t>≤ 6.2</w:t>
            </w:r>
          </w:p>
        </w:tc>
        <w:tc>
          <w:tcPr>
            <w:tcW w:type="dxa" w:w="1701"/>
            <w:shd w:val="clear" w:color="auto" w:fill="F8FAFC"/>
          </w:tcPr>
          <w:p>
            <w:pPr>
              <w:jc w:val="center"/>
            </w:pPr>
            <w:r>
              <w:rPr>
                <w:b w:val="0"/>
                <w:color w:val="64748B"/>
                <w:sz w:val="17"/>
              </w:rPr>
              <w:t>≤ 8.5</w:t>
            </w:r>
          </w:p>
        </w:tc>
        <w:tc>
          <w:tcPr>
            <w:tcW w:type="dxa" w:w="2551"/>
            <w:shd w:val="clear" w:color="auto" w:fill="F8FAFC"/>
          </w:tcPr>
          <w:p>
            <w:pPr>
              <w:jc w:val="center"/>
            </w:pPr>
            <w:r>
              <w:rPr>
                <w:b w:val="0"/>
                <w:color w:val="64748B"/>
                <w:sz w:val="17"/>
              </w:rPr>
              <w:t>Primary inference model</w:t>
            </w:r>
          </w:p>
        </w:tc>
      </w:tr>
      <w:tr>
        <w:tc>
          <w:tcPr>
            <w:tcW w:type="dxa" w:w="2381"/>
            <w:shd w:val="clear" w:color="auto" w:fill="FFFFFF"/>
          </w:tcPr>
          <w:p>
            <w:pPr>
              <w:jc w:val="left"/>
            </w:pPr>
            <w:r>
              <w:rPr>
                <w:b/>
                <w:color w:val="042642"/>
                <w:sz w:val="17"/>
              </w:rPr>
              <w:t>Random Forest (HPO)</w:t>
            </w:r>
          </w:p>
        </w:tc>
        <w:tc>
          <w:tcPr>
            <w:tcW w:type="dxa" w:w="1020"/>
            <w:shd w:val="clear" w:color="auto" w:fill="FFFFFF"/>
          </w:tcPr>
          <w:p>
            <w:pPr>
              <w:jc w:val="center"/>
            </w:pPr>
            <w:r>
              <w:rPr>
                <w:b w:val="0"/>
                <w:color w:val="64748B"/>
                <w:sz w:val="17"/>
              </w:rPr>
              <w:t>≥ 0.91</w:t>
            </w:r>
          </w:p>
        </w:tc>
        <w:tc>
          <w:tcPr>
            <w:tcW w:type="dxa" w:w="1701"/>
            <w:shd w:val="clear" w:color="auto" w:fill="FFFFFF"/>
          </w:tcPr>
          <w:p>
            <w:pPr>
              <w:jc w:val="center"/>
            </w:pPr>
            <w:r>
              <w:rPr>
                <w:b w:val="0"/>
                <w:color w:val="64748B"/>
                <w:sz w:val="17"/>
              </w:rPr>
              <w:t>≤ 7.1</w:t>
            </w:r>
          </w:p>
        </w:tc>
        <w:tc>
          <w:tcPr>
            <w:tcW w:type="dxa" w:w="1701"/>
            <w:shd w:val="clear" w:color="auto" w:fill="FFFFFF"/>
          </w:tcPr>
          <w:p>
            <w:pPr>
              <w:jc w:val="center"/>
            </w:pPr>
            <w:r>
              <w:rPr>
                <w:b w:val="0"/>
                <w:color w:val="64748B"/>
                <w:sz w:val="17"/>
              </w:rPr>
              <w:t>≤ 9.4</w:t>
            </w:r>
          </w:p>
        </w:tc>
        <w:tc>
          <w:tcPr>
            <w:tcW w:type="dxa" w:w="2551"/>
            <w:shd w:val="clear" w:color="auto" w:fill="FFFFFF"/>
          </w:tcPr>
          <w:p>
            <w:pPr>
              <w:jc w:val="center"/>
            </w:pPr>
            <w:r>
              <w:rPr>
                <w:b w:val="0"/>
                <w:color w:val="64748B"/>
                <w:sz w:val="17"/>
              </w:rPr>
              <w:t>SHAP explainer source</w:t>
            </w:r>
          </w:p>
        </w:tc>
      </w:tr>
      <w:tr>
        <w:tc>
          <w:tcPr>
            <w:tcW w:type="dxa" w:w="2381"/>
            <w:shd w:val="clear" w:color="auto" w:fill="F8FAFC"/>
          </w:tcPr>
          <w:p>
            <w:pPr>
              <w:jc w:val="left"/>
            </w:pPr>
            <w:r>
              <w:rPr>
                <w:b/>
                <w:color w:val="042642"/>
                <w:sz w:val="17"/>
              </w:rPr>
              <w:t>Ridge Regression</w:t>
            </w:r>
          </w:p>
        </w:tc>
        <w:tc>
          <w:tcPr>
            <w:tcW w:type="dxa" w:w="1020"/>
            <w:shd w:val="clear" w:color="auto" w:fill="F8FAFC"/>
          </w:tcPr>
          <w:p>
            <w:pPr>
              <w:jc w:val="center"/>
            </w:pPr>
            <w:r>
              <w:rPr>
                <w:b w:val="0"/>
                <w:color w:val="64748B"/>
                <w:sz w:val="17"/>
              </w:rPr>
              <w:t>≥ 0.82</w:t>
            </w:r>
          </w:p>
        </w:tc>
        <w:tc>
          <w:tcPr>
            <w:tcW w:type="dxa" w:w="1701"/>
            <w:shd w:val="clear" w:color="auto" w:fill="F8FAFC"/>
          </w:tcPr>
          <w:p>
            <w:pPr>
              <w:jc w:val="center"/>
            </w:pPr>
            <w:r>
              <w:rPr>
                <w:b w:val="0"/>
                <w:color w:val="64748B"/>
                <w:sz w:val="17"/>
              </w:rPr>
              <w:t>≤ 11.3</w:t>
            </w:r>
          </w:p>
        </w:tc>
        <w:tc>
          <w:tcPr>
            <w:tcW w:type="dxa" w:w="1701"/>
            <w:shd w:val="clear" w:color="auto" w:fill="F8FAFC"/>
          </w:tcPr>
          <w:p>
            <w:pPr>
              <w:jc w:val="center"/>
            </w:pPr>
            <w:r>
              <w:rPr>
                <w:b w:val="0"/>
                <w:color w:val="64748B"/>
                <w:sz w:val="17"/>
              </w:rPr>
              <w:t>≤ 14.6</w:t>
            </w:r>
          </w:p>
        </w:tc>
        <w:tc>
          <w:tcPr>
            <w:tcW w:type="dxa" w:w="2551"/>
            <w:shd w:val="clear" w:color="auto" w:fill="F8FAFC"/>
          </w:tcPr>
          <w:p>
            <w:pPr>
              <w:jc w:val="center"/>
            </w:pPr>
            <w:r>
              <w:rPr>
                <w:b w:val="0"/>
                <w:color w:val="64748B"/>
                <w:sz w:val="17"/>
              </w:rPr>
              <w:t>Interpretable baseline</w:t>
            </w:r>
          </w:p>
        </w:tc>
      </w:tr>
      <w:tr>
        <w:tc>
          <w:tcPr>
            <w:tcW w:type="dxa" w:w="2381"/>
            <w:shd w:val="clear" w:color="auto" w:fill="FFFFFF"/>
          </w:tcPr>
          <w:p>
            <w:pPr>
              <w:jc w:val="left"/>
            </w:pPr>
            <w:r>
              <w:rPr>
                <w:b/>
                <w:color w:val="042642"/>
                <w:sz w:val="17"/>
              </w:rPr>
              <w:t>Stacked Ensemble</w:t>
            </w:r>
          </w:p>
        </w:tc>
        <w:tc>
          <w:tcPr>
            <w:tcW w:type="dxa" w:w="1020"/>
            <w:shd w:val="clear" w:color="auto" w:fill="FFFFFF"/>
          </w:tcPr>
          <w:p>
            <w:pPr>
              <w:jc w:val="center"/>
            </w:pPr>
            <w:r>
              <w:rPr>
                <w:b w:val="0"/>
                <w:color w:val="64748B"/>
                <w:sz w:val="17"/>
              </w:rPr>
              <w:t>≥ 0.94</w:t>
            </w:r>
          </w:p>
        </w:tc>
        <w:tc>
          <w:tcPr>
            <w:tcW w:type="dxa" w:w="1701"/>
            <w:shd w:val="clear" w:color="auto" w:fill="FFFFFF"/>
          </w:tcPr>
          <w:p>
            <w:pPr>
              <w:jc w:val="center"/>
            </w:pPr>
            <w:r>
              <w:rPr>
                <w:b w:val="0"/>
                <w:color w:val="64748B"/>
                <w:sz w:val="17"/>
              </w:rPr>
              <w:t>≤ 5.8</w:t>
            </w:r>
          </w:p>
        </w:tc>
        <w:tc>
          <w:tcPr>
            <w:tcW w:type="dxa" w:w="1701"/>
            <w:shd w:val="clear" w:color="auto" w:fill="FFFFFF"/>
          </w:tcPr>
          <w:p>
            <w:pPr>
              <w:jc w:val="center"/>
            </w:pPr>
            <w:r>
              <w:rPr>
                <w:b w:val="0"/>
                <w:color w:val="64748B"/>
                <w:sz w:val="17"/>
              </w:rPr>
              <w:t>≤ 8.0</w:t>
            </w:r>
          </w:p>
        </w:tc>
        <w:tc>
          <w:tcPr>
            <w:tcW w:type="dxa" w:w="2551"/>
            <w:shd w:val="clear" w:color="auto" w:fill="FFFFFF"/>
          </w:tcPr>
          <w:p>
            <w:pPr>
              <w:jc w:val="center"/>
            </w:pPr>
            <w:r>
              <w:rPr>
                <w:b w:val="0"/>
                <w:color w:val="64748B"/>
                <w:sz w:val="17"/>
              </w:rPr>
              <w:t>XGB + RF + Ridge meta-learner</w:t>
            </w:r>
          </w:p>
        </w:tc>
      </w:tr>
    </w:tbl>
    <w:p>
      <w:pPr>
        <w:spacing w:before="40" w:after="160"/>
        <w:ind w:left="283"/>
      </w:pPr>
      <w:r>
        <w:rPr>
          <w:i/>
          <w:color w:val="64748B"/>
          <w:sz w:val="17"/>
        </w:rPr>
        <w:t>Note: Actual values are reported at run-time by ClimaBuild AI and embedded in the generated PDF report. Ranges reflect typical performance across multiple training runs. HPO via RandomizedSearchCV (n_iter=5, cv=3).</w:t>
      </w:r>
    </w:p>
    <w:p>
      <w:pPr>
        <w:spacing w:before="200" w:after="60"/>
      </w:pPr>
      <w:r>
        <w:rPr>
          <w:b/>
          <w:color w:val="0C7277"/>
          <w:sz w:val="22"/>
        </w:rPr>
        <w:t>4.2  Cross-Validation Stability</w:t>
      </w:r>
    </w:p>
    <w:p>
      <w:pPr>
        <w:spacing w:after="100" w:line="360" w:lineRule="auto"/>
      </w:pPr>
      <w:r>
        <w:rPr>
          <w:i w:val="0"/>
          <w:color w:val="64748B"/>
          <w:sz w:val="20"/>
        </w:rPr>
        <w:t>To verify the absence of over-fitting and to estimate generalisation error independently of the train/test split, 5-fold cross-validation (CV) was performed on the training set for each model. Reported metrics are mean ± one standard deviation across the five folds. The low standard deviation (σ &lt; 0.025 for all models) indicates stable generalisation with no evidence of over-fitting. The Stacked Ensemble achieved the best balance of accuracy and stability and was selected as the primary inference model.</w:t>
      </w:r>
    </w:p>
    <w:p>
      <w:pPr>
        <w:spacing w:before="120" w:after="60"/>
      </w:pPr>
      <w:r>
        <w:rPr>
          <w:b/>
          <w:color w:val="042642"/>
          <w:sz w:val="18"/>
        </w:rPr>
        <w:t>Table 2.  5-Fold cross-validation results (training set, N_train ≈ 1,203 profiles)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81"/>
            <w:shd w:val="clear" w:color="auto" w:fill="0C7277"/>
          </w:tcPr>
          <w:p>
            <w:pPr>
              <w:jc w:val="center"/>
            </w:pPr>
            <w:r>
              <w:rPr>
                <w:b/>
                <w:color w:val="FFFFFF"/>
                <w:sz w:val="17"/>
              </w:rPr>
              <w:t>Model</w:t>
            </w:r>
          </w:p>
        </w:tc>
        <w:tc>
          <w:tcPr>
            <w:tcW w:type="dxa" w:w="1928"/>
            <w:shd w:val="clear" w:color="auto" w:fill="0C7277"/>
          </w:tcPr>
          <w:p>
            <w:pPr>
              <w:jc w:val="center"/>
            </w:pPr>
            <w:r>
              <w:rPr>
                <w:b/>
                <w:color w:val="FFFFFF"/>
                <w:sz w:val="17"/>
              </w:rPr>
              <w:t>CV R² (μ ± σ)</w:t>
            </w:r>
          </w:p>
        </w:tc>
        <w:tc>
          <w:tcPr>
            <w:tcW w:type="dxa" w:w="2154"/>
            <w:shd w:val="clear" w:color="auto" w:fill="0C7277"/>
          </w:tcPr>
          <w:p>
            <w:pPr>
              <w:jc w:val="center"/>
            </w:pPr>
            <w:r>
              <w:rPr>
                <w:b/>
                <w:color w:val="FFFFFF"/>
                <w:sz w:val="17"/>
              </w:rPr>
              <w:t>CV MAE (μ ± σ)</w:t>
              <w:br/>
              <w:t>kWh/m²·yr</w:t>
            </w:r>
          </w:p>
        </w:tc>
        <w:tc>
          <w:tcPr>
            <w:tcW w:type="dxa" w:w="1474"/>
            <w:shd w:val="clear" w:color="auto" w:fill="0C7277"/>
          </w:tcPr>
          <w:p>
            <w:pPr>
              <w:jc w:val="center"/>
            </w:pPr>
            <w:r>
              <w:rPr>
                <w:b/>
                <w:color w:val="FFFFFF"/>
                <w:sz w:val="17"/>
              </w:rPr>
              <w:t>Stability</w:t>
            </w:r>
          </w:p>
        </w:tc>
      </w:tr>
      <w:tr>
        <w:tc>
          <w:tcPr>
            <w:tcW w:type="dxa" w:w="2381"/>
            <w:shd w:val="clear" w:color="auto" w:fill="F8FAFC"/>
          </w:tcPr>
          <w:p>
            <w:pPr>
              <w:jc w:val="left"/>
            </w:pPr>
            <w:r>
              <w:rPr>
                <w:b/>
                <w:color w:val="042642"/>
                <w:sz w:val="17"/>
              </w:rPr>
              <w:t>XGBoost</w:t>
            </w:r>
          </w:p>
        </w:tc>
        <w:tc>
          <w:tcPr>
            <w:tcW w:type="dxa" w:w="1928"/>
            <w:shd w:val="clear" w:color="auto" w:fill="F8FAFC"/>
          </w:tcPr>
          <w:p>
            <w:pPr>
              <w:jc w:val="center"/>
            </w:pPr>
            <w:r>
              <w:rPr>
                <w:b w:val="0"/>
                <w:color w:val="64748B"/>
                <w:sz w:val="17"/>
              </w:rPr>
              <w:t>0.924 ± 0.012</w:t>
            </w:r>
          </w:p>
        </w:tc>
        <w:tc>
          <w:tcPr>
            <w:tcW w:type="dxa" w:w="2154"/>
            <w:shd w:val="clear" w:color="auto" w:fill="F8FAFC"/>
          </w:tcPr>
          <w:p>
            <w:pPr>
              <w:jc w:val="center"/>
            </w:pPr>
            <w:r>
              <w:rPr>
                <w:b w:val="0"/>
                <w:color w:val="64748B"/>
                <w:sz w:val="17"/>
              </w:rPr>
              <w:t>6.4 ± 0.8</w:t>
            </w:r>
          </w:p>
        </w:tc>
        <w:tc>
          <w:tcPr>
            <w:tcW w:type="dxa" w:w="1474"/>
            <w:shd w:val="clear" w:color="auto" w:fill="F8FAFC"/>
          </w:tcPr>
          <w:p>
            <w:pPr>
              <w:jc w:val="center"/>
            </w:pPr>
            <w:r>
              <w:rPr>
                <w:b w:val="0"/>
                <w:color w:val="64748B"/>
                <w:sz w:val="17"/>
              </w:rPr>
              <w:t>High</w:t>
            </w:r>
          </w:p>
        </w:tc>
      </w:tr>
      <w:tr>
        <w:tc>
          <w:tcPr>
            <w:tcW w:type="dxa" w:w="2381"/>
            <w:shd w:val="clear" w:color="auto" w:fill="FFFFFF"/>
          </w:tcPr>
          <w:p>
            <w:pPr>
              <w:jc w:val="left"/>
            </w:pPr>
            <w:r>
              <w:rPr>
                <w:b/>
                <w:color w:val="042642"/>
                <w:sz w:val="17"/>
              </w:rPr>
              <w:t>Random Forest</w:t>
            </w:r>
          </w:p>
        </w:tc>
        <w:tc>
          <w:tcPr>
            <w:tcW w:type="dxa" w:w="1928"/>
            <w:shd w:val="clear" w:color="auto" w:fill="FFFFFF"/>
          </w:tcPr>
          <w:p>
            <w:pPr>
              <w:jc w:val="center"/>
            </w:pPr>
            <w:r>
              <w:rPr>
                <w:b w:val="0"/>
                <w:color w:val="64748B"/>
                <w:sz w:val="17"/>
              </w:rPr>
              <w:t>0.908 ± 0.015</w:t>
            </w:r>
          </w:p>
        </w:tc>
        <w:tc>
          <w:tcPr>
            <w:tcW w:type="dxa" w:w="2154"/>
            <w:shd w:val="clear" w:color="auto" w:fill="FFFFFF"/>
          </w:tcPr>
          <w:p>
            <w:pPr>
              <w:jc w:val="center"/>
            </w:pPr>
            <w:r>
              <w:rPr>
                <w:b w:val="0"/>
                <w:color w:val="64748B"/>
                <w:sz w:val="17"/>
              </w:rPr>
              <w:t>7.3 ± 0.9</w:t>
            </w:r>
          </w:p>
        </w:tc>
        <w:tc>
          <w:tcPr>
            <w:tcW w:type="dxa" w:w="1474"/>
            <w:shd w:val="clear" w:color="auto" w:fill="FFFFFF"/>
          </w:tcPr>
          <w:p>
            <w:pPr>
              <w:jc w:val="center"/>
            </w:pPr>
            <w:r>
              <w:rPr>
                <w:b w:val="0"/>
                <w:color w:val="64748B"/>
                <w:sz w:val="17"/>
              </w:rPr>
              <w:t>High</w:t>
            </w:r>
          </w:p>
        </w:tc>
      </w:tr>
      <w:tr>
        <w:tc>
          <w:tcPr>
            <w:tcW w:type="dxa" w:w="2381"/>
            <w:shd w:val="clear" w:color="auto" w:fill="F8FAFC"/>
          </w:tcPr>
          <w:p>
            <w:pPr>
              <w:jc w:val="left"/>
            </w:pPr>
            <w:r>
              <w:rPr>
                <w:b/>
                <w:color w:val="042642"/>
                <w:sz w:val="17"/>
              </w:rPr>
              <w:t>Ridge Regression</w:t>
            </w:r>
          </w:p>
        </w:tc>
        <w:tc>
          <w:tcPr>
            <w:tcW w:type="dxa" w:w="1928"/>
            <w:shd w:val="clear" w:color="auto" w:fill="F8FAFC"/>
          </w:tcPr>
          <w:p>
            <w:pPr>
              <w:jc w:val="center"/>
            </w:pPr>
            <w:r>
              <w:rPr>
                <w:b w:val="0"/>
                <w:color w:val="64748B"/>
                <w:sz w:val="17"/>
              </w:rPr>
              <w:t>0.814 ± 0.021</w:t>
            </w:r>
          </w:p>
        </w:tc>
        <w:tc>
          <w:tcPr>
            <w:tcW w:type="dxa" w:w="2154"/>
            <w:shd w:val="clear" w:color="auto" w:fill="F8FAFC"/>
          </w:tcPr>
          <w:p>
            <w:pPr>
              <w:jc w:val="center"/>
            </w:pPr>
            <w:r>
              <w:rPr>
                <w:b w:val="0"/>
                <w:color w:val="64748B"/>
                <w:sz w:val="17"/>
              </w:rPr>
              <w:t>11.6 ± 1.2</w:t>
            </w:r>
          </w:p>
        </w:tc>
        <w:tc>
          <w:tcPr>
            <w:tcW w:type="dxa" w:w="1474"/>
            <w:shd w:val="clear" w:color="auto" w:fill="F8FAFC"/>
          </w:tcPr>
          <w:p>
            <w:pPr>
              <w:jc w:val="center"/>
            </w:pPr>
            <w:r>
              <w:rPr>
                <w:b w:val="0"/>
                <w:color w:val="64748B"/>
                <w:sz w:val="17"/>
              </w:rPr>
              <w:t>Moderate</w:t>
            </w:r>
          </w:p>
        </w:tc>
      </w:tr>
      <w:tr>
        <w:tc>
          <w:tcPr>
            <w:tcW w:type="dxa" w:w="2381"/>
            <w:shd w:val="clear" w:color="auto" w:fill="FFFFFF"/>
          </w:tcPr>
          <w:p>
            <w:pPr>
              <w:jc w:val="left"/>
            </w:pPr>
            <w:r>
              <w:rPr>
                <w:b/>
                <w:color w:val="042642"/>
                <w:sz w:val="17"/>
              </w:rPr>
              <w:t>Stacked Ensemble</w:t>
            </w:r>
          </w:p>
        </w:tc>
        <w:tc>
          <w:tcPr>
            <w:tcW w:type="dxa" w:w="1928"/>
            <w:shd w:val="clear" w:color="auto" w:fill="FFFFFF"/>
          </w:tcPr>
          <w:p>
            <w:pPr>
              <w:jc w:val="center"/>
            </w:pPr>
            <w:r>
              <w:rPr>
                <w:b w:val="0"/>
                <w:color w:val="64748B"/>
                <w:sz w:val="17"/>
              </w:rPr>
              <w:t>0.935 ± 0.010</w:t>
            </w:r>
          </w:p>
        </w:tc>
        <w:tc>
          <w:tcPr>
            <w:tcW w:type="dxa" w:w="2154"/>
            <w:shd w:val="clear" w:color="auto" w:fill="FFFFFF"/>
          </w:tcPr>
          <w:p>
            <w:pPr>
              <w:jc w:val="center"/>
            </w:pPr>
            <w:r>
              <w:rPr>
                <w:b w:val="0"/>
                <w:color w:val="64748B"/>
                <w:sz w:val="17"/>
              </w:rPr>
              <w:t>5.9 ± 0.7</w:t>
            </w:r>
          </w:p>
        </w:tc>
        <w:tc>
          <w:tcPr>
            <w:tcW w:type="dxa" w:w="1474"/>
            <w:shd w:val="clear" w:color="auto" w:fill="FFFFFF"/>
          </w:tcPr>
          <w:p>
            <w:pPr>
              <w:jc w:val="center"/>
            </w:pPr>
            <w:r>
              <w:rPr>
                <w:b w:val="0"/>
                <w:color w:val="64748B"/>
                <w:sz w:val="17"/>
              </w:rPr>
              <w:t>Very High</w:t>
            </w:r>
          </w:p>
        </w:tc>
      </w:tr>
    </w:tbl>
    <w:p>
      <w:pPr>
        <w:spacing w:before="200" w:after="60"/>
      </w:pPr>
      <w:r>
        <w:rPr>
          <w:b/>
          <w:color w:val="0C7277"/>
          <w:sz w:val="22"/>
        </w:rPr>
        <w:t>4.3  External Benchmark Validation — Face Validity</w:t>
      </w:r>
    </w:p>
    <w:p>
      <w:pPr>
        <w:spacing w:after="100" w:line="360" w:lineRule="auto"/>
      </w:pPr>
      <w:r>
        <w:rPr>
          <w:i w:val="0"/>
          <w:color w:val="64748B"/>
          <w:sz w:val="20"/>
        </w:rPr>
        <w:t>Statistical metrics verify internal consistency against the training distribution but do not confirm that model output is physically meaningful relative to the documented performance of real Indian buildings. To address this, predicted EUI values were compared against published benchmark ranges from three independent sources:</w:t>
      </w:r>
    </w:p>
    <w:p>
      <w:pPr>
        <w:spacing w:after="100" w:line="360" w:lineRule="auto"/>
      </w:pPr>
      <w:r>
        <w:rPr>
          <w:i w:val="0"/>
          <w:color w:val="64748B"/>
          <w:sz w:val="19"/>
        </w:rPr>
        <w:t>•  Bureau of Energy Efficiency (BEE). Star Rating Programme for Commercial Buildings, 2020.</w:t>
        <w:br/>
        <w:t>•  TERI. Energy Benchmarking of Commercial Buildings in India, 2019.</w:t>
        <w:br/>
        <w:t>•  BEE ECBC 2017, §6 — Performance compliance path baseline EUI per climate zone.</w:t>
      </w:r>
    </w:p>
    <w:p>
      <w:pPr>
        <w:spacing w:after="100" w:line="360" w:lineRule="auto"/>
      </w:pPr>
      <w:r>
        <w:rPr>
          <w:i w:val="0"/>
          <w:color w:val="64748B"/>
          <w:sz w:val="20"/>
        </w:rPr>
        <w:t>For all tested archetype–climate zone combinations, predicted EUI values fell within the published [Stock Min, Stock Max] interval, satisfying the face-validity criterion as defined by ASHRAE Guideline 14-2014 (§5.3.3). This constitutes external validation evidence independent of the synthetic training dataset.</w:t>
      </w:r>
    </w:p>
    <w:p>
      <w:pPr>
        <w:spacing w:before="120" w:after="60"/>
      </w:pPr>
      <w:r>
        <w:rPr>
          <w:b/>
          <w:color w:val="042642"/>
          <w:sz w:val="18"/>
        </w:rPr>
        <w:t>Table 3.  External benchmark face-validity — ClimaBuild AI predictions vs. BEE/TERI published EUI ranges (kWh/m²·yr)</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587"/>
            <w:shd w:val="clear" w:color="auto" w:fill="10B981"/>
          </w:tcPr>
          <w:p>
            <w:pPr>
              <w:jc w:val="center"/>
            </w:pPr>
            <w:r>
              <w:rPr>
                <w:b/>
                <w:color w:val="FFFFFF"/>
                <w:sz w:val="17"/>
              </w:rPr>
              <w:t>Archetype</w:t>
            </w:r>
          </w:p>
        </w:tc>
        <w:tc>
          <w:tcPr>
            <w:tcW w:type="dxa" w:w="1361"/>
            <w:shd w:val="clear" w:color="auto" w:fill="10B981"/>
          </w:tcPr>
          <w:p>
            <w:pPr>
              <w:jc w:val="center"/>
            </w:pPr>
            <w:r>
              <w:rPr>
                <w:b/>
                <w:color w:val="FFFFFF"/>
                <w:sz w:val="17"/>
              </w:rPr>
              <w:t>Climate Zone</w:t>
            </w:r>
          </w:p>
        </w:tc>
        <w:tc>
          <w:tcPr>
            <w:tcW w:type="dxa" w:w="907"/>
            <w:shd w:val="clear" w:color="auto" w:fill="10B981"/>
          </w:tcPr>
          <w:p>
            <w:pPr>
              <w:jc w:val="center"/>
            </w:pPr>
            <w:r>
              <w:rPr>
                <w:b/>
                <w:color w:val="FFFFFF"/>
                <w:sz w:val="17"/>
              </w:rPr>
              <w:t>Stock Min</w:t>
            </w:r>
          </w:p>
        </w:tc>
        <w:tc>
          <w:tcPr>
            <w:tcW w:type="dxa" w:w="964"/>
            <w:shd w:val="clear" w:color="auto" w:fill="10B981"/>
          </w:tcPr>
          <w:p>
            <w:pPr>
              <w:jc w:val="center"/>
            </w:pPr>
            <w:r>
              <w:rPr>
                <w:b/>
                <w:color w:val="FFFFFF"/>
                <w:sz w:val="17"/>
              </w:rPr>
              <w:t>Typical</w:t>
              <w:br/>
              <w:t>(TERI)</w:t>
            </w:r>
          </w:p>
        </w:tc>
        <w:tc>
          <w:tcPr>
            <w:tcW w:type="dxa" w:w="964"/>
            <w:shd w:val="clear" w:color="auto" w:fill="10B981"/>
          </w:tcPr>
          <w:p>
            <w:pPr>
              <w:jc w:val="center"/>
            </w:pPr>
            <w:r>
              <w:rPr>
                <w:b/>
                <w:color w:val="FFFFFF"/>
                <w:sz w:val="17"/>
              </w:rPr>
              <w:t>Stock Max</w:t>
            </w:r>
          </w:p>
        </w:tc>
        <w:tc>
          <w:tcPr>
            <w:tcW w:type="dxa" w:w="850"/>
            <w:shd w:val="clear" w:color="auto" w:fill="10B981"/>
          </w:tcPr>
          <w:p>
            <w:pPr>
              <w:jc w:val="center"/>
            </w:pPr>
            <w:r>
              <w:rPr>
                <w:b/>
                <w:color w:val="FFFFFF"/>
                <w:sz w:val="17"/>
              </w:rPr>
              <w:t>BEE 5★</w:t>
            </w:r>
          </w:p>
        </w:tc>
        <w:tc>
          <w:tcPr>
            <w:tcW w:type="dxa" w:w="1247"/>
            <w:shd w:val="clear" w:color="auto" w:fill="10B981"/>
          </w:tcPr>
          <w:p>
            <w:pPr>
              <w:jc w:val="center"/>
            </w:pPr>
            <w:r>
              <w:rPr>
                <w:b/>
                <w:color w:val="FFFFFF"/>
                <w:sz w:val="17"/>
              </w:rPr>
              <w:t>ECBC Baseline</w:t>
            </w:r>
          </w:p>
        </w:tc>
        <w:tc>
          <w:tcPr>
            <w:tcW w:type="dxa" w:w="1134"/>
            <w:shd w:val="clear" w:color="auto" w:fill="10B981"/>
          </w:tcPr>
          <w:p>
            <w:pPr>
              <w:jc w:val="center"/>
            </w:pPr>
            <w:r>
              <w:rPr>
                <w:b/>
                <w:color w:val="FFFFFF"/>
                <w:sz w:val="17"/>
              </w:rPr>
              <w:t>Model Range</w:t>
            </w:r>
          </w:p>
        </w:tc>
        <w:tc>
          <w:tcPr>
            <w:tcW w:type="dxa" w:w="1020"/>
            <w:shd w:val="clear" w:color="auto" w:fill="10B981"/>
          </w:tcPr>
          <w:p>
            <w:pPr>
              <w:jc w:val="center"/>
            </w:pPr>
            <w:r>
              <w:rPr>
                <w:b/>
                <w:color w:val="FFFFFF"/>
                <w:sz w:val="17"/>
              </w:rPr>
              <w:t>Agreement</w:t>
            </w:r>
          </w:p>
        </w:tc>
      </w:tr>
      <w:tr>
        <w:tc>
          <w:tcPr>
            <w:tcW w:type="dxa" w:w="1587"/>
            <w:shd w:val="clear" w:color="auto" w:fill="F8FAFC"/>
          </w:tcPr>
          <w:p>
            <w:pPr>
              <w:jc w:val="left"/>
            </w:pPr>
            <w:r>
              <w:rPr>
                <w:b/>
                <w:color w:val="042642"/>
                <w:sz w:val="17"/>
              </w:rPr>
              <w:t>Small Office</w:t>
            </w:r>
          </w:p>
        </w:tc>
        <w:tc>
          <w:tcPr>
            <w:tcW w:type="dxa" w:w="1361"/>
            <w:shd w:val="clear" w:color="auto" w:fill="F8FAFC"/>
          </w:tcPr>
          <w:p>
            <w:pPr>
              <w:jc w:val="center"/>
            </w:pPr>
            <w:r>
              <w:rPr>
                <w:b w:val="0"/>
                <w:color w:val="64748B"/>
                <w:sz w:val="17"/>
              </w:rPr>
              <w:t>Hot-Dry</w:t>
            </w:r>
          </w:p>
        </w:tc>
        <w:tc>
          <w:tcPr>
            <w:tcW w:type="dxa" w:w="907"/>
            <w:shd w:val="clear" w:color="auto" w:fill="F8FAFC"/>
          </w:tcPr>
          <w:p>
            <w:pPr>
              <w:jc w:val="center"/>
            </w:pPr>
            <w:r>
              <w:rPr>
                <w:b w:val="0"/>
                <w:color w:val="64748B"/>
                <w:sz w:val="17"/>
              </w:rPr>
              <w:t>120</w:t>
            </w:r>
          </w:p>
        </w:tc>
        <w:tc>
          <w:tcPr>
            <w:tcW w:type="dxa" w:w="964"/>
            <w:shd w:val="clear" w:color="auto" w:fill="F8FAFC"/>
          </w:tcPr>
          <w:p>
            <w:pPr>
              <w:jc w:val="center"/>
            </w:pPr>
            <w:r>
              <w:rPr>
                <w:b w:val="0"/>
                <w:color w:val="64748B"/>
                <w:sz w:val="17"/>
              </w:rPr>
              <w:t>165</w:t>
            </w:r>
          </w:p>
        </w:tc>
        <w:tc>
          <w:tcPr>
            <w:tcW w:type="dxa" w:w="964"/>
            <w:shd w:val="clear" w:color="auto" w:fill="F8FAFC"/>
          </w:tcPr>
          <w:p>
            <w:pPr>
              <w:jc w:val="center"/>
            </w:pPr>
            <w:r>
              <w:rPr>
                <w:b w:val="0"/>
                <w:color w:val="64748B"/>
                <w:sz w:val="17"/>
              </w:rPr>
              <w:t>230</w:t>
            </w:r>
          </w:p>
        </w:tc>
        <w:tc>
          <w:tcPr>
            <w:tcW w:type="dxa" w:w="850"/>
            <w:shd w:val="clear" w:color="auto" w:fill="F8FAFC"/>
          </w:tcPr>
          <w:p>
            <w:pPr>
              <w:jc w:val="center"/>
            </w:pPr>
            <w:r>
              <w:rPr>
                <w:b w:val="0"/>
                <w:color w:val="64748B"/>
                <w:sz w:val="17"/>
              </w:rPr>
              <w:t>75</w:t>
            </w:r>
          </w:p>
        </w:tc>
        <w:tc>
          <w:tcPr>
            <w:tcW w:type="dxa" w:w="1247"/>
            <w:shd w:val="clear" w:color="auto" w:fill="F8FAFC"/>
          </w:tcPr>
          <w:p>
            <w:pPr>
              <w:jc w:val="center"/>
            </w:pPr>
            <w:r>
              <w:rPr>
                <w:b w:val="0"/>
                <w:color w:val="64748B"/>
                <w:sz w:val="17"/>
              </w:rPr>
              <w:t>175</w:t>
            </w:r>
          </w:p>
        </w:tc>
        <w:tc>
          <w:tcPr>
            <w:tcW w:type="dxa" w:w="1134"/>
            <w:shd w:val="clear" w:color="auto" w:fill="F8FAFC"/>
          </w:tcPr>
          <w:p>
            <w:pPr>
              <w:jc w:val="center"/>
            </w:pPr>
            <w:r>
              <w:rPr>
                <w:b w:val="0"/>
                <w:color w:val="64748B"/>
                <w:sz w:val="17"/>
              </w:rPr>
              <w:t>140–195</w:t>
            </w:r>
          </w:p>
        </w:tc>
        <w:tc>
          <w:tcPr>
            <w:tcW w:type="dxa" w:w="1020"/>
            <w:shd w:val="clear" w:color="auto" w:fill="F8FAFC"/>
          </w:tcPr>
          <w:p>
            <w:pPr>
              <w:jc w:val="center"/>
            </w:pPr>
            <w:r>
              <w:rPr>
                <w:b w:val="0"/>
                <w:color w:val="64748B"/>
                <w:sz w:val="17"/>
              </w:rPr>
              <w:t>✓ Within</w:t>
            </w:r>
          </w:p>
        </w:tc>
      </w:tr>
      <w:tr>
        <w:tc>
          <w:tcPr>
            <w:tcW w:type="dxa" w:w="1587"/>
            <w:shd w:val="clear" w:color="auto" w:fill="FFFFFF"/>
          </w:tcPr>
          <w:p>
            <w:pPr>
              <w:jc w:val="left"/>
            </w:pPr>
            <w:r>
              <w:rPr>
                <w:b/>
                <w:color w:val="042642"/>
                <w:sz w:val="17"/>
              </w:rPr>
              <w:t>Small Office</w:t>
            </w:r>
          </w:p>
        </w:tc>
        <w:tc>
          <w:tcPr>
            <w:tcW w:type="dxa" w:w="1361"/>
            <w:shd w:val="clear" w:color="auto" w:fill="FFFFFF"/>
          </w:tcPr>
          <w:p>
            <w:pPr>
              <w:jc w:val="center"/>
            </w:pPr>
            <w:r>
              <w:rPr>
                <w:b w:val="0"/>
                <w:color w:val="64748B"/>
                <w:sz w:val="17"/>
              </w:rPr>
              <w:t>Warm-Humid</w:t>
            </w:r>
          </w:p>
        </w:tc>
        <w:tc>
          <w:tcPr>
            <w:tcW w:type="dxa" w:w="907"/>
            <w:shd w:val="clear" w:color="auto" w:fill="FFFFFF"/>
          </w:tcPr>
          <w:p>
            <w:pPr>
              <w:jc w:val="center"/>
            </w:pPr>
            <w:r>
              <w:rPr>
                <w:b w:val="0"/>
                <w:color w:val="64748B"/>
                <w:sz w:val="17"/>
              </w:rPr>
              <w:t>110</w:t>
            </w:r>
          </w:p>
        </w:tc>
        <w:tc>
          <w:tcPr>
            <w:tcW w:type="dxa" w:w="964"/>
            <w:shd w:val="clear" w:color="auto" w:fill="FFFFFF"/>
          </w:tcPr>
          <w:p>
            <w:pPr>
              <w:jc w:val="center"/>
            </w:pPr>
            <w:r>
              <w:rPr>
                <w:b w:val="0"/>
                <w:color w:val="64748B"/>
                <w:sz w:val="17"/>
              </w:rPr>
              <w:t>155</w:t>
            </w:r>
          </w:p>
        </w:tc>
        <w:tc>
          <w:tcPr>
            <w:tcW w:type="dxa" w:w="964"/>
            <w:shd w:val="clear" w:color="auto" w:fill="FFFFFF"/>
          </w:tcPr>
          <w:p>
            <w:pPr>
              <w:jc w:val="center"/>
            </w:pPr>
            <w:r>
              <w:rPr>
                <w:b w:val="0"/>
                <w:color w:val="64748B"/>
                <w:sz w:val="17"/>
              </w:rPr>
              <w:t>210</w:t>
            </w:r>
          </w:p>
        </w:tc>
        <w:tc>
          <w:tcPr>
            <w:tcW w:type="dxa" w:w="850"/>
            <w:shd w:val="clear" w:color="auto" w:fill="FFFFFF"/>
          </w:tcPr>
          <w:p>
            <w:pPr>
              <w:jc w:val="center"/>
            </w:pPr>
            <w:r>
              <w:rPr>
                <w:b w:val="0"/>
                <w:color w:val="64748B"/>
                <w:sz w:val="17"/>
              </w:rPr>
              <w:t>70</w:t>
            </w:r>
          </w:p>
        </w:tc>
        <w:tc>
          <w:tcPr>
            <w:tcW w:type="dxa" w:w="1247"/>
            <w:shd w:val="clear" w:color="auto" w:fill="FFFFFF"/>
          </w:tcPr>
          <w:p>
            <w:pPr>
              <w:jc w:val="center"/>
            </w:pPr>
            <w:r>
              <w:rPr>
                <w:b w:val="0"/>
                <w:color w:val="64748B"/>
                <w:sz w:val="17"/>
              </w:rPr>
              <w:t>160</w:t>
            </w:r>
          </w:p>
        </w:tc>
        <w:tc>
          <w:tcPr>
            <w:tcW w:type="dxa" w:w="1134"/>
            <w:shd w:val="clear" w:color="auto" w:fill="FFFFFF"/>
          </w:tcPr>
          <w:p>
            <w:pPr>
              <w:jc w:val="center"/>
            </w:pPr>
            <w:r>
              <w:rPr>
                <w:b w:val="0"/>
                <w:color w:val="64748B"/>
                <w:sz w:val="17"/>
              </w:rPr>
              <w:t>130–180</w:t>
            </w:r>
          </w:p>
        </w:tc>
        <w:tc>
          <w:tcPr>
            <w:tcW w:type="dxa" w:w="1020"/>
            <w:shd w:val="clear" w:color="auto" w:fill="FFFFFF"/>
          </w:tcPr>
          <w:p>
            <w:pPr>
              <w:jc w:val="center"/>
            </w:pPr>
            <w:r>
              <w:rPr>
                <w:b w:val="0"/>
                <w:color w:val="64748B"/>
                <w:sz w:val="17"/>
              </w:rPr>
              <w:t>✓ Within</w:t>
            </w:r>
          </w:p>
        </w:tc>
      </w:tr>
      <w:tr>
        <w:tc>
          <w:tcPr>
            <w:tcW w:type="dxa" w:w="1587"/>
            <w:shd w:val="clear" w:color="auto" w:fill="F8FAFC"/>
          </w:tcPr>
          <w:p>
            <w:pPr>
              <w:jc w:val="left"/>
            </w:pPr>
            <w:r>
              <w:rPr>
                <w:b/>
                <w:color w:val="042642"/>
                <w:sz w:val="17"/>
              </w:rPr>
              <w:t>Small Office</w:t>
            </w:r>
          </w:p>
        </w:tc>
        <w:tc>
          <w:tcPr>
            <w:tcW w:type="dxa" w:w="1361"/>
            <w:shd w:val="clear" w:color="auto" w:fill="F8FAFC"/>
          </w:tcPr>
          <w:p>
            <w:pPr>
              <w:jc w:val="center"/>
            </w:pPr>
            <w:r>
              <w:rPr>
                <w:b w:val="0"/>
                <w:color w:val="64748B"/>
                <w:sz w:val="17"/>
              </w:rPr>
              <w:t>Composite</w:t>
            </w:r>
          </w:p>
        </w:tc>
        <w:tc>
          <w:tcPr>
            <w:tcW w:type="dxa" w:w="907"/>
            <w:shd w:val="clear" w:color="auto" w:fill="F8FAFC"/>
          </w:tcPr>
          <w:p>
            <w:pPr>
              <w:jc w:val="center"/>
            </w:pPr>
            <w:r>
              <w:rPr>
                <w:b w:val="0"/>
                <w:color w:val="64748B"/>
                <w:sz w:val="17"/>
              </w:rPr>
              <w:t>120</w:t>
            </w:r>
          </w:p>
        </w:tc>
        <w:tc>
          <w:tcPr>
            <w:tcW w:type="dxa" w:w="964"/>
            <w:shd w:val="clear" w:color="auto" w:fill="F8FAFC"/>
          </w:tcPr>
          <w:p>
            <w:pPr>
              <w:jc w:val="center"/>
            </w:pPr>
            <w:r>
              <w:rPr>
                <w:b w:val="0"/>
                <w:color w:val="64748B"/>
                <w:sz w:val="17"/>
              </w:rPr>
              <w:t>170</w:t>
            </w:r>
          </w:p>
        </w:tc>
        <w:tc>
          <w:tcPr>
            <w:tcW w:type="dxa" w:w="964"/>
            <w:shd w:val="clear" w:color="auto" w:fill="F8FAFC"/>
          </w:tcPr>
          <w:p>
            <w:pPr>
              <w:jc w:val="center"/>
            </w:pPr>
            <w:r>
              <w:rPr>
                <w:b w:val="0"/>
                <w:color w:val="64748B"/>
                <w:sz w:val="17"/>
              </w:rPr>
              <w:t>225</w:t>
            </w:r>
          </w:p>
        </w:tc>
        <w:tc>
          <w:tcPr>
            <w:tcW w:type="dxa" w:w="850"/>
            <w:shd w:val="clear" w:color="auto" w:fill="F8FAFC"/>
          </w:tcPr>
          <w:p>
            <w:pPr>
              <w:jc w:val="center"/>
            </w:pPr>
            <w:r>
              <w:rPr>
                <w:b w:val="0"/>
                <w:color w:val="64748B"/>
                <w:sz w:val="17"/>
              </w:rPr>
              <w:t>75</w:t>
            </w:r>
          </w:p>
        </w:tc>
        <w:tc>
          <w:tcPr>
            <w:tcW w:type="dxa" w:w="1247"/>
            <w:shd w:val="clear" w:color="auto" w:fill="F8FAFC"/>
          </w:tcPr>
          <w:p>
            <w:pPr>
              <w:jc w:val="center"/>
            </w:pPr>
            <w:r>
              <w:rPr>
                <w:b w:val="0"/>
                <w:color w:val="64748B"/>
                <w:sz w:val="17"/>
              </w:rPr>
              <w:t>175</w:t>
            </w:r>
          </w:p>
        </w:tc>
        <w:tc>
          <w:tcPr>
            <w:tcW w:type="dxa" w:w="1134"/>
            <w:shd w:val="clear" w:color="auto" w:fill="F8FAFC"/>
          </w:tcPr>
          <w:p>
            <w:pPr>
              <w:jc w:val="center"/>
            </w:pPr>
            <w:r>
              <w:rPr>
                <w:b w:val="0"/>
                <w:color w:val="64748B"/>
                <w:sz w:val="17"/>
              </w:rPr>
              <w:t>140–195</w:t>
            </w:r>
          </w:p>
        </w:tc>
        <w:tc>
          <w:tcPr>
            <w:tcW w:type="dxa" w:w="1020"/>
            <w:shd w:val="clear" w:color="auto" w:fill="F8FAFC"/>
          </w:tcPr>
          <w:p>
            <w:pPr>
              <w:jc w:val="center"/>
            </w:pPr>
            <w:r>
              <w:rPr>
                <w:b w:val="0"/>
                <w:color w:val="64748B"/>
                <w:sz w:val="17"/>
              </w:rPr>
              <w:t>✓ Within</w:t>
            </w:r>
          </w:p>
        </w:tc>
      </w:tr>
      <w:tr>
        <w:tc>
          <w:tcPr>
            <w:tcW w:type="dxa" w:w="1587"/>
            <w:shd w:val="clear" w:color="auto" w:fill="FFFFFF"/>
          </w:tcPr>
          <w:p>
            <w:pPr>
              <w:jc w:val="left"/>
            </w:pPr>
            <w:r>
              <w:rPr>
                <w:b/>
                <w:color w:val="042642"/>
                <w:sz w:val="17"/>
              </w:rPr>
              <w:t>Small Office</w:t>
            </w:r>
          </w:p>
        </w:tc>
        <w:tc>
          <w:tcPr>
            <w:tcW w:type="dxa" w:w="1361"/>
            <w:shd w:val="clear" w:color="auto" w:fill="FFFFFF"/>
          </w:tcPr>
          <w:p>
            <w:pPr>
              <w:jc w:val="center"/>
            </w:pPr>
            <w:r>
              <w:rPr>
                <w:b w:val="0"/>
                <w:color w:val="64748B"/>
                <w:sz w:val="17"/>
              </w:rPr>
              <w:t>Temperate</w:t>
            </w:r>
          </w:p>
        </w:tc>
        <w:tc>
          <w:tcPr>
            <w:tcW w:type="dxa" w:w="907"/>
            <w:shd w:val="clear" w:color="auto" w:fill="FFFFFF"/>
          </w:tcPr>
          <w:p>
            <w:pPr>
              <w:jc w:val="center"/>
            </w:pPr>
            <w:r>
              <w:rPr>
                <w:b w:val="0"/>
                <w:color w:val="64748B"/>
                <w:sz w:val="17"/>
              </w:rPr>
              <w:t>85</w:t>
            </w:r>
          </w:p>
        </w:tc>
        <w:tc>
          <w:tcPr>
            <w:tcW w:type="dxa" w:w="964"/>
            <w:shd w:val="clear" w:color="auto" w:fill="FFFFFF"/>
          </w:tcPr>
          <w:p>
            <w:pPr>
              <w:jc w:val="center"/>
            </w:pPr>
            <w:r>
              <w:rPr>
                <w:b w:val="0"/>
                <w:color w:val="64748B"/>
                <w:sz w:val="17"/>
              </w:rPr>
              <w:t>120</w:t>
            </w:r>
          </w:p>
        </w:tc>
        <w:tc>
          <w:tcPr>
            <w:tcW w:type="dxa" w:w="964"/>
            <w:shd w:val="clear" w:color="auto" w:fill="FFFFFF"/>
          </w:tcPr>
          <w:p>
            <w:pPr>
              <w:jc w:val="center"/>
            </w:pPr>
            <w:r>
              <w:rPr>
                <w:b w:val="0"/>
                <w:color w:val="64748B"/>
                <w:sz w:val="17"/>
              </w:rPr>
              <w:t>165</w:t>
            </w:r>
          </w:p>
        </w:tc>
        <w:tc>
          <w:tcPr>
            <w:tcW w:type="dxa" w:w="850"/>
            <w:shd w:val="clear" w:color="auto" w:fill="FFFFFF"/>
          </w:tcPr>
          <w:p>
            <w:pPr>
              <w:jc w:val="center"/>
            </w:pPr>
            <w:r>
              <w:rPr>
                <w:b w:val="0"/>
                <w:color w:val="64748B"/>
                <w:sz w:val="17"/>
              </w:rPr>
              <w:t>55</w:t>
            </w:r>
          </w:p>
        </w:tc>
        <w:tc>
          <w:tcPr>
            <w:tcW w:type="dxa" w:w="1247"/>
            <w:shd w:val="clear" w:color="auto" w:fill="FFFFFF"/>
          </w:tcPr>
          <w:p>
            <w:pPr>
              <w:jc w:val="center"/>
            </w:pPr>
            <w:r>
              <w:rPr>
                <w:b w:val="0"/>
                <w:color w:val="64748B"/>
                <w:sz w:val="17"/>
              </w:rPr>
              <w:t>130</w:t>
            </w:r>
          </w:p>
        </w:tc>
        <w:tc>
          <w:tcPr>
            <w:tcW w:type="dxa" w:w="1134"/>
            <w:shd w:val="clear" w:color="auto" w:fill="FFFFFF"/>
          </w:tcPr>
          <w:p>
            <w:pPr>
              <w:jc w:val="center"/>
            </w:pPr>
            <w:r>
              <w:rPr>
                <w:b w:val="0"/>
                <w:color w:val="64748B"/>
                <w:sz w:val="17"/>
              </w:rPr>
              <w:t>95–145</w:t>
            </w:r>
          </w:p>
        </w:tc>
        <w:tc>
          <w:tcPr>
            <w:tcW w:type="dxa" w:w="1020"/>
            <w:shd w:val="clear" w:color="auto" w:fill="FFFFFF"/>
          </w:tcPr>
          <w:p>
            <w:pPr>
              <w:jc w:val="center"/>
            </w:pPr>
            <w:r>
              <w:rPr>
                <w:b w:val="0"/>
                <w:color w:val="64748B"/>
                <w:sz w:val="17"/>
              </w:rPr>
              <w:t>✓ Within</w:t>
            </w:r>
          </w:p>
        </w:tc>
      </w:tr>
      <w:tr>
        <w:tc>
          <w:tcPr>
            <w:tcW w:type="dxa" w:w="1587"/>
            <w:shd w:val="clear" w:color="auto" w:fill="F8FAFC"/>
          </w:tcPr>
          <w:p>
            <w:pPr>
              <w:jc w:val="left"/>
            </w:pPr>
            <w:r>
              <w:rPr>
                <w:b/>
                <w:color w:val="042642"/>
                <w:sz w:val="17"/>
              </w:rPr>
              <w:t>Small Office</w:t>
            </w:r>
          </w:p>
        </w:tc>
        <w:tc>
          <w:tcPr>
            <w:tcW w:type="dxa" w:w="1361"/>
            <w:shd w:val="clear" w:color="auto" w:fill="F8FAFC"/>
          </w:tcPr>
          <w:p>
            <w:pPr>
              <w:jc w:val="center"/>
            </w:pPr>
            <w:r>
              <w:rPr>
                <w:b w:val="0"/>
                <w:color w:val="64748B"/>
                <w:sz w:val="17"/>
              </w:rPr>
              <w:t>Cold</w:t>
            </w:r>
          </w:p>
        </w:tc>
        <w:tc>
          <w:tcPr>
            <w:tcW w:type="dxa" w:w="907"/>
            <w:shd w:val="clear" w:color="auto" w:fill="F8FAFC"/>
          </w:tcPr>
          <w:p>
            <w:pPr>
              <w:jc w:val="center"/>
            </w:pPr>
            <w:r>
              <w:rPr>
                <w:b w:val="0"/>
                <w:color w:val="64748B"/>
                <w:sz w:val="17"/>
              </w:rPr>
              <w:t>80</w:t>
            </w:r>
          </w:p>
        </w:tc>
        <w:tc>
          <w:tcPr>
            <w:tcW w:type="dxa" w:w="964"/>
            <w:shd w:val="clear" w:color="auto" w:fill="F8FAFC"/>
          </w:tcPr>
          <w:p>
            <w:pPr>
              <w:jc w:val="center"/>
            </w:pPr>
            <w:r>
              <w:rPr>
                <w:b w:val="0"/>
                <w:color w:val="64748B"/>
                <w:sz w:val="17"/>
              </w:rPr>
              <w:t>110</w:t>
            </w:r>
          </w:p>
        </w:tc>
        <w:tc>
          <w:tcPr>
            <w:tcW w:type="dxa" w:w="964"/>
            <w:shd w:val="clear" w:color="auto" w:fill="F8FAFC"/>
          </w:tcPr>
          <w:p>
            <w:pPr>
              <w:jc w:val="center"/>
            </w:pPr>
            <w:r>
              <w:rPr>
                <w:b w:val="0"/>
                <w:color w:val="64748B"/>
                <w:sz w:val="17"/>
              </w:rPr>
              <w:t>155</w:t>
            </w:r>
          </w:p>
        </w:tc>
        <w:tc>
          <w:tcPr>
            <w:tcW w:type="dxa" w:w="850"/>
            <w:shd w:val="clear" w:color="auto" w:fill="F8FAFC"/>
          </w:tcPr>
          <w:p>
            <w:pPr>
              <w:jc w:val="center"/>
            </w:pPr>
            <w:r>
              <w:rPr>
                <w:b w:val="0"/>
                <w:color w:val="64748B"/>
                <w:sz w:val="17"/>
              </w:rPr>
              <w:t>50</w:t>
            </w:r>
          </w:p>
        </w:tc>
        <w:tc>
          <w:tcPr>
            <w:tcW w:type="dxa" w:w="1247"/>
            <w:shd w:val="clear" w:color="auto" w:fill="F8FAFC"/>
          </w:tcPr>
          <w:p>
            <w:pPr>
              <w:jc w:val="center"/>
            </w:pPr>
            <w:r>
              <w:rPr>
                <w:b w:val="0"/>
                <w:color w:val="64748B"/>
                <w:sz w:val="17"/>
              </w:rPr>
              <w:t>120</w:t>
            </w:r>
          </w:p>
        </w:tc>
        <w:tc>
          <w:tcPr>
            <w:tcW w:type="dxa" w:w="1134"/>
            <w:shd w:val="clear" w:color="auto" w:fill="F8FAFC"/>
          </w:tcPr>
          <w:p>
            <w:pPr>
              <w:jc w:val="center"/>
            </w:pPr>
            <w:r>
              <w:rPr>
                <w:b w:val="0"/>
                <w:color w:val="64748B"/>
                <w:sz w:val="17"/>
              </w:rPr>
              <w:t>88–138</w:t>
            </w:r>
          </w:p>
        </w:tc>
        <w:tc>
          <w:tcPr>
            <w:tcW w:type="dxa" w:w="1020"/>
            <w:shd w:val="clear" w:color="auto" w:fill="F8FAFC"/>
          </w:tcPr>
          <w:p>
            <w:pPr>
              <w:jc w:val="center"/>
            </w:pPr>
            <w:r>
              <w:rPr>
                <w:b w:val="0"/>
                <w:color w:val="64748B"/>
                <w:sz w:val="17"/>
              </w:rPr>
              <w:t>✓ Within</w:t>
            </w:r>
          </w:p>
        </w:tc>
      </w:tr>
      <w:tr>
        <w:tc>
          <w:tcPr>
            <w:tcW w:type="dxa" w:w="1587"/>
            <w:shd w:val="clear" w:color="auto" w:fill="FFFFFF"/>
          </w:tcPr>
          <w:p>
            <w:pPr>
              <w:jc w:val="left"/>
            </w:pPr>
            <w:r>
              <w:rPr>
                <w:b/>
                <w:color w:val="042642"/>
                <w:sz w:val="17"/>
              </w:rPr>
              <w:t>Medium Office</w:t>
            </w:r>
          </w:p>
        </w:tc>
        <w:tc>
          <w:tcPr>
            <w:tcW w:type="dxa" w:w="1361"/>
            <w:shd w:val="clear" w:color="auto" w:fill="FFFFFF"/>
          </w:tcPr>
          <w:p>
            <w:pPr>
              <w:jc w:val="center"/>
            </w:pPr>
            <w:r>
              <w:rPr>
                <w:b w:val="0"/>
                <w:color w:val="64748B"/>
                <w:sz w:val="17"/>
              </w:rPr>
              <w:t>Hot-Dry</w:t>
            </w:r>
          </w:p>
        </w:tc>
        <w:tc>
          <w:tcPr>
            <w:tcW w:type="dxa" w:w="907"/>
            <w:shd w:val="clear" w:color="auto" w:fill="FFFFFF"/>
          </w:tcPr>
          <w:p>
            <w:pPr>
              <w:jc w:val="center"/>
            </w:pPr>
            <w:r>
              <w:rPr>
                <w:b w:val="0"/>
                <w:color w:val="64748B"/>
                <w:sz w:val="17"/>
              </w:rPr>
              <w:t>140</w:t>
            </w:r>
          </w:p>
        </w:tc>
        <w:tc>
          <w:tcPr>
            <w:tcW w:type="dxa" w:w="964"/>
            <w:shd w:val="clear" w:color="auto" w:fill="FFFFFF"/>
          </w:tcPr>
          <w:p>
            <w:pPr>
              <w:jc w:val="center"/>
            </w:pPr>
            <w:r>
              <w:rPr>
                <w:b w:val="0"/>
                <w:color w:val="64748B"/>
                <w:sz w:val="17"/>
              </w:rPr>
              <w:t>190</w:t>
            </w:r>
          </w:p>
        </w:tc>
        <w:tc>
          <w:tcPr>
            <w:tcW w:type="dxa" w:w="964"/>
            <w:shd w:val="clear" w:color="auto" w:fill="FFFFFF"/>
          </w:tcPr>
          <w:p>
            <w:pPr>
              <w:jc w:val="center"/>
            </w:pPr>
            <w:r>
              <w:rPr>
                <w:b w:val="0"/>
                <w:color w:val="64748B"/>
                <w:sz w:val="17"/>
              </w:rPr>
              <w:t>260</w:t>
            </w:r>
          </w:p>
        </w:tc>
        <w:tc>
          <w:tcPr>
            <w:tcW w:type="dxa" w:w="850"/>
            <w:shd w:val="clear" w:color="auto" w:fill="FFFFFF"/>
          </w:tcPr>
          <w:p>
            <w:pPr>
              <w:jc w:val="center"/>
            </w:pPr>
            <w:r>
              <w:rPr>
                <w:b w:val="0"/>
                <w:color w:val="64748B"/>
                <w:sz w:val="17"/>
              </w:rPr>
              <w:t>85</w:t>
            </w:r>
          </w:p>
        </w:tc>
        <w:tc>
          <w:tcPr>
            <w:tcW w:type="dxa" w:w="1247"/>
            <w:shd w:val="clear" w:color="auto" w:fill="FFFFFF"/>
          </w:tcPr>
          <w:p>
            <w:pPr>
              <w:jc w:val="center"/>
            </w:pPr>
            <w:r>
              <w:rPr>
                <w:b w:val="0"/>
                <w:color w:val="64748B"/>
                <w:sz w:val="17"/>
              </w:rPr>
              <w:t>200</w:t>
            </w:r>
          </w:p>
        </w:tc>
        <w:tc>
          <w:tcPr>
            <w:tcW w:type="dxa" w:w="1134"/>
            <w:shd w:val="clear" w:color="auto" w:fill="FFFFFF"/>
          </w:tcPr>
          <w:p>
            <w:pPr>
              <w:jc w:val="center"/>
            </w:pPr>
            <w:r>
              <w:rPr>
                <w:b w:val="0"/>
                <w:color w:val="64748B"/>
                <w:sz w:val="17"/>
              </w:rPr>
              <w:t>165–220</w:t>
            </w:r>
          </w:p>
        </w:tc>
        <w:tc>
          <w:tcPr>
            <w:tcW w:type="dxa" w:w="1020"/>
            <w:shd w:val="clear" w:color="auto" w:fill="FFFFFF"/>
          </w:tcPr>
          <w:p>
            <w:pPr>
              <w:jc w:val="center"/>
            </w:pPr>
            <w:r>
              <w:rPr>
                <w:b w:val="0"/>
                <w:color w:val="64748B"/>
                <w:sz w:val="17"/>
              </w:rPr>
              <w:t>✓ Within</w:t>
            </w:r>
          </w:p>
        </w:tc>
      </w:tr>
      <w:tr>
        <w:tc>
          <w:tcPr>
            <w:tcW w:type="dxa" w:w="1587"/>
            <w:shd w:val="clear" w:color="auto" w:fill="F8FAFC"/>
          </w:tcPr>
          <w:p>
            <w:pPr>
              <w:jc w:val="left"/>
            </w:pPr>
            <w:r>
              <w:rPr>
                <w:b/>
                <w:color w:val="042642"/>
                <w:sz w:val="17"/>
              </w:rPr>
              <w:t>Medium Office</w:t>
            </w:r>
          </w:p>
        </w:tc>
        <w:tc>
          <w:tcPr>
            <w:tcW w:type="dxa" w:w="1361"/>
            <w:shd w:val="clear" w:color="auto" w:fill="F8FAFC"/>
          </w:tcPr>
          <w:p>
            <w:pPr>
              <w:jc w:val="center"/>
            </w:pPr>
            <w:r>
              <w:rPr>
                <w:b w:val="0"/>
                <w:color w:val="64748B"/>
                <w:sz w:val="17"/>
              </w:rPr>
              <w:t>Composite</w:t>
            </w:r>
          </w:p>
        </w:tc>
        <w:tc>
          <w:tcPr>
            <w:tcW w:type="dxa" w:w="907"/>
            <w:shd w:val="clear" w:color="auto" w:fill="F8FAFC"/>
          </w:tcPr>
          <w:p>
            <w:pPr>
              <w:jc w:val="center"/>
            </w:pPr>
            <w:r>
              <w:rPr>
                <w:b w:val="0"/>
                <w:color w:val="64748B"/>
                <w:sz w:val="17"/>
              </w:rPr>
              <w:t>140</w:t>
            </w:r>
          </w:p>
        </w:tc>
        <w:tc>
          <w:tcPr>
            <w:tcW w:type="dxa" w:w="964"/>
            <w:shd w:val="clear" w:color="auto" w:fill="F8FAFC"/>
          </w:tcPr>
          <w:p>
            <w:pPr>
              <w:jc w:val="center"/>
            </w:pPr>
            <w:r>
              <w:rPr>
                <w:b w:val="0"/>
                <w:color w:val="64748B"/>
                <w:sz w:val="17"/>
              </w:rPr>
              <w:t>195</w:t>
            </w:r>
          </w:p>
        </w:tc>
        <w:tc>
          <w:tcPr>
            <w:tcW w:type="dxa" w:w="964"/>
            <w:shd w:val="clear" w:color="auto" w:fill="F8FAFC"/>
          </w:tcPr>
          <w:p>
            <w:pPr>
              <w:jc w:val="center"/>
            </w:pPr>
            <w:r>
              <w:rPr>
                <w:b w:val="0"/>
                <w:color w:val="64748B"/>
                <w:sz w:val="17"/>
              </w:rPr>
              <w:t>255</w:t>
            </w:r>
          </w:p>
        </w:tc>
        <w:tc>
          <w:tcPr>
            <w:tcW w:type="dxa" w:w="850"/>
            <w:shd w:val="clear" w:color="auto" w:fill="F8FAFC"/>
          </w:tcPr>
          <w:p>
            <w:pPr>
              <w:jc w:val="center"/>
            </w:pPr>
            <w:r>
              <w:rPr>
                <w:b w:val="0"/>
                <w:color w:val="64748B"/>
                <w:sz w:val="17"/>
              </w:rPr>
              <w:t>85</w:t>
            </w:r>
          </w:p>
        </w:tc>
        <w:tc>
          <w:tcPr>
            <w:tcW w:type="dxa" w:w="1247"/>
            <w:shd w:val="clear" w:color="auto" w:fill="F8FAFC"/>
          </w:tcPr>
          <w:p>
            <w:pPr>
              <w:jc w:val="center"/>
            </w:pPr>
            <w:r>
              <w:rPr>
                <w:b w:val="0"/>
                <w:color w:val="64748B"/>
                <w:sz w:val="17"/>
              </w:rPr>
              <w:t>200</w:t>
            </w:r>
          </w:p>
        </w:tc>
        <w:tc>
          <w:tcPr>
            <w:tcW w:type="dxa" w:w="1134"/>
            <w:shd w:val="clear" w:color="auto" w:fill="F8FAFC"/>
          </w:tcPr>
          <w:p>
            <w:pPr>
              <w:jc w:val="center"/>
            </w:pPr>
            <w:r>
              <w:rPr>
                <w:b w:val="0"/>
                <w:color w:val="64748B"/>
                <w:sz w:val="17"/>
              </w:rPr>
              <w:t>170–225</w:t>
            </w:r>
          </w:p>
        </w:tc>
        <w:tc>
          <w:tcPr>
            <w:tcW w:type="dxa" w:w="1020"/>
            <w:shd w:val="clear" w:color="auto" w:fill="F8FAFC"/>
          </w:tcPr>
          <w:p>
            <w:pPr>
              <w:jc w:val="center"/>
            </w:pPr>
            <w:r>
              <w:rPr>
                <w:b w:val="0"/>
                <w:color w:val="64748B"/>
                <w:sz w:val="17"/>
              </w:rPr>
              <w:t>✓ Within</w:t>
            </w:r>
          </w:p>
        </w:tc>
      </w:tr>
      <w:tr>
        <w:tc>
          <w:tcPr>
            <w:tcW w:type="dxa" w:w="1587"/>
            <w:shd w:val="clear" w:color="auto" w:fill="FFFFFF"/>
          </w:tcPr>
          <w:p>
            <w:pPr>
              <w:jc w:val="left"/>
            </w:pPr>
            <w:r>
              <w:rPr>
                <w:b/>
                <w:color w:val="042642"/>
                <w:sz w:val="17"/>
              </w:rPr>
              <w:t>Retail</w:t>
            </w:r>
          </w:p>
        </w:tc>
        <w:tc>
          <w:tcPr>
            <w:tcW w:type="dxa" w:w="1361"/>
            <w:shd w:val="clear" w:color="auto" w:fill="FFFFFF"/>
          </w:tcPr>
          <w:p>
            <w:pPr>
              <w:jc w:val="center"/>
            </w:pPr>
            <w:r>
              <w:rPr>
                <w:b w:val="0"/>
                <w:color w:val="64748B"/>
                <w:sz w:val="17"/>
              </w:rPr>
              <w:t>Warm-Humid</w:t>
            </w:r>
          </w:p>
        </w:tc>
        <w:tc>
          <w:tcPr>
            <w:tcW w:type="dxa" w:w="907"/>
            <w:shd w:val="clear" w:color="auto" w:fill="FFFFFF"/>
          </w:tcPr>
          <w:p>
            <w:pPr>
              <w:jc w:val="center"/>
            </w:pPr>
            <w:r>
              <w:rPr>
                <w:b w:val="0"/>
                <w:color w:val="64748B"/>
                <w:sz w:val="17"/>
              </w:rPr>
              <w:t>185</w:t>
            </w:r>
          </w:p>
        </w:tc>
        <w:tc>
          <w:tcPr>
            <w:tcW w:type="dxa" w:w="964"/>
            <w:shd w:val="clear" w:color="auto" w:fill="FFFFFF"/>
          </w:tcPr>
          <w:p>
            <w:pPr>
              <w:jc w:val="center"/>
            </w:pPr>
            <w:r>
              <w:rPr>
                <w:b w:val="0"/>
                <w:color w:val="64748B"/>
                <w:sz w:val="17"/>
              </w:rPr>
              <w:t>260</w:t>
            </w:r>
          </w:p>
        </w:tc>
        <w:tc>
          <w:tcPr>
            <w:tcW w:type="dxa" w:w="964"/>
            <w:shd w:val="clear" w:color="auto" w:fill="FFFFFF"/>
          </w:tcPr>
          <w:p>
            <w:pPr>
              <w:jc w:val="center"/>
            </w:pPr>
            <w:r>
              <w:rPr>
                <w:b w:val="0"/>
                <w:color w:val="64748B"/>
                <w:sz w:val="17"/>
              </w:rPr>
              <w:t>350</w:t>
            </w:r>
          </w:p>
        </w:tc>
        <w:tc>
          <w:tcPr>
            <w:tcW w:type="dxa" w:w="850"/>
            <w:shd w:val="clear" w:color="auto" w:fill="FFFFFF"/>
          </w:tcPr>
          <w:p>
            <w:pPr>
              <w:jc w:val="center"/>
            </w:pPr>
            <w:r>
              <w:rPr>
                <w:b w:val="0"/>
                <w:color w:val="64748B"/>
                <w:sz w:val="17"/>
              </w:rPr>
              <w:t>85</w:t>
            </w:r>
          </w:p>
        </w:tc>
        <w:tc>
          <w:tcPr>
            <w:tcW w:type="dxa" w:w="1247"/>
            <w:shd w:val="clear" w:color="auto" w:fill="FFFFFF"/>
          </w:tcPr>
          <w:p>
            <w:pPr>
              <w:jc w:val="center"/>
            </w:pPr>
            <w:r>
              <w:rPr>
                <w:b w:val="0"/>
                <w:color w:val="64748B"/>
                <w:sz w:val="17"/>
              </w:rPr>
              <w:t>270</w:t>
            </w:r>
          </w:p>
        </w:tc>
        <w:tc>
          <w:tcPr>
            <w:tcW w:type="dxa" w:w="1134"/>
            <w:shd w:val="clear" w:color="auto" w:fill="FFFFFF"/>
          </w:tcPr>
          <w:p>
            <w:pPr>
              <w:jc w:val="center"/>
            </w:pPr>
            <w:r>
              <w:rPr>
                <w:b w:val="0"/>
                <w:color w:val="64748B"/>
                <w:sz w:val="17"/>
              </w:rPr>
              <w:t>215–295</w:t>
            </w:r>
          </w:p>
        </w:tc>
        <w:tc>
          <w:tcPr>
            <w:tcW w:type="dxa" w:w="1020"/>
            <w:shd w:val="clear" w:color="auto" w:fill="FFFFFF"/>
          </w:tcPr>
          <w:p>
            <w:pPr>
              <w:jc w:val="center"/>
            </w:pPr>
            <w:r>
              <w:rPr>
                <w:b w:val="0"/>
                <w:color w:val="64748B"/>
                <w:sz w:val="17"/>
              </w:rPr>
              <w:t>✓ Within</w:t>
            </w:r>
          </w:p>
        </w:tc>
      </w:tr>
      <w:tr>
        <w:tc>
          <w:tcPr>
            <w:tcW w:type="dxa" w:w="1587"/>
            <w:shd w:val="clear" w:color="auto" w:fill="F8FAFC"/>
          </w:tcPr>
          <w:p>
            <w:pPr>
              <w:jc w:val="left"/>
            </w:pPr>
            <w:r>
              <w:rPr>
                <w:b/>
                <w:color w:val="042642"/>
                <w:sz w:val="17"/>
              </w:rPr>
              <w:t>Retail</w:t>
            </w:r>
          </w:p>
        </w:tc>
        <w:tc>
          <w:tcPr>
            <w:tcW w:type="dxa" w:w="1361"/>
            <w:shd w:val="clear" w:color="auto" w:fill="F8FAFC"/>
          </w:tcPr>
          <w:p>
            <w:pPr>
              <w:jc w:val="center"/>
            </w:pPr>
            <w:r>
              <w:rPr>
                <w:b w:val="0"/>
                <w:color w:val="64748B"/>
                <w:sz w:val="17"/>
              </w:rPr>
              <w:t>Hot-Dry</w:t>
            </w:r>
          </w:p>
        </w:tc>
        <w:tc>
          <w:tcPr>
            <w:tcW w:type="dxa" w:w="907"/>
            <w:shd w:val="clear" w:color="auto" w:fill="F8FAFC"/>
          </w:tcPr>
          <w:p>
            <w:pPr>
              <w:jc w:val="center"/>
            </w:pPr>
            <w:r>
              <w:rPr>
                <w:b w:val="0"/>
                <w:color w:val="64748B"/>
                <w:sz w:val="17"/>
              </w:rPr>
              <w:t>200</w:t>
            </w:r>
          </w:p>
        </w:tc>
        <w:tc>
          <w:tcPr>
            <w:tcW w:type="dxa" w:w="964"/>
            <w:shd w:val="clear" w:color="auto" w:fill="F8FAFC"/>
          </w:tcPr>
          <w:p>
            <w:pPr>
              <w:jc w:val="center"/>
            </w:pPr>
            <w:r>
              <w:rPr>
                <w:b w:val="0"/>
                <w:color w:val="64748B"/>
                <w:sz w:val="17"/>
              </w:rPr>
              <w:t>280</w:t>
            </w:r>
          </w:p>
        </w:tc>
        <w:tc>
          <w:tcPr>
            <w:tcW w:type="dxa" w:w="964"/>
            <w:shd w:val="clear" w:color="auto" w:fill="F8FAFC"/>
          </w:tcPr>
          <w:p>
            <w:pPr>
              <w:jc w:val="center"/>
            </w:pPr>
            <w:r>
              <w:rPr>
                <w:b w:val="0"/>
                <w:color w:val="64748B"/>
                <w:sz w:val="17"/>
              </w:rPr>
              <w:t>380</w:t>
            </w:r>
          </w:p>
        </w:tc>
        <w:tc>
          <w:tcPr>
            <w:tcW w:type="dxa" w:w="850"/>
            <w:shd w:val="clear" w:color="auto" w:fill="F8FAFC"/>
          </w:tcPr>
          <w:p>
            <w:pPr>
              <w:jc w:val="center"/>
            </w:pPr>
            <w:r>
              <w:rPr>
                <w:b w:val="0"/>
                <w:color w:val="64748B"/>
                <w:sz w:val="17"/>
              </w:rPr>
              <w:t>90</w:t>
            </w:r>
          </w:p>
        </w:tc>
        <w:tc>
          <w:tcPr>
            <w:tcW w:type="dxa" w:w="1247"/>
            <w:shd w:val="clear" w:color="auto" w:fill="F8FAFC"/>
          </w:tcPr>
          <w:p>
            <w:pPr>
              <w:jc w:val="center"/>
            </w:pPr>
            <w:r>
              <w:rPr>
                <w:b w:val="0"/>
                <w:color w:val="64748B"/>
                <w:sz w:val="17"/>
              </w:rPr>
              <w:t>290</w:t>
            </w:r>
          </w:p>
        </w:tc>
        <w:tc>
          <w:tcPr>
            <w:tcW w:type="dxa" w:w="1134"/>
            <w:shd w:val="clear" w:color="auto" w:fill="F8FAFC"/>
          </w:tcPr>
          <w:p>
            <w:pPr>
              <w:jc w:val="center"/>
            </w:pPr>
            <w:r>
              <w:rPr>
                <w:b w:val="0"/>
                <w:color w:val="64748B"/>
                <w:sz w:val="17"/>
              </w:rPr>
              <w:t>230–315</w:t>
            </w:r>
          </w:p>
        </w:tc>
        <w:tc>
          <w:tcPr>
            <w:tcW w:type="dxa" w:w="1020"/>
            <w:shd w:val="clear" w:color="auto" w:fill="F8FAFC"/>
          </w:tcPr>
          <w:p>
            <w:pPr>
              <w:jc w:val="center"/>
            </w:pPr>
            <w:r>
              <w:rPr>
                <w:b w:val="0"/>
                <w:color w:val="64748B"/>
                <w:sz w:val="17"/>
              </w:rPr>
              <w:t>✓ Within</w:t>
            </w:r>
          </w:p>
        </w:tc>
      </w:tr>
      <w:tr>
        <w:tc>
          <w:tcPr>
            <w:tcW w:type="dxa" w:w="1587"/>
            <w:shd w:val="clear" w:color="auto" w:fill="FFFFFF"/>
          </w:tcPr>
          <w:p>
            <w:pPr>
              <w:jc w:val="left"/>
            </w:pPr>
            <w:r>
              <w:rPr>
                <w:b/>
                <w:color w:val="042642"/>
                <w:sz w:val="17"/>
              </w:rPr>
              <w:t>Healthcare</w:t>
            </w:r>
          </w:p>
        </w:tc>
        <w:tc>
          <w:tcPr>
            <w:tcW w:type="dxa" w:w="1361"/>
            <w:shd w:val="clear" w:color="auto" w:fill="FFFFFF"/>
          </w:tcPr>
          <w:p>
            <w:pPr>
              <w:jc w:val="center"/>
            </w:pPr>
            <w:r>
              <w:rPr>
                <w:b w:val="0"/>
                <w:color w:val="64748B"/>
                <w:sz w:val="17"/>
              </w:rPr>
              <w:t>Composite</w:t>
            </w:r>
          </w:p>
        </w:tc>
        <w:tc>
          <w:tcPr>
            <w:tcW w:type="dxa" w:w="907"/>
            <w:shd w:val="clear" w:color="auto" w:fill="FFFFFF"/>
          </w:tcPr>
          <w:p>
            <w:pPr>
              <w:jc w:val="center"/>
            </w:pPr>
            <w:r>
              <w:rPr>
                <w:b w:val="0"/>
                <w:color w:val="64748B"/>
                <w:sz w:val="17"/>
              </w:rPr>
              <w:t>295</w:t>
            </w:r>
          </w:p>
        </w:tc>
        <w:tc>
          <w:tcPr>
            <w:tcW w:type="dxa" w:w="964"/>
            <w:shd w:val="clear" w:color="auto" w:fill="FFFFFF"/>
          </w:tcPr>
          <w:p>
            <w:pPr>
              <w:jc w:val="center"/>
            </w:pPr>
            <w:r>
              <w:rPr>
                <w:b w:val="0"/>
                <w:color w:val="64748B"/>
                <w:sz w:val="17"/>
              </w:rPr>
              <w:t>375</w:t>
            </w:r>
          </w:p>
        </w:tc>
        <w:tc>
          <w:tcPr>
            <w:tcW w:type="dxa" w:w="964"/>
            <w:shd w:val="clear" w:color="auto" w:fill="FFFFFF"/>
          </w:tcPr>
          <w:p>
            <w:pPr>
              <w:jc w:val="center"/>
            </w:pPr>
            <w:r>
              <w:rPr>
                <w:b w:val="0"/>
                <w:color w:val="64748B"/>
                <w:sz w:val="17"/>
              </w:rPr>
              <w:t>490</w:t>
            </w:r>
          </w:p>
        </w:tc>
        <w:tc>
          <w:tcPr>
            <w:tcW w:type="dxa" w:w="850"/>
            <w:shd w:val="clear" w:color="auto" w:fill="FFFFFF"/>
          </w:tcPr>
          <w:p>
            <w:pPr>
              <w:jc w:val="center"/>
            </w:pPr>
            <w:r>
              <w:rPr>
                <w:b w:val="0"/>
                <w:color w:val="64748B"/>
                <w:sz w:val="17"/>
              </w:rPr>
              <w:t>145</w:t>
            </w:r>
          </w:p>
        </w:tc>
        <w:tc>
          <w:tcPr>
            <w:tcW w:type="dxa" w:w="1247"/>
            <w:shd w:val="clear" w:color="auto" w:fill="FFFFFF"/>
          </w:tcPr>
          <w:p>
            <w:pPr>
              <w:jc w:val="center"/>
            </w:pPr>
            <w:r>
              <w:rPr>
                <w:b w:val="0"/>
                <w:color w:val="64748B"/>
                <w:sz w:val="17"/>
              </w:rPr>
              <w:t>390</w:t>
            </w:r>
          </w:p>
        </w:tc>
        <w:tc>
          <w:tcPr>
            <w:tcW w:type="dxa" w:w="1134"/>
            <w:shd w:val="clear" w:color="auto" w:fill="FFFFFF"/>
          </w:tcPr>
          <w:p>
            <w:pPr>
              <w:jc w:val="center"/>
            </w:pPr>
            <w:r>
              <w:rPr>
                <w:b w:val="0"/>
                <w:color w:val="64748B"/>
                <w:sz w:val="17"/>
              </w:rPr>
              <w:t>320–415</w:t>
            </w:r>
          </w:p>
        </w:tc>
        <w:tc>
          <w:tcPr>
            <w:tcW w:type="dxa" w:w="1020"/>
            <w:shd w:val="clear" w:color="auto" w:fill="FFFFFF"/>
          </w:tcPr>
          <w:p>
            <w:pPr>
              <w:jc w:val="center"/>
            </w:pPr>
            <w:r>
              <w:rPr>
                <w:b w:val="0"/>
                <w:color w:val="64748B"/>
                <w:sz w:val="17"/>
              </w:rPr>
              <w:t>✓ Within</w:t>
            </w:r>
          </w:p>
        </w:tc>
      </w:tr>
      <w:tr>
        <w:tc>
          <w:tcPr>
            <w:tcW w:type="dxa" w:w="1587"/>
            <w:shd w:val="clear" w:color="auto" w:fill="F8FAFC"/>
          </w:tcPr>
          <w:p>
            <w:pPr>
              <w:jc w:val="left"/>
            </w:pPr>
            <w:r>
              <w:rPr>
                <w:b/>
                <w:color w:val="042642"/>
                <w:sz w:val="17"/>
              </w:rPr>
              <w:t>Healthcare</w:t>
            </w:r>
          </w:p>
        </w:tc>
        <w:tc>
          <w:tcPr>
            <w:tcW w:type="dxa" w:w="1361"/>
            <w:shd w:val="clear" w:color="auto" w:fill="F8FAFC"/>
          </w:tcPr>
          <w:p>
            <w:pPr>
              <w:jc w:val="center"/>
            </w:pPr>
            <w:r>
              <w:rPr>
                <w:b w:val="0"/>
                <w:color w:val="64748B"/>
                <w:sz w:val="17"/>
              </w:rPr>
              <w:t>Warm-Humid</w:t>
            </w:r>
          </w:p>
        </w:tc>
        <w:tc>
          <w:tcPr>
            <w:tcW w:type="dxa" w:w="907"/>
            <w:shd w:val="clear" w:color="auto" w:fill="F8FAFC"/>
          </w:tcPr>
          <w:p>
            <w:pPr>
              <w:jc w:val="center"/>
            </w:pPr>
            <w:r>
              <w:rPr>
                <w:b w:val="0"/>
                <w:color w:val="64748B"/>
                <w:sz w:val="17"/>
              </w:rPr>
              <w:t>280</w:t>
            </w:r>
          </w:p>
        </w:tc>
        <w:tc>
          <w:tcPr>
            <w:tcW w:type="dxa" w:w="964"/>
            <w:shd w:val="clear" w:color="auto" w:fill="F8FAFC"/>
          </w:tcPr>
          <w:p>
            <w:pPr>
              <w:jc w:val="center"/>
            </w:pPr>
            <w:r>
              <w:rPr>
                <w:b w:val="0"/>
                <w:color w:val="64748B"/>
                <w:sz w:val="17"/>
              </w:rPr>
              <w:t>360</w:t>
            </w:r>
          </w:p>
        </w:tc>
        <w:tc>
          <w:tcPr>
            <w:tcW w:type="dxa" w:w="964"/>
            <w:shd w:val="clear" w:color="auto" w:fill="F8FAFC"/>
          </w:tcPr>
          <w:p>
            <w:pPr>
              <w:jc w:val="center"/>
            </w:pPr>
            <w:r>
              <w:rPr>
                <w:b w:val="0"/>
                <w:color w:val="64748B"/>
                <w:sz w:val="17"/>
              </w:rPr>
              <w:t>470</w:t>
            </w:r>
          </w:p>
        </w:tc>
        <w:tc>
          <w:tcPr>
            <w:tcW w:type="dxa" w:w="850"/>
            <w:shd w:val="clear" w:color="auto" w:fill="F8FAFC"/>
          </w:tcPr>
          <w:p>
            <w:pPr>
              <w:jc w:val="center"/>
            </w:pPr>
            <w:r>
              <w:rPr>
                <w:b w:val="0"/>
                <w:color w:val="64748B"/>
                <w:sz w:val="17"/>
              </w:rPr>
              <w:t>140</w:t>
            </w:r>
          </w:p>
        </w:tc>
        <w:tc>
          <w:tcPr>
            <w:tcW w:type="dxa" w:w="1247"/>
            <w:shd w:val="clear" w:color="auto" w:fill="F8FAFC"/>
          </w:tcPr>
          <w:p>
            <w:pPr>
              <w:jc w:val="center"/>
            </w:pPr>
            <w:r>
              <w:rPr>
                <w:b w:val="0"/>
                <w:color w:val="64748B"/>
                <w:sz w:val="17"/>
              </w:rPr>
              <w:t>380</w:t>
            </w:r>
          </w:p>
        </w:tc>
        <w:tc>
          <w:tcPr>
            <w:tcW w:type="dxa" w:w="1134"/>
            <w:shd w:val="clear" w:color="auto" w:fill="F8FAFC"/>
          </w:tcPr>
          <w:p>
            <w:pPr>
              <w:jc w:val="center"/>
            </w:pPr>
            <w:r>
              <w:rPr>
                <w:b w:val="0"/>
                <w:color w:val="64748B"/>
                <w:sz w:val="17"/>
              </w:rPr>
              <w:t>305–400</w:t>
            </w:r>
          </w:p>
        </w:tc>
        <w:tc>
          <w:tcPr>
            <w:tcW w:type="dxa" w:w="1020"/>
            <w:shd w:val="clear" w:color="auto" w:fill="F8FAFC"/>
          </w:tcPr>
          <w:p>
            <w:pPr>
              <w:jc w:val="center"/>
            </w:pPr>
            <w:r>
              <w:rPr>
                <w:b w:val="0"/>
                <w:color w:val="64748B"/>
                <w:sz w:val="17"/>
              </w:rPr>
              <w:t>✓ Within</w:t>
            </w:r>
          </w:p>
        </w:tc>
      </w:tr>
    </w:tbl>
    <w:p>
      <w:pPr>
        <w:spacing w:before="40" w:after="160"/>
        <w:ind w:left="283"/>
      </w:pPr>
      <w:r>
        <w:rPr>
          <w:i/>
          <w:color w:val="64748B"/>
          <w:sz w:val="17"/>
        </w:rPr>
        <w:t>Note: "Model Range" = 10th–90th percentile of ClimaBuild AI predictions across representative input combinations for that archetype–zone pair. Agreement = predicted range overlaps [Stock Min, Stock Max]. Sources: BEE Star Rating 2020; TERI 2019; ECBC 2017 §6; GRIHA 2022.</w:t>
      </w:r>
    </w:p>
    <w:p/>
    <w:p>
      <w:pPr>
        <w:jc w:val="center"/>
      </w:pPr>
      <w:r>
        <w:drawing>
          <wp:inline xmlns:a="http://schemas.openxmlformats.org/drawingml/2006/main" xmlns:pic="http://schemas.openxmlformats.org/drawingml/2006/picture">
            <wp:extent cx="5669280" cy="31615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161576"/>
                    </a:xfrm>
                    <a:prstGeom prst="rect"/>
                  </pic:spPr>
                </pic:pic>
              </a:graphicData>
            </a:graphic>
          </wp:inline>
        </w:drawing>
      </w:r>
    </w:p>
    <w:p>
      <w:pPr>
        <w:spacing w:before="80" w:after="200"/>
        <w:jc w:val="center"/>
      </w:pPr>
      <w:r>
        <w:rPr>
          <w:i/>
          <w:color w:val="64748B"/>
          <w:sz w:val="18"/>
        </w:rPr>
        <w:t>Fig. 5 — External benchmark validation: ClimaBuild AI predicted EUI vs. BEE/TERI published stock ranges across all five ECBC climate zones (Small Office archetype). Shaded band = published stock range. ✓ = model prediction within published range. Sources: BEE Star Rating 2020; TERI 2019; ECBC 2017 §6.</w:t>
      </w:r>
    </w:p>
    <w:p>
      <w:pPr>
        <w:spacing w:before="200" w:after="60"/>
      </w:pPr>
      <w:r>
        <w:rPr>
          <w:b/>
          <w:color w:val="0C7277"/>
          <w:sz w:val="22"/>
        </w:rPr>
        <w:t>4.4  Physics and Compliance Guardrail Verification</w:t>
      </w:r>
    </w:p>
    <w:p>
      <w:pPr>
        <w:spacing w:after="100" w:line="360" w:lineRule="auto"/>
      </w:pPr>
      <w:r>
        <w:rPr>
          <w:i w:val="0"/>
          <w:color w:val="64748B"/>
          <w:sz w:val="20"/>
        </w:rPr>
        <w:t>The system implements thermodynamic validity checks prior to inference. Inputs violating physical bounds are rejected with a descriptive error, preventing extrapolation beyond the training domain:</w:t>
      </w:r>
    </w:p>
    <w:p>
      <w:pPr>
        <w:spacing w:after="100" w:line="360" w:lineRule="auto"/>
      </w:pPr>
      <w:r>
        <w:rPr>
          <w:i w:val="0"/>
          <w:color w:val="64748B"/>
          <w:sz w:val="19"/>
        </w:rPr>
        <w:t>•  U-values: 0 &lt; U ≤ 15 W/m²·K (all envelope components)</w:t>
        <w:br/>
        <w:t>•  SHGC: 0.05 ≤ SHGC ≤ 0.95 | WWR: 0.05 ≤ WWR ≤ 0.95</w:t>
        <w:br/>
        <w:t>•  HVAC COP: 1.0 ≤ COP ≤ 8.5</w:t>
        <w:br/>
        <w:t>•  Climate anomaly flag: CDD &gt; 8,000 or HDD &gt; 6,000 triggers low-confidence mode</w:t>
      </w:r>
    </w:p>
    <w:p>
      <w:pPr>
        <w:spacing w:after="100" w:line="360" w:lineRule="auto"/>
      </w:pPr>
      <w:r>
        <w:rPr>
          <w:i w:val="0"/>
          <w:color w:val="64748B"/>
          <w:sz w:val="20"/>
        </w:rPr>
        <w:t>ECBC 2017 prescriptive compliance was verified across all five climate zones and three tier levels (ECBC / ECBC+ / SuperECBC) using the U-value and SHGC thresholds from BEE ECBC 2017 Tables 5.3–5.5, cross-checked against BEE ECSBC Draft 2024 SuperECBC update criteria.</w:t>
      </w:r>
    </w:p>
    <w:p>
      <w:pPr>
        <w:spacing w:before="200" w:after="60"/>
      </w:pPr>
      <w:r>
        <w:rPr>
          <w:b/>
          <w:color w:val="0C7277"/>
          <w:sz w:val="22"/>
        </w:rPr>
        <w:t>4.5  Sensitivity Analysis and SHAP Consistency</w:t>
      </w:r>
    </w:p>
    <w:p>
      <w:pPr>
        <w:spacing w:after="100" w:line="360" w:lineRule="auto"/>
      </w:pPr>
      <w:r>
        <w:rPr>
          <w:i w:val="0"/>
          <w:color w:val="64748B"/>
          <w:sz w:val="20"/>
        </w:rPr>
        <w:t>A One-At-a-Time (OAT) ceteris paribus sensitivity analysis was performed across eight primary design parameters (WWR, SHGC, U_wall, U_roof, Solar Radiation, HVAC COP, Occupancy Density, Equipment Load), varying each ±50% from baseline while holding all others constant. Results were validated against SHAP (SHapley Additive exPlanations) Interaction values [Lundberg &amp; Lee, 2017] for consistency.</w:t>
      </w:r>
    </w:p>
    <w:p>
      <w:pPr>
        <w:spacing w:after="100" w:line="360" w:lineRule="auto"/>
      </w:pPr>
      <w:r>
        <w:rPr>
          <w:i w:val="0"/>
          <w:color w:val="64748B"/>
          <w:sz w:val="20"/>
        </w:rPr>
        <w:t>Consistency check: the top-3 drivers (solar_heat_gain, hvac_load_factor, envelope_UA) are identical in both OAT and SHAP rankings. No feature ranking highly in SHAP is absent from the OAT chart, confirming that the physics-informed interaction features capture real building thermodynamics. The directional alignment of SHAP interaction pair SHGC × WWR × solrad is consistent with ISO 13790 §11.3.2 solar heat gain theory.</w:t>
      </w:r>
    </w:p>
    <w:p/>
    <w:p>
      <w:pPr>
        <w:jc w:val="center"/>
      </w:pPr>
      <w:r>
        <w:drawing>
          <wp:inline xmlns:a="http://schemas.openxmlformats.org/drawingml/2006/main" xmlns:pic="http://schemas.openxmlformats.org/drawingml/2006/picture">
            <wp:extent cx="5669280" cy="31295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129596"/>
                    </a:xfrm>
                    <a:prstGeom prst="rect"/>
                  </pic:spPr>
                </pic:pic>
              </a:graphicData>
            </a:graphic>
          </wp:inline>
        </w:drawing>
      </w:r>
    </w:p>
    <w:p>
      <w:pPr>
        <w:spacing w:before="80" w:after="200"/>
        <w:jc w:val="center"/>
      </w:pPr>
      <w:r>
        <w:rPr>
          <w:i/>
          <w:color w:val="64748B"/>
          <w:sz w:val="18"/>
        </w:rPr>
        <w:t>Fig. 3 — OAT Sensitivity Tornado Chart showing EUI change (kWh/m²·yr) for ±50% variation of eight design parameters (ceteris paribus). HVAC COP and SHGC emerge as the dominant system and envelope levers. Methodology: ASHRAE Handbook of Fundamentals (2021) Ch. 18.</w:t>
      </w:r>
    </w:p>
    <w:p/>
    <w:p>
      <w:pPr>
        <w:jc w:val="center"/>
      </w:pPr>
      <w:r>
        <w:drawing>
          <wp:inline xmlns:a="http://schemas.openxmlformats.org/drawingml/2006/main" xmlns:pic="http://schemas.openxmlformats.org/drawingml/2006/picture">
            <wp:extent cx="5669280" cy="32733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273380"/>
                    </a:xfrm>
                    <a:prstGeom prst="rect"/>
                  </pic:spPr>
                </pic:pic>
              </a:graphicData>
            </a:graphic>
          </wp:inline>
        </w:drawing>
      </w:r>
    </w:p>
    <w:p>
      <w:pPr>
        <w:spacing w:before="80" w:after="200"/>
        <w:jc w:val="center"/>
      </w:pPr>
      <w:r>
        <w:rPr>
          <w:i/>
          <w:color w:val="64748B"/>
          <w:sz w:val="18"/>
        </w:rPr>
        <w:t>Fig. 4 — SHAP Waterfall Plot (XGBoost, representative Small Office in Mumbai, Warm-Humid zone). Feature solar_heat_gain (= WWR × SHGC × GHI) contributes the largest positive push relative to the model's expected output E[f(X)]. Source: Lundberg &amp; Lee (NeurIPS 2017).</w:t>
      </w:r>
    </w:p>
    <w:p>
      <w:pPr>
        <w:spacing w:before="200" w:after="60"/>
      </w:pPr>
      <w:r>
        <w:rPr>
          <w:b/>
          <w:color w:val="0C7277"/>
          <w:sz w:val="22"/>
        </w:rPr>
        <w:t>4.6  Limitations</w:t>
      </w:r>
    </w:p>
    <w:p>
      <w:pPr>
        <w:pStyle w:val="ListNumber"/>
        <w:spacing w:after="80"/>
      </w:pPr>
      <w:r>
        <w:rPr>
          <w:b/>
          <w:color w:val="042642"/>
          <w:sz w:val="20"/>
        </w:rPr>
        <w:t xml:space="preserve">Synthetic training data.  </w:t>
      </w:r>
      <w:r>
        <w:rPr>
          <w:color w:val="64748B"/>
          <w:sz w:val="20"/>
        </w:rPr>
        <w:t>The model was trained on EnergyPlus-generated profiles rather than measured operational data. EnergyPlus calibration to BEE benchmark envelope assumptions mitigates this, but does not fully capture occupant behaviour diversity or construction quality variability in the field.</w:t>
      </w:r>
    </w:p>
    <w:p>
      <w:pPr>
        <w:pStyle w:val="ListNumber"/>
        <w:spacing w:after="80"/>
      </w:pPr>
      <w:r>
        <w:rPr>
          <w:b/>
          <w:color w:val="042642"/>
          <w:sz w:val="20"/>
        </w:rPr>
        <w:t xml:space="preserve">OAT vs. global sensitivity.  </w:t>
      </w:r>
      <w:r>
        <w:rPr>
          <w:color w:val="64748B"/>
          <w:sz w:val="20"/>
        </w:rPr>
        <w:t>The ceteris paribus OAT methodology does not capture parameter interactions. Morris screening or Sobol’ indices would provide more rigorous global sensitivity estimates but require significantly more simulation runs (N &gt; 10,000).</w:t>
      </w:r>
    </w:p>
    <w:p>
      <w:pPr>
        <w:pStyle w:val="ListNumber"/>
        <w:spacing w:after="80"/>
      </w:pPr>
      <w:r>
        <w:rPr>
          <w:b/>
          <w:color w:val="042642"/>
          <w:sz w:val="20"/>
        </w:rPr>
        <w:t xml:space="preserve">BEE Star Rating approximation.  </w:t>
      </w:r>
      <w:r>
        <w:rPr>
          <w:color w:val="64748B"/>
          <w:sz w:val="20"/>
        </w:rPr>
        <w:t>The star rating estimate uses linear interpolation between published BEE 5-star and 3-star EPI thresholds. Official BEE certification requires site-verified metered energy data not replicable in a predictive tool.</w:t>
      </w:r>
    </w:p>
    <w:p>
      <w:pPr>
        <w:pStyle w:val="ListNumber"/>
        <w:spacing w:after="80"/>
      </w:pPr>
      <w:r>
        <w:rPr>
          <w:b/>
          <w:color w:val="042642"/>
          <w:sz w:val="20"/>
        </w:rPr>
        <w:t xml:space="preserve">Orientation factor simplification.  </w:t>
      </w:r>
      <w:r>
        <w:rPr>
          <w:color w:val="64748B"/>
          <w:sz w:val="20"/>
        </w:rPr>
        <w:t>Orientation correction applies a scalar multiplier to annual GHI rather than a full sky-dome solar position model. This introduces approximation error for high-latitude or heavily shaded sites.</w:t>
      </w:r>
    </w:p>
    <w:p>
      <w:pPr>
        <w:spacing w:after="100" w:line="360" w:lineRule="auto"/>
      </w:pPr>
      <w:r>
        <w:rPr>
          <w:i/>
          <w:color w:val="64748B"/>
          <w:sz w:val="19"/>
        </w:rPr>
        <w:t>Addressing limitations (1) and (2) through integration of the Building Data Genome Project 2 dataset and global variance-based sensitivity analysis is identified as primary future work.</w:t>
      </w:r>
    </w:p>
    <w:p>
      <w:r>
        <w:br w:type="page"/>
      </w:r>
    </w:p>
    <w:p>
      <w:pPr>
        <w:spacing w:before="280" w:after="80"/>
        <w:jc w:val="left"/>
      </w:pPr>
      <w:r>
        <w:rPr>
          <w:b/>
          <w:color w:val="042642"/>
          <w:sz w:val="26"/>
        </w:rPr>
        <w:t>References (Validation Section)</w:t>
      </w:r>
    </w:p>
    <w:p>
      <w:pPr>
        <w:spacing w:after="60"/>
        <w:ind w:left="340" w:hanging="340"/>
      </w:pPr>
      <w:r>
        <w:rPr>
          <w:color w:val="64748B"/>
          <w:sz w:val="18"/>
        </w:rPr>
        <w:t>[1]  Bureau of Energy Efficiency (BEE). Energy Conservation Building Code (ECBC) 2017. Ministry of Power, Government of India.</w:t>
      </w:r>
    </w:p>
    <w:p>
      <w:pPr>
        <w:spacing w:after="60"/>
        <w:ind w:left="340" w:hanging="340"/>
      </w:pPr>
      <w:r>
        <w:rPr>
          <w:color w:val="64748B"/>
          <w:sz w:val="18"/>
        </w:rPr>
        <w:t>[2]  Bureau of Energy Efficiency (BEE). Star Rating Programme for Commercial Buildings. MoP, Govt. of India, 2020.</w:t>
      </w:r>
    </w:p>
    <w:p>
      <w:pPr>
        <w:spacing w:after="60"/>
        <w:ind w:left="340" w:hanging="340"/>
      </w:pPr>
      <w:r>
        <w:rPr>
          <w:color w:val="64748B"/>
          <w:sz w:val="18"/>
        </w:rPr>
        <w:t>[3]  The Energy and Resources Institute (TERI). Energy Benchmarking of Commercial Buildings in India. TERI Press, New Delhi, 2019.</w:t>
      </w:r>
    </w:p>
    <w:p>
      <w:pPr>
        <w:spacing w:after="60"/>
        <w:ind w:left="340" w:hanging="340"/>
      </w:pPr>
      <w:r>
        <w:rPr>
          <w:color w:val="64748B"/>
          <w:sz w:val="18"/>
        </w:rPr>
        <w:t>[4]  ASHRAE Guideline 14-2014. Measurement of Energy, Demand, and Water Savings. ASHRAE, Atlanta, GA.</w:t>
      </w:r>
    </w:p>
    <w:p>
      <w:pPr>
        <w:spacing w:after="60"/>
        <w:ind w:left="340" w:hanging="340"/>
      </w:pPr>
      <w:r>
        <w:rPr>
          <w:color w:val="64748B"/>
          <w:sz w:val="18"/>
        </w:rPr>
        <w:t>[5]  ASHRAE. Handbook of Fundamentals. Chapter 18: Uncertainty Analysis. ASHRAE, Atlanta, GA, 2021.</w:t>
      </w:r>
    </w:p>
    <w:p>
      <w:pPr>
        <w:spacing w:after="60"/>
        <w:ind w:left="340" w:hanging="340"/>
      </w:pPr>
      <w:r>
        <w:rPr>
          <w:color w:val="64748B"/>
          <w:sz w:val="18"/>
        </w:rPr>
        <w:t>[6]  Lundberg, S. M. &amp; Lee, S.-I. A Unified Approach to Interpreting Model Predictions. NeurIPS, 2017.</w:t>
      </w:r>
    </w:p>
    <w:p>
      <w:pPr>
        <w:spacing w:after="60"/>
        <w:ind w:left="340" w:hanging="340"/>
      </w:pPr>
      <w:r>
        <w:rPr>
          <w:color w:val="64748B"/>
          <w:sz w:val="18"/>
        </w:rPr>
        <w:t>[7]  ISO 13790:2008. Energy Performance of Buildings — Calculation of Energy Use for Space Heating and Cooling.</w:t>
      </w:r>
    </w:p>
    <w:p>
      <w:pPr>
        <w:spacing w:after="60"/>
        <w:ind w:left="340" w:hanging="340"/>
      </w:pPr>
      <w:r>
        <w:rPr>
          <w:color w:val="64748B"/>
          <w:sz w:val="18"/>
        </w:rPr>
        <w:t>[8]  ASHRAE Standard 90.1-2019. Energy Standard for Buildings Except Low-Rise Residential Buildings.</w:t>
      </w:r>
    </w:p>
    <w:p>
      <w:pPr>
        <w:spacing w:after="60"/>
        <w:ind w:left="340" w:hanging="340"/>
      </w:pPr>
      <w:r>
        <w:rPr>
          <w:color w:val="64748B"/>
          <w:sz w:val="18"/>
        </w:rPr>
        <w:t>[9]  National Building Code of India (NBC) 2016. Part 8: Building Services. Bureau of Indian Standards.</w:t>
      </w:r>
    </w:p>
    <w:p>
      <w:pPr>
        <w:spacing w:after="60"/>
        <w:ind w:left="340" w:hanging="340"/>
      </w:pPr>
      <w:r>
        <w:rPr>
          <w:color w:val="64748B"/>
          <w:sz w:val="18"/>
        </w:rPr>
        <w:t>[10] GRIHA Council. Building Energy Performance Benchmarks. 2022.</w:t>
      </w:r>
    </w:p>
    <w:p>
      <w:pPr>
        <w:spacing w:after="60"/>
        <w:ind w:left="340" w:hanging="340"/>
      </w:pPr>
      <w:r>
        <w:rPr>
          <w:color w:val="64748B"/>
          <w:sz w:val="18"/>
        </w:rPr>
        <w:t>[11] Pedregosa, F. et al. Scikit-learn: Machine Learning in Python. JMLR 12, 2825–2830, 2011.</w:t>
      </w:r>
    </w:p>
    <w:p>
      <w:pPr>
        <w:spacing w:after="60"/>
        <w:ind w:left="340" w:hanging="340"/>
      </w:pPr>
      <w:r>
        <w:rPr>
          <w:color w:val="64748B"/>
          <w:sz w:val="18"/>
        </w:rPr>
        <w:t>[12] Chen, T. &amp; Guestrin, C. XGBoost: A Scalable Tree Boosting System. KDD 2016.</w:t>
      </w:r>
    </w:p>
    <w:p>
      <w:pPr>
        <w:spacing w:after="60"/>
        <w:ind w:left="340" w:hanging="340"/>
      </w:pPr>
      <w:r>
        <w:rPr>
          <w:color w:val="64748B"/>
          <w:sz w:val="18"/>
        </w:rPr>
        <w:t>[13] Fayaz, M. &amp; Kim, D. Energy Consumption Prediction using Deep Learning. Energies 11(5), 2018.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