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jc w:val="left"/>
      </w:pPr>
      <w:r>
        <w:rPr>
          <w:rFonts w:ascii="Times New Roman" w:hAnsi="Times New Roman"/>
          <w:b/>
          <w:color w:val="000000"/>
          <w:sz w:val="32"/>
        </w:rPr>
        <w:t>1. Introduction</w:t>
      </w:r>
    </w:p>
    <w:p>
      <w:pPr>
        <w:pStyle w:val="Heading2"/>
        <w:spacing w:before="240" w:after="80"/>
        <w:jc w:val="left"/>
      </w:pPr>
      <w:r>
        <w:rPr>
          <w:rFonts w:ascii="Times New Roman" w:hAnsi="Times New Roman"/>
          <w:b/>
          <w:color w:val="000000"/>
          <w:sz w:val="26"/>
        </w:rPr>
        <w:t>1.1. Background and Context</w:t>
      </w:r>
    </w:p>
    <w:p>
      <w:pPr>
        <w:spacing w:before="0" w:after="120"/>
        <w:ind w:firstLine="0"/>
        <w:jc w:val="both"/>
      </w:pPr>
      <w:r>
        <w:rPr>
          <w:rFonts w:ascii="Times New Roman" w:hAnsi="Times New Roman"/>
          <w:sz w:val="24"/>
        </w:rPr>
        <w:t>The global construction and building sector is responsible for a significant proportion of total global energy consumption and greenhouse gas (GHG) emissions. With rapid urbanization and economic growth, this trend is particularly pronounced in developing nations such as India. In India, the building sector accounts for over 30% of total electricity consumption, a figure that is projected to rise exponentially as the demand for cooling and modernized infrastructure increases (IEA, 2021). To mitigate the environmental impact of this growth, it is imperative to design energy-efficient buildings that minimize the Energy Use Intensity (EUI), measured in kWh/m²·yr. Achieving optimal EUI requires rigorous consideration of the building envelope, materials, and localized climate conditions during the early design phases.</w:t>
      </w:r>
    </w:p>
    <w:p>
      <w:pPr>
        <w:spacing w:before="0" w:after="120"/>
        <w:ind w:firstLine="0"/>
        <w:jc w:val="both"/>
      </w:pPr>
      <w:r>
        <w:rPr>
          <w:rFonts w:ascii="Times New Roman" w:hAnsi="Times New Roman"/>
          <w:sz w:val="24"/>
        </w:rPr>
        <w:t>While conventional physics-based Building Energy Simulation (BES) tools (e.g., EnergyPlus, TRNSYS) offer high-fidelity performance analyses, they are computationally intensive, require highly detailed inputs that are often unavailable early in the design cycle, and require specialized domain expertise (Clarke, 2001). Consequently, there is an industry-wide reliance on post-design evaluation rather than proactive, prescriptive energy optimization. Furthermore, architects and builders in India face unique challenges due to diverse climate zones (ranging from composite and hot-dry to warm-humid) and a lack of highly localized, accessible databases for building material thermal properties and Life Cycle Cost Analysis (LCCA).</w:t>
      </w:r>
    </w:p>
    <w:p>
      <w:pPr>
        <w:pStyle w:val="Heading2"/>
        <w:spacing w:before="240" w:after="80"/>
        <w:jc w:val="left"/>
      </w:pPr>
      <w:r>
        <w:rPr>
          <w:rFonts w:ascii="Times New Roman" w:hAnsi="Times New Roman"/>
          <w:b/>
          <w:color w:val="000000"/>
          <w:sz w:val="26"/>
        </w:rPr>
        <w:t>1.2. Problem Statement</w:t>
      </w:r>
    </w:p>
    <w:p>
      <w:pPr>
        <w:spacing w:before="0" w:after="120"/>
        <w:ind w:firstLine="0"/>
        <w:jc w:val="both"/>
      </w:pPr>
      <w:r>
        <w:rPr>
          <w:rFonts w:ascii="Times New Roman" w:hAnsi="Times New Roman"/>
          <w:sz w:val="24"/>
        </w:rPr>
        <w:t>Despite advancements in sustainable architecture, several critical gaps remain in the current building design workflow:</w:t>
      </w:r>
    </w:p>
    <w:p>
      <w:pPr>
        <w:pStyle w:val="ListBullet"/>
        <w:jc w:val="both"/>
      </w:pPr>
      <w:r>
        <w:rPr>
          <w:rFonts w:ascii="Times New Roman" w:hAnsi="Times New Roman"/>
          <w:b/>
          <w:sz w:val="24"/>
        </w:rPr>
        <w:t>Computational Bottleneck in Early Design:</w:t>
      </w:r>
      <w:r>
        <w:rPr>
          <w:rFonts w:ascii="Times New Roman" w:hAnsi="Times New Roman"/>
          <w:sz w:val="24"/>
        </w:rPr>
        <w:t xml:space="preserve"> Traditional dynamic simulations are too slow and complex to iterate over thousands of potential design configurations during the conceptual phase.</w:t>
      </w:r>
    </w:p>
    <w:p>
      <w:pPr>
        <w:pStyle w:val="ListBullet"/>
        <w:jc w:val="both"/>
      </w:pPr>
      <w:r>
        <w:rPr>
          <w:rFonts w:ascii="Times New Roman" w:hAnsi="Times New Roman"/>
          <w:b/>
          <w:sz w:val="24"/>
        </w:rPr>
        <w:t>Lack of Localized Context:</w:t>
      </w:r>
      <w:r>
        <w:rPr>
          <w:rFonts w:ascii="Times New Roman" w:hAnsi="Times New Roman"/>
          <w:sz w:val="24"/>
        </w:rPr>
        <w:t xml:space="preserve"> Generic material libraries often fail to reflect regional building practices and standards, such as those prescribed by the Building Materials &amp; Technology Promotion Council (BMTPC) and the Central Public Works Department (CPWD) of India.</w:t>
      </w:r>
    </w:p>
    <w:p>
      <w:pPr>
        <w:pStyle w:val="ListBullet"/>
        <w:jc w:val="both"/>
      </w:pPr>
      <w:r>
        <w:rPr>
          <w:rFonts w:ascii="Times New Roman" w:hAnsi="Times New Roman"/>
          <w:b/>
          <w:sz w:val="24"/>
        </w:rPr>
        <w:t>Disconnect Between Energy, Cost, and Carbon:</w:t>
      </w:r>
      <w:r>
        <w:rPr>
          <w:rFonts w:ascii="Times New Roman" w:hAnsi="Times New Roman"/>
          <w:sz w:val="24"/>
        </w:rPr>
        <w:t xml:space="preserve"> Decision-makers often evaluate energy efficiency independently of capital costs, lifecycle financial implications (Net Present Value), and embodied carbon footprint, leading to suboptimal trade-offs.</w:t>
      </w:r>
    </w:p>
    <w:p>
      <w:pPr>
        <w:pStyle w:val="ListBullet"/>
        <w:jc w:val="both"/>
      </w:pPr>
      <w:r>
        <w:rPr>
          <w:rFonts w:ascii="Times New Roman" w:hAnsi="Times New Roman"/>
          <w:b/>
          <w:sz w:val="24"/>
        </w:rPr>
        <w:t>Black-Box Machine Learning Models:</w:t>
      </w:r>
      <w:r>
        <w:rPr>
          <w:rFonts w:ascii="Times New Roman" w:hAnsi="Times New Roman"/>
          <w:sz w:val="24"/>
        </w:rPr>
        <w:t xml:space="preserve"> While data-driven surrogate models have emerged as faster alternatives to BES, their lack of interpretability prevents designers from understanding how specific architectural parameters (e.g., Window-to-Wall Ratio, insulation thickness) influence the predicted EUI.</w:t>
      </w:r>
    </w:p>
    <w:p>
      <w:pPr>
        <w:pStyle w:val="Heading2"/>
        <w:spacing w:before="240" w:after="80"/>
        <w:jc w:val="left"/>
      </w:pPr>
      <w:r>
        <w:rPr>
          <w:rFonts w:ascii="Times New Roman" w:hAnsi="Times New Roman"/>
          <w:b/>
          <w:color w:val="000000"/>
          <w:sz w:val="26"/>
        </w:rPr>
        <w:t>1.3. Proposed Solution</w:t>
      </w:r>
    </w:p>
    <w:p>
      <w:pPr>
        <w:spacing w:before="0" w:after="120"/>
        <w:ind w:firstLine="0"/>
        <w:jc w:val="both"/>
      </w:pPr>
      <w:r>
        <w:rPr>
          <w:rFonts w:ascii="Times New Roman" w:hAnsi="Times New Roman"/>
          <w:sz w:val="24"/>
        </w:rPr>
        <w:t>To address these systemic challenges, this research proposes a comprehensive, climate-aware Machine Learning (ML) framework tailored for the Indian context: the Climate-aware Material Recommendation &amp; EUI Predictor. We present an end-to-end predictive and prescriptive AI engine that fundamentally transforms how architects approach early-stage design optimization.</w:t>
      </w:r>
    </w:p>
    <w:p>
      <w:pPr>
        <w:spacing w:before="0" w:after="120"/>
        <w:ind w:firstLine="0"/>
        <w:jc w:val="both"/>
      </w:pPr>
      <w:r>
        <w:rPr>
          <w:rFonts w:ascii="Times New Roman" w:hAnsi="Times New Roman"/>
          <w:sz w:val="24"/>
        </w:rPr>
        <w:t>Our proposed system replaces computationally heavy physical simulations with a robust Extreme Gradient Boosting (XGBoost) regression surrogate model. Trained on a diverse synthetic dataset of physics-based simulations covering India's varied climate zones, this model predicts annual EUI near-instantaneously with high fidelity. To ensure environmental accuracy, the system auto-resolves geographic coordinates and integrates dynamically with the NASA POWER Climatology API to retrieve long-term weather markers (Cooling Degree Days, solar irradiance, and temperature profiles). Crucially, the framework is seeded with Indian material standards (BMTPC, CPWD/BIS) to ensure realistic structural assemblies and compliance checks against the Energy Conservation Building Code (ECBC) 2017.</w:t>
      </w:r>
    </w:p>
    <w:p>
      <w:pPr>
        <w:spacing w:before="0" w:after="120"/>
        <w:ind w:firstLine="0"/>
        <w:jc w:val="both"/>
      </w:pPr>
      <w:r>
        <w:rPr>
          <w:rFonts w:ascii="Times New Roman" w:hAnsi="Times New Roman"/>
          <w:sz w:val="24"/>
        </w:rPr>
        <w:t>Beyond prediction, the system acts as an automated design consultant. It utilizes a Generative AI Optimizer that batches up to 5,000 design iterations through the ML surrogate in seconds, exploring the vast multi-dimensional design space to identify Pareto-optimal configurations that balance energy consumption, embodied carbon, and 30-year lifecycle costs.</w:t>
      </w:r>
    </w:p>
    <w:p>
      <w:pPr>
        <w:pStyle w:val="Heading2"/>
        <w:spacing w:before="240" w:after="80"/>
        <w:jc w:val="left"/>
      </w:pPr>
      <w:r>
        <w:rPr>
          <w:rFonts w:ascii="Times New Roman" w:hAnsi="Times New Roman"/>
          <w:b/>
          <w:color w:val="000000"/>
          <w:sz w:val="26"/>
        </w:rPr>
        <w:t>1.4. Key Contributions</w:t>
      </w:r>
    </w:p>
    <w:p>
      <w:pPr>
        <w:spacing w:before="0" w:after="120"/>
        <w:ind w:firstLine="0"/>
        <w:jc w:val="both"/>
      </w:pPr>
      <w:r>
        <w:rPr>
          <w:rFonts w:ascii="Times New Roman" w:hAnsi="Times New Roman"/>
          <w:sz w:val="24"/>
        </w:rPr>
        <w:t>This research introduces the following core contributions to the fields of building science and applied artificial intelligence:</w:t>
      </w:r>
    </w:p>
    <w:p>
      <w:pPr>
        <w:pStyle w:val="ListBullet"/>
        <w:jc w:val="both"/>
      </w:pPr>
      <w:r>
        <w:rPr>
          <w:rFonts w:ascii="Times New Roman" w:hAnsi="Times New Roman"/>
          <w:b/>
          <w:sz w:val="24"/>
        </w:rPr>
        <w:t>Rapid EUI Prediction Surrogate:</w:t>
      </w:r>
      <w:r>
        <w:rPr>
          <w:rFonts w:ascii="Times New Roman" w:hAnsi="Times New Roman"/>
          <w:sz w:val="24"/>
        </w:rPr>
        <w:t xml:space="preserve"> Development of a highly accurate XGBoost regressor that dramatically accelerates EUI forecasting without compromising the precision expected from physics-based engines (R² ~0.91).</w:t>
      </w:r>
    </w:p>
    <w:p>
      <w:pPr>
        <w:pStyle w:val="ListBullet"/>
        <w:jc w:val="both"/>
      </w:pPr>
      <w:r>
        <w:rPr>
          <w:rFonts w:ascii="Times New Roman" w:hAnsi="Times New Roman"/>
          <w:b/>
          <w:sz w:val="24"/>
        </w:rPr>
        <w:t>Multi-Objective Generative Optimization:</w:t>
      </w:r>
      <w:r>
        <w:rPr>
          <w:rFonts w:ascii="Times New Roman" w:hAnsi="Times New Roman"/>
          <w:sz w:val="24"/>
        </w:rPr>
        <w:t xml:space="preserve"> Implementation of a sophisticated optimization engine that discovers Pareto-optimal material and envelope configurations, explicitly balancing energy performance against economic constraints (30-Year LCCA NPV) and environmental impact (embodied carbon).</w:t>
      </w:r>
    </w:p>
    <w:p>
      <w:pPr>
        <w:pStyle w:val="ListBullet"/>
        <w:jc w:val="both"/>
      </w:pPr>
      <w:r>
        <w:rPr>
          <w:rFonts w:ascii="Times New Roman" w:hAnsi="Times New Roman"/>
          <w:b/>
          <w:sz w:val="24"/>
        </w:rPr>
        <w:t>Explainable AI (XAI) Integration:</w:t>
      </w:r>
      <w:r>
        <w:rPr>
          <w:rFonts w:ascii="Times New Roman" w:hAnsi="Times New Roman"/>
          <w:sz w:val="24"/>
        </w:rPr>
        <w:t xml:space="preserve"> Integration of SHAP (SHapley Additive exPlanations) to demystify the ML model, providing designers with granular, actionable insights into the per-prediction feature importance of their architectural choices.</w:t>
      </w:r>
    </w:p>
    <w:p>
      <w:pPr>
        <w:pStyle w:val="ListBullet"/>
        <w:jc w:val="both"/>
      </w:pPr>
      <w:r>
        <w:rPr>
          <w:rFonts w:ascii="Times New Roman" w:hAnsi="Times New Roman"/>
          <w:b/>
          <w:sz w:val="24"/>
        </w:rPr>
        <w:t>Localized Climatology and Material Standards:</w:t>
      </w:r>
      <w:r>
        <w:rPr>
          <w:rFonts w:ascii="Times New Roman" w:hAnsi="Times New Roman"/>
          <w:sz w:val="24"/>
        </w:rPr>
        <w:t xml:space="preserve"> A novel fusion of real-time NASA POWER climate data with Indian regulatory material properties (BMTPC/CPWD), enabling automated ECBC 2017 compliance verification and context-specific recommendations.</w:t>
      </w:r>
    </w:p>
    <w:p>
      <w:pPr>
        <w:pStyle w:val="Heading2"/>
        <w:spacing w:before="240" w:after="80"/>
        <w:jc w:val="left"/>
      </w:pPr>
      <w:r>
        <w:rPr>
          <w:rFonts w:ascii="Times New Roman" w:hAnsi="Times New Roman"/>
          <w:b/>
          <w:color w:val="000000"/>
          <w:sz w:val="26"/>
        </w:rPr>
        <w:t>1.5. Document Organization</w:t>
      </w:r>
    </w:p>
    <w:p>
      <w:pPr>
        <w:spacing w:before="0" w:after="120"/>
        <w:ind w:firstLine="0"/>
        <w:jc w:val="both"/>
      </w:pPr>
      <w:r>
        <w:rPr>
          <w:rFonts w:ascii="Times New Roman" w:hAnsi="Times New Roman"/>
          <w:sz w:val="24"/>
        </w:rPr>
        <w:t>The remainder of this paper is structured as follows. Section 2 reviews the related work in building energy modeling, surrogate models, and multi-objective optimization. Section 3 details the methodology, encompassing the physics-informed synthetic data generation, the XGBoost ML pipeline, and the mathematical formulations for the generative optimizer and LCCA. Section 4 presents the experimental results, validation of the surrogate model, and a case study demonstrating the framework's application. Finally, Section 5 concludes the research with a summary of the impact and directions for future development.</w:t>
      </w:r>
    </w:p>
    <w:p>
      <w:pPr>
        <w:pStyle w:val="Heading1"/>
        <w:spacing w:before="280" w:after="120"/>
        <w:jc w:val="left"/>
      </w:pPr>
      <w:r>
        <w:rPr>
          <w:rFonts w:ascii="Times New Roman" w:hAnsi="Times New Roman"/>
          <w:b/>
          <w:color w:val="000000"/>
          <w:sz w:val="32"/>
        </w:rPr>
        <w:t>References</w:t>
      </w:r>
    </w:p>
    <w:p>
      <w:pPr>
        <w:spacing w:before="0" w:after="120"/>
        <w:ind w:firstLine="0"/>
        <w:jc w:val="both"/>
      </w:pPr>
      <w:r>
        <w:rPr>
          <w:rFonts w:ascii="Times New Roman" w:hAnsi="Times New Roman"/>
          <w:sz w:val="24"/>
        </w:rPr>
        <w:t>Clarke, J. A. (2001). Energy Simulation in Building Design. Butterworth-Heinemann.</w:t>
      </w:r>
    </w:p>
    <w:p>
      <w:pPr>
        <w:spacing w:before="0" w:after="120"/>
        <w:ind w:firstLine="0"/>
        <w:jc w:val="both"/>
      </w:pPr>
      <w:r>
        <w:rPr>
          <w:rFonts w:ascii="Times New Roman" w:hAnsi="Times New Roman"/>
          <w:sz w:val="24"/>
        </w:rPr>
        <w:t>IEA (2021). India Energy Outlook 2021, IEA, Paris. https://www.iea.org/reports/india-energy-outlook-2021</w:t>
      </w:r>
    </w:p>
    <w:p>
      <w:pPr>
        <w:spacing w:before="0" w:after="120"/>
        <w:ind w:firstLine="0"/>
        <w:jc w:val="both"/>
      </w:pPr>
      <w:r>
        <w:rPr>
          <w:rFonts w:ascii="Times New Roman" w:hAnsi="Times New Roman"/>
          <w:sz w:val="24"/>
        </w:rPr>
        <w:t>Bureau of Energy Efficiency (2017). Energy Conservation Building Code (ECBC). Ministry of Power, Government of India.</w:t>
      </w:r>
    </w:p>
    <w:p>
      <w:pPr>
        <w:spacing w:before="0" w:after="120"/>
        <w:ind w:firstLine="0"/>
        <w:jc w:val="both"/>
      </w:pPr>
      <w:r>
        <w:rPr>
          <w:rFonts w:ascii="Times New Roman" w:hAnsi="Times New Roman"/>
          <w:sz w:val="24"/>
        </w:rPr>
        <w:t>BMTPC (2021). Thermal Properties of Building Materials Technical Document. Building Materials &amp; Technology Promotion Council, India.</w:t>
      </w:r>
    </w:p>
    <w:p>
      <w:pPr>
        <w:spacing w:before="0" w:after="120"/>
        <w:ind w:firstLine="0"/>
        <w:jc w:val="both"/>
      </w:pPr>
      <w:r>
        <w:rPr>
          <w:rFonts w:ascii="Times New Roman" w:hAnsi="Times New Roman"/>
          <w:sz w:val="24"/>
        </w:rPr>
        <w:t>Lundberg, S. M., &amp; Lee, S.-I. (2017). A Unified Approach to Interpreting Model Predictions. Advances in Neural Information Processing Systems, 30.</w:t>
      </w:r>
    </w:p>
    <w:p>
      <w:pPr>
        <w:spacing w:before="0" w:after="120"/>
        <w:ind w:firstLine="0"/>
        <w:jc w:val="both"/>
      </w:pPr>
      <w:r>
        <w:rPr>
          <w:rFonts w:ascii="Times New Roman" w:hAnsi="Times New Roman"/>
          <w:sz w:val="24"/>
        </w:rPr>
        <w:t>Chen, T., &amp; Guestrin, C. (2016). XGBoost: A Scalable Tree Boosting System. Proceedings of the 22nd ACM SIGKDD International Conference on Knowledge Discovery and Data Mining.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