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3. Methodology</w:t>
      </w:r>
    </w:p>
    <w:p>
      <w:r>
        <w:t>The methodology adopted for this research presents a novel physics-informed machine learning framework, designed to bridge the gap between computationally expensive whole-building energy simulation (e.g., EnergyPlus) and rapid, early-stage design optimization. The system integrates a robust surrogate modeling pipeline, multi-objective genetic algorithms, and continuous MLOps drift-tracking, tailored specifically for the Indian climate context and Energy Conservation Building Code (ECBC 2017) compliance.</w:t>
      </w:r>
    </w:p>
    <w:p>
      <w:pPr>
        <w:pStyle w:val="Heading2"/>
      </w:pPr>
      <w:r>
        <w:t>3.1 Data Acquisition and Physics-Informed Synthetic Generation</w:t>
      </w:r>
    </w:p>
    <w:p>
      <w:r>
        <w:t>Due to the scarcity of high-fidelity, open-source building energy datasets specific to Indian microclimates, a physics-informed synthetic data generation pipeline was developed. A parametric design space was constructed encompassing key envelope properties (Wall U-value, Roof U-value, Glass U-value, SHGC), geometric features (Window-to-Wall Ratio, orientation), and internal loads (occupancy density, equipment loads). Using randomized sampling across bounded, physically realistic domains, a dataset of 25,000 distinct building configurations was synthesized. Climate variables (Cooling Degree Days, Heating Degree Days, and annual solar radiation) were acquired via the NASA POWER API and mapped to these configurations. The target variable, Energy Use Intensity (EUI in kWh/m²·yr), was calculated using a first-principles thermal heuristic model calibrated against verified ECBC benchmarks.</w:t>
      </w:r>
    </w:p>
    <w:p>
      <w:pPr>
        <w:pStyle w:val="Heading2"/>
      </w:pPr>
      <w:r>
        <w:t>3.2 Feature Engineering</w:t>
      </w:r>
    </w:p>
    <w:p>
      <w:r>
        <w:t>To assist the machine learning models in capturing complex non-linear thermodynamic relationships, 19 physics-informed engineered features were derived from the raw inputs. Key engineered variables included:</w:t>
      </w:r>
    </w:p>
    <w:p>
      <w:pPr>
        <w:pStyle w:val="ListBullet"/>
      </w:pPr>
      <w:r>
        <w:rPr>
          <w:b/>
        </w:rPr>
        <w:t>Envelope Thermal Transmittance (UA):</w:t>
      </w:r>
      <w:r>
        <w:t xml:space="preserve"> An aggregation of conductive heat transfer surfaces.</w:t>
      </w:r>
    </w:p>
    <w:p>
      <w:pPr>
        <w:pStyle w:val="ListBullet"/>
      </w:pPr>
      <w:r>
        <w:rPr>
          <w:b/>
        </w:rPr>
        <w:t>Solar Heat Gain Potential:</w:t>
      </w:r>
      <w:r>
        <w:t xml:space="preserve"> The interaction product of WWR, SHGC, and incident solar radiation adjusted for facade orientation.</w:t>
      </w:r>
    </w:p>
    <w:p>
      <w:pPr>
        <w:pStyle w:val="ListBullet"/>
      </w:pPr>
      <w:r>
        <w:rPr>
          <w:b/>
        </w:rPr>
        <w:t>Climate Severity Index:</w:t>
      </w:r>
      <w:r>
        <w:t xml:space="preserve"> A composite metric of CDD and HDD to quantify baseline environmental thermal stress.</w:t>
      </w:r>
    </w:p>
    <w:p>
      <w:pPr>
        <w:pStyle w:val="Heading2"/>
      </w:pPr>
      <w:r>
        <w:t>3.3 Predictive Surrogate Modeling</w:t>
      </w:r>
    </w:p>
    <w:p>
      <w:r>
        <w:t>To enable real-time architectural decision-making, the computationally intensive simulation step was replaced with a data-driven surrogate model. Three distinct algorithms—Ridge Regression, Random Forest, and eXtreme Gradient Boosting (XGBoost)—were trained and evaluated. XGBoost demonstrated the highest fidelity (R² = 0.8705, MAE = 8.4 kWh/m²·yr) and was selected as the primary inference engine. To ensure absolute deterministic accuracy for operational variables, a hybrid approach was implemented: the XGBoost model predicts the thermal envelope load, while internal plug loads and metabolic occupant loads are calculated via deterministic ASHRAE equations and scaled additively based on exact weekly operating hours.</w:t>
      </w:r>
    </w:p>
    <w:p>
      <w:pPr>
        <w:pStyle w:val="Heading2"/>
      </w:pPr>
      <w:r>
        <w:t>3.4 Multi-Objective Genetic Algorithm Optimization</w:t>
      </w:r>
    </w:p>
    <w:p>
      <w:r>
        <w:t>To transition the system from a predictive tool to a prescriptive design assistant, a custom evolutionary algorithm was implemented. The optimizer searches a discrete space of commercially available building materials sourced from the Central Public Works Department (CPWD) and BMTPC databases. The algorithm optimizes across three competing objectives:</w:t>
      </w:r>
    </w:p>
    <w:p>
      <w:pPr>
        <w:pStyle w:val="ListNumber"/>
      </w:pPr>
      <w:r>
        <w:t>Minimizing Operational EUI.</w:t>
      </w:r>
    </w:p>
    <w:p>
      <w:pPr>
        <w:pStyle w:val="ListNumber"/>
      </w:pPr>
      <w:r>
        <w:t>Minimizing Embodied Carbon (kgCO2e/m²).</w:t>
      </w:r>
    </w:p>
    <w:p>
      <w:pPr>
        <w:pStyle w:val="ListNumber"/>
      </w:pPr>
      <w:r>
        <w:t>Minimizing Construction Cost Index.</w:t>
      </w:r>
    </w:p>
    <w:p>
      <w:r>
        <w:t>A rigid constraint mechanism ensures all recommended material assemblies satisfy or exceed the ECBC 2017 prescriptive compliance thresholds for the target climate zone.</w:t>
      </w:r>
    </w:p>
    <w:p>
      <w:pPr>
        <w:pStyle w:val="Heading2"/>
      </w:pPr>
      <w:r>
        <w:t>3.5 Explainable AI (XAI) and MLOps Pipeline</w:t>
      </w:r>
    </w:p>
    <w:p>
      <w:r>
        <w:t>To foster trust among architectural end-users, SHapley Additive exPlanations (SHAP) were integrated to provide local interpretability. The system dynamically generates SHAP values per prediction, detailing the precise impact (in kWh/m²·yr) of individual design choices on the final energy footprint. Furthermore, a simulated MLOps pipeline was embedded to monitor data drift. Operational queries are logged asynchronously, and upon breaching a statistically significant threshold, a background retraining trigger is activated. This ensures the surrogate models adapt continuously to evolving climate realities and shifting usage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